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B5BC71">
      <w:pPr>
        <w:keepNext w:val="0"/>
        <w:keepLines w:val="0"/>
        <w:pageBreakBefore w:val="0"/>
        <w:widowControl w:val="0"/>
        <w:tabs>
          <w:tab w:val="left" w:pos="5220"/>
        </w:tabs>
        <w:kinsoku/>
        <w:wordWrap/>
        <w:overflowPunct/>
        <w:topLinePunct/>
        <w:autoSpaceDE/>
        <w:autoSpaceDN/>
        <w:bidi w:val="0"/>
        <w:adjustRightInd/>
        <w:snapToGrid/>
        <w:spacing w:line="240" w:lineRule="auto"/>
        <w:ind w:firstLine="0" w:firstLineChars="0"/>
        <w:jc w:val="center"/>
        <w:textAlignment w:val="auto"/>
        <w:outlineLvl w:val="9"/>
        <w:rPr>
          <w:rFonts w:hint="eastAsia" w:ascii="黑体" w:hAnsi="黑体" w:eastAsia="黑体" w:cs="黑体"/>
          <w:b w:val="0"/>
          <w:bCs w:val="0"/>
          <w:color w:val="000000" w:themeColor="text1"/>
          <w:sz w:val="32"/>
          <w:szCs w:val="32"/>
          <w:lang w:val="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现场</w:t>
      </w:r>
      <w:r>
        <w:rPr>
          <w:rFonts w:hint="eastAsia" w:ascii="黑体" w:hAnsi="黑体" w:eastAsia="黑体" w:cs="黑体"/>
          <w:b w:val="0"/>
          <w:bCs w:val="0"/>
          <w:color w:val="000000" w:themeColor="text1"/>
          <w:sz w:val="32"/>
          <w:szCs w:val="32"/>
          <w:lang w:val="zh-CN" w:eastAsia="zh-CN"/>
          <w14:textFill>
            <w14:solidFill>
              <w14:schemeClr w14:val="tx1"/>
            </w14:solidFill>
          </w14:textFill>
        </w:rPr>
        <w:t>照片</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8"/>
      </w:tblGrid>
      <w:tr w14:paraId="77DE7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1" w:hRule="atLeast"/>
          <w:jc w:val="center"/>
        </w:trPr>
        <w:tc>
          <w:tcPr>
            <w:tcW w:w="5000" w:type="pct"/>
            <w:noWrap w:val="0"/>
            <w:vAlign w:val="center"/>
          </w:tcPr>
          <w:p w14:paraId="4E702286">
            <w:pPr>
              <w:keepNext w:val="0"/>
              <w:keepLines w:val="0"/>
              <w:pageBreakBefore w:val="0"/>
              <w:widowControl w:val="0"/>
              <w:suppressLineNumbers w:val="0"/>
              <w:tabs>
                <w:tab w:val="left" w:pos="5220"/>
              </w:tabs>
              <w:kinsoku/>
              <w:topLinePunct/>
              <w:bidi w:val="0"/>
              <w:spacing w:before="0" w:beforeAutospacing="0" w:after="0" w:afterAutospacing="0" w:line="240" w:lineRule="auto"/>
              <w:ind w:left="0" w:leftChars="0" w:right="0" w:firstLine="0" w:firstLineChars="0"/>
              <w:jc w:val="both"/>
              <w:rPr>
                <w:rFonts w:hint="eastAsia"/>
                <w:color w:val="000000" w:themeColor="text1"/>
                <w:lang w:val="zh-CN"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5638800" cy="3171825"/>
                  <wp:effectExtent l="0" t="0" r="0" b="13335"/>
                  <wp:docPr id="5" name="图片 5" descr="89d7816e1e08191901b71ae738aec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9d7816e1e08191901b71ae738aecff"/>
                          <pic:cNvPicPr>
                            <a:picLocks noChangeAspect="1"/>
                          </pic:cNvPicPr>
                        </pic:nvPicPr>
                        <pic:blipFill>
                          <a:blip r:embed="rId16"/>
                          <a:stretch>
                            <a:fillRect/>
                          </a:stretch>
                        </pic:blipFill>
                        <pic:spPr>
                          <a:xfrm>
                            <a:off x="0" y="0"/>
                            <a:ext cx="5638800" cy="3171825"/>
                          </a:xfrm>
                          <a:prstGeom prst="rect">
                            <a:avLst/>
                          </a:prstGeom>
                        </pic:spPr>
                      </pic:pic>
                    </a:graphicData>
                  </a:graphic>
                </wp:inline>
              </w:drawing>
            </w:r>
          </w:p>
        </w:tc>
      </w:tr>
      <w:tr w14:paraId="226B7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5000" w:type="pct"/>
            <w:noWrap w:val="0"/>
            <w:vAlign w:val="center"/>
          </w:tcPr>
          <w:p w14:paraId="70047B2B">
            <w:pPr>
              <w:keepNext w:val="0"/>
              <w:keepLines w:val="0"/>
              <w:pageBreakBefore w:val="0"/>
              <w:widowControl w:val="0"/>
              <w:suppressLineNumbers w:val="0"/>
              <w:tabs>
                <w:tab w:val="left" w:pos="5220"/>
              </w:tabs>
              <w:kinsoku/>
              <w:topLinePunct/>
              <w:bidi w:val="0"/>
              <w:spacing w:before="0" w:beforeAutospacing="0" w:after="0" w:afterAutospacing="0" w:line="240" w:lineRule="auto"/>
              <w:ind w:left="0" w:leftChars="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光伏区</w:t>
            </w:r>
          </w:p>
        </w:tc>
      </w:tr>
      <w:tr w14:paraId="75215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noWrap w:val="0"/>
            <w:vAlign w:val="center"/>
          </w:tcPr>
          <w:p w14:paraId="1AC31AA6">
            <w:pPr>
              <w:keepNext w:val="0"/>
              <w:keepLines w:val="0"/>
              <w:pageBreakBefore w:val="0"/>
              <w:widowControl w:val="0"/>
              <w:suppressLineNumbers w:val="0"/>
              <w:tabs>
                <w:tab w:val="left" w:pos="5220"/>
              </w:tabs>
              <w:kinsoku/>
              <w:topLinePunct/>
              <w:bidi w:val="0"/>
              <w:spacing w:before="0" w:beforeAutospacing="0" w:after="0" w:afterAutospacing="0" w:line="240" w:lineRule="auto"/>
              <w:ind w:left="0" w:leftChars="0" w:right="0" w:firstLine="0" w:firstLineChars="0"/>
              <w:jc w:val="center"/>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drawing>
                <wp:inline distT="0" distB="0" distL="114300" distR="114300">
                  <wp:extent cx="5398770" cy="4000500"/>
                  <wp:effectExtent l="0" t="0" r="11430" b="7620"/>
                  <wp:docPr id="4" name="图片 4" descr="72b67499b2ddb491a3d83112388da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2b67499b2ddb491a3d83112388da0d"/>
                          <pic:cNvPicPr>
                            <a:picLocks noChangeAspect="1"/>
                          </pic:cNvPicPr>
                        </pic:nvPicPr>
                        <pic:blipFill>
                          <a:blip r:embed="rId17"/>
                          <a:stretch>
                            <a:fillRect/>
                          </a:stretch>
                        </pic:blipFill>
                        <pic:spPr>
                          <a:xfrm>
                            <a:off x="0" y="0"/>
                            <a:ext cx="5398770" cy="4000500"/>
                          </a:xfrm>
                          <a:prstGeom prst="rect">
                            <a:avLst/>
                          </a:prstGeom>
                        </pic:spPr>
                      </pic:pic>
                    </a:graphicData>
                  </a:graphic>
                </wp:inline>
              </w:drawing>
            </w:r>
          </w:p>
        </w:tc>
      </w:tr>
      <w:tr w14:paraId="7D869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noWrap w:val="0"/>
            <w:vAlign w:val="center"/>
          </w:tcPr>
          <w:p w14:paraId="78E1604B">
            <w:pPr>
              <w:keepNext w:val="0"/>
              <w:keepLines w:val="0"/>
              <w:pageBreakBefore w:val="0"/>
              <w:widowControl w:val="0"/>
              <w:suppressLineNumbers w:val="0"/>
              <w:tabs>
                <w:tab w:val="left" w:pos="5220"/>
              </w:tabs>
              <w:kinsoku/>
              <w:topLinePunct/>
              <w:bidi w:val="0"/>
              <w:spacing w:before="0" w:beforeAutospacing="0" w:after="0" w:afterAutospacing="0" w:line="240" w:lineRule="auto"/>
              <w:ind w:left="0" w:leftChars="0" w:right="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箱变</w:t>
            </w:r>
          </w:p>
        </w:tc>
      </w:tr>
    </w:tbl>
    <w:p w14:paraId="2E6A03B1">
      <w:pPr>
        <w:keepNext w:val="0"/>
        <w:keepLines w:val="0"/>
        <w:pageBreakBefore w:val="0"/>
        <w:widowControl w:val="0"/>
        <w:suppressLineNumbers w:val="0"/>
        <w:tabs>
          <w:tab w:val="left" w:pos="5220"/>
        </w:tabs>
        <w:kinsoku/>
        <w:wordWrap/>
        <w:topLinePunct/>
        <w:bidi w:val="0"/>
        <w:spacing w:before="0" w:beforeAutospacing="0" w:after="0" w:afterAutospacing="0" w:line="360" w:lineRule="auto"/>
        <w:ind w:left="0" w:right="0" w:firstLine="0" w:firstLineChars="0"/>
        <w:jc w:val="center"/>
        <w:rPr>
          <w:color w:val="000000" w:themeColor="text1"/>
          <w14:textFill>
            <w14:solidFill>
              <w14:schemeClr w14:val="tx1"/>
            </w14:solidFill>
          </w14:textFill>
        </w:rPr>
        <w:sectPr>
          <w:headerReference r:id="rId5" w:type="default"/>
          <w:footerReference r:id="rId6" w:type="default"/>
          <w:pgSz w:w="11906" w:h="16838"/>
          <w:pgMar w:top="1417" w:right="1417" w:bottom="1417" w:left="1587" w:header="851" w:footer="567" w:gutter="0"/>
          <w:pgNumType w:fmt="decimal"/>
          <w:cols w:space="0" w:num="1"/>
          <w:rtlGutter w:val="0"/>
          <w:docGrid w:type="lines" w:linePitch="318" w:charSpace="0"/>
        </w:sectPr>
      </w:pP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8"/>
      </w:tblGrid>
      <w:tr w14:paraId="21CDB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noWrap w:val="0"/>
            <w:vAlign w:val="top"/>
          </w:tcPr>
          <w:p w14:paraId="0F57B59B">
            <w:pPr>
              <w:keepNext w:val="0"/>
              <w:keepLines w:val="0"/>
              <w:pageBreakBefore w:val="0"/>
              <w:widowControl w:val="0"/>
              <w:suppressLineNumbers w:val="0"/>
              <w:tabs>
                <w:tab w:val="left" w:pos="5220"/>
              </w:tabs>
              <w:kinsoku/>
              <w:wordWrap/>
              <w:topLinePunct/>
              <w:bidi w:val="0"/>
              <w:spacing w:before="0" w:beforeAutospacing="0" w:after="0" w:afterAutospacing="0" w:line="360" w:lineRule="auto"/>
              <w:ind w:left="0" w:right="0" w:firstLine="0" w:firstLineChars="0"/>
              <w:jc w:val="center"/>
              <w:rPr>
                <w:rFonts w:hint="default" w:eastAsia="宋体"/>
                <w:b/>
                <w:bCs/>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652135" cy="2476500"/>
                  <wp:effectExtent l="0" t="0" r="1905" b="762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8"/>
                          <a:stretch>
                            <a:fillRect/>
                          </a:stretch>
                        </pic:blipFill>
                        <pic:spPr>
                          <a:xfrm>
                            <a:off x="0" y="0"/>
                            <a:ext cx="5652135" cy="2476500"/>
                          </a:xfrm>
                          <a:prstGeom prst="rect">
                            <a:avLst/>
                          </a:prstGeom>
                          <a:noFill/>
                          <a:ln>
                            <a:noFill/>
                          </a:ln>
                        </pic:spPr>
                      </pic:pic>
                    </a:graphicData>
                  </a:graphic>
                </wp:inline>
              </w:drawing>
            </w:r>
          </w:p>
        </w:tc>
      </w:tr>
      <w:tr w14:paraId="76C8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000" w:type="pct"/>
            <w:noWrap w:val="0"/>
            <w:vAlign w:val="top"/>
          </w:tcPr>
          <w:p w14:paraId="737BCD9C">
            <w:pPr>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default" w:ascii="黑体" w:hAnsi="黑体" w:eastAsia="黑体" w:cs="黑体"/>
                <w:b/>
                <w:bCs/>
                <w:color w:val="000000" w:themeColor="text1"/>
                <w:szCs w:val="32"/>
                <w:lang w:val="en-US" w:eastAsia="zh-CN"/>
                <w14:textFill>
                  <w14:solidFill>
                    <w14:schemeClr w14:val="tx1"/>
                  </w14:solidFill>
                </w14:textFill>
              </w:rPr>
            </w:pPr>
            <w:r>
              <w:rPr>
                <w:rFonts w:hint="eastAsia" w:ascii="宋体" w:hAnsi="宋体" w:eastAsia="宋体" w:cs="宋体"/>
                <w:b/>
                <w:bCs/>
                <w:color w:val="000000" w:themeColor="text1"/>
                <w:szCs w:val="32"/>
                <w:lang w:val="en-US" w:eastAsia="zh-CN"/>
                <w14:textFill>
                  <w14:solidFill>
                    <w14:schemeClr w14:val="tx1"/>
                  </w14:solidFill>
                </w14:textFill>
              </w:rPr>
              <w:t>防护栏及安全警示标志</w:t>
            </w:r>
          </w:p>
        </w:tc>
      </w:tr>
      <w:tr w14:paraId="7E794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000" w:type="pct"/>
            <w:noWrap w:val="0"/>
            <w:vAlign w:val="top"/>
          </w:tcPr>
          <w:p w14:paraId="7809936B">
            <w:pPr>
              <w:keepNext w:val="0"/>
              <w:keepLines w:val="0"/>
              <w:pageBreakBefore w:val="0"/>
              <w:widowControl w:val="0"/>
              <w:suppressLineNumbers w:val="0"/>
              <w:kinsoku/>
              <w:bidi w:val="0"/>
              <w:spacing w:before="0" w:beforeAutospacing="0" w:after="0" w:afterAutospacing="0" w:line="360" w:lineRule="auto"/>
              <w:ind w:left="0" w:leftChars="0" w:right="0" w:rightChars="0" w:firstLine="0" w:firstLineChars="0"/>
              <w:jc w:val="both"/>
              <w:rPr>
                <w:rFonts w:hint="default" w:ascii="黑体" w:hAnsi="黑体" w:eastAsia="黑体" w:cs="黑体"/>
                <w:b w:val="0"/>
                <w:bCs w:val="0"/>
                <w:color w:val="000000" w:themeColor="text1"/>
                <w:szCs w:val="32"/>
                <w:lang w:val="en-US" w:eastAsia="zh-CN"/>
                <w14:textFill>
                  <w14:solidFill>
                    <w14:schemeClr w14:val="tx1"/>
                  </w14:solidFill>
                </w14:textFill>
              </w:rPr>
            </w:pPr>
            <w:r>
              <w:rPr>
                <w:rFonts w:hint="default" w:ascii="黑体" w:hAnsi="黑体" w:eastAsia="黑体" w:cs="黑体"/>
                <w:b w:val="0"/>
                <w:bCs w:val="0"/>
                <w:color w:val="000000" w:themeColor="text1"/>
                <w:szCs w:val="32"/>
                <w:lang w:val="en-US" w:eastAsia="zh-CN"/>
                <w14:textFill>
                  <w14:solidFill>
                    <w14:schemeClr w14:val="tx1"/>
                  </w14:solidFill>
                </w14:textFill>
              </w:rPr>
              <w:drawing>
                <wp:inline distT="0" distB="0" distL="114300" distR="114300">
                  <wp:extent cx="5693410" cy="2648585"/>
                  <wp:effectExtent l="0" t="0" r="6350" b="3175"/>
                  <wp:docPr id="7" name="图片 7" descr="4568ea3e64311308bae02065655d1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568ea3e64311308bae02065655d1c8"/>
                          <pic:cNvPicPr>
                            <a:picLocks noChangeAspect="1"/>
                          </pic:cNvPicPr>
                        </pic:nvPicPr>
                        <pic:blipFill>
                          <a:blip r:embed="rId19"/>
                          <a:stretch>
                            <a:fillRect/>
                          </a:stretch>
                        </pic:blipFill>
                        <pic:spPr>
                          <a:xfrm>
                            <a:off x="0" y="0"/>
                            <a:ext cx="5693410" cy="2648585"/>
                          </a:xfrm>
                          <a:prstGeom prst="rect">
                            <a:avLst/>
                          </a:prstGeom>
                        </pic:spPr>
                      </pic:pic>
                    </a:graphicData>
                  </a:graphic>
                </wp:inline>
              </w:drawing>
            </w:r>
          </w:p>
        </w:tc>
      </w:tr>
      <w:tr w14:paraId="39119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5000" w:type="pct"/>
            <w:noWrap w:val="0"/>
            <w:vAlign w:val="top"/>
          </w:tcPr>
          <w:p w14:paraId="5086A6C2">
            <w:pPr>
              <w:keepNext w:val="0"/>
              <w:keepLines w:val="0"/>
              <w:pageBreakBefore w:val="0"/>
              <w:widowControl w:val="0"/>
              <w:suppressLineNumbers w:val="0"/>
              <w:kinsoku/>
              <w:bidi w:val="0"/>
              <w:spacing w:before="0" w:beforeAutospacing="0" w:after="0" w:afterAutospacing="0"/>
              <w:ind w:left="0" w:leftChars="0" w:right="0" w:rightChars="0" w:firstLine="0" w:firstLineChars="0"/>
              <w:jc w:val="center"/>
              <w:rPr>
                <w:rFonts w:hint="default"/>
                <w:b/>
                <w:bCs/>
                <w:color w:val="000000" w:themeColor="text1"/>
                <w:sz w:val="24"/>
                <w:szCs w:val="22"/>
                <w:lang w:val="en-US" w:eastAsia="zh-CN"/>
                <w14:textFill>
                  <w14:solidFill>
                    <w14:schemeClr w14:val="tx1"/>
                  </w14:solidFill>
                </w14:textFill>
              </w:rPr>
            </w:pPr>
            <w:r>
              <w:rPr>
                <w:rFonts w:hint="eastAsia" w:ascii="宋体" w:hAnsi="宋体" w:eastAsia="宋体" w:cs="宋体"/>
                <w:b/>
                <w:bCs/>
                <w:color w:val="000000" w:themeColor="text1"/>
                <w:szCs w:val="32"/>
                <w:lang w:val="en-US" w:eastAsia="zh-CN"/>
                <w14:textFill>
                  <w14:solidFill>
                    <w14:schemeClr w14:val="tx1"/>
                  </w14:solidFill>
                </w14:textFill>
              </w:rPr>
              <w:t>评价人员现场照片（左一：周忠菊，右一：李毅雄）</w:t>
            </w:r>
          </w:p>
        </w:tc>
      </w:tr>
    </w:tbl>
    <w:p w14:paraId="0936FBEF">
      <w:pPr>
        <w:keepNext w:val="0"/>
        <w:keepLines w:val="0"/>
        <w:pageBreakBefore w:val="0"/>
        <w:widowControl w:val="0"/>
        <w:kinsoku/>
        <w:bidi w:val="0"/>
        <w:rPr>
          <w:color w:val="000000" w:themeColor="text1"/>
          <w14:textFill>
            <w14:solidFill>
              <w14:schemeClr w14:val="tx1"/>
            </w14:solidFill>
          </w14:textFill>
        </w:rPr>
        <w:sectPr>
          <w:footerReference r:id="rId7" w:type="default"/>
          <w:pgSz w:w="11906" w:h="16838"/>
          <w:pgMar w:top="1417" w:right="1417" w:bottom="1417" w:left="1587" w:header="851" w:footer="567" w:gutter="0"/>
          <w:pgNumType w:fmt="decimal" w:start="1"/>
          <w:cols w:space="0" w:num="1"/>
          <w:rtlGutter w:val="0"/>
          <w:docGrid w:type="lines" w:linePitch="318" w:charSpace="0"/>
        </w:sectPr>
      </w:pPr>
    </w:p>
    <w:p w14:paraId="791D3A7F">
      <w:pPr>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outlineLvl w:val="0"/>
        <w:rPr>
          <w:color w:val="000000" w:themeColor="text1"/>
          <w:sz w:val="32"/>
          <w:szCs w:val="32"/>
          <w14:textFill>
            <w14:solidFill>
              <w14:schemeClr w14:val="tx1"/>
            </w14:solidFill>
          </w14:textFill>
        </w:rPr>
      </w:pPr>
      <w:bookmarkStart w:id="0" w:name="_Toc25248"/>
      <w:r>
        <w:rPr>
          <w:rFonts w:hint="eastAsia" w:ascii="黑体" w:hAnsi="黑体" w:eastAsia="黑体" w:cs="黑体"/>
          <w:color w:val="000000" w:themeColor="text1"/>
          <w:sz w:val="32"/>
          <w:szCs w:val="32"/>
          <w14:textFill>
            <w14:solidFill>
              <w14:schemeClr w14:val="tx1"/>
            </w14:solidFill>
          </w14:textFill>
        </w:rPr>
        <w:t>前 言</w:t>
      </w:r>
      <w:bookmarkEnd w:id="0"/>
    </w:p>
    <w:p w14:paraId="1EDB58CE">
      <w:pPr>
        <w:ind w:left="0" w:leftChars="0" w:firstLine="560" w:firstLineChars="200"/>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基诺乡巴卡村洛科新寨光伏电站位于云南省西双版州景洪市基诺乡巴卡村洛克新寨附近，总用地面积为750 亩，全部采用固定支架方式建设。项目由</w:t>
      </w:r>
      <w:r>
        <w:rPr>
          <w:rFonts w:hint="eastAsia" w:ascii="宋体" w:hAnsi="宋体" w:eastAsia="宋体" w:cs="宋体"/>
          <w:color w:val="000000" w:themeColor="text1"/>
          <w:kern w:val="2"/>
          <w:sz w:val="28"/>
          <w:szCs w:val="24"/>
          <w:lang w:val="zh-CN" w:eastAsia="zh-CN" w:bidi="ar-SA"/>
          <w14:textFill>
            <w14:solidFill>
              <w14:schemeClr w14:val="tx1"/>
            </w14:solidFill>
          </w14:textFill>
        </w:rPr>
        <w:t>华能澜沧江（</w:t>
      </w:r>
      <w:r>
        <w:rPr>
          <w:rFonts w:hint="eastAsia" w:ascii="宋体" w:hAnsi="宋体" w:eastAsia="宋体" w:cs="宋体"/>
          <w:color w:val="000000" w:themeColor="text1"/>
          <w:kern w:val="2"/>
          <w:sz w:val="28"/>
          <w:szCs w:val="24"/>
          <w:lang w:val="en-US" w:eastAsia="zh-CN" w:bidi="ar-SA"/>
          <w14:textFill>
            <w14:solidFill>
              <w14:schemeClr w14:val="tx1"/>
            </w14:solidFill>
          </w14:textFill>
        </w:rPr>
        <w:t>景洪</w:t>
      </w:r>
      <w:r>
        <w:rPr>
          <w:rFonts w:hint="eastAsia" w:ascii="宋体" w:hAnsi="宋体" w:eastAsia="宋体" w:cs="宋体"/>
          <w:color w:val="000000" w:themeColor="text1"/>
          <w:kern w:val="2"/>
          <w:sz w:val="28"/>
          <w:szCs w:val="24"/>
          <w:lang w:val="zh-CN" w:eastAsia="zh-CN" w:bidi="ar-SA"/>
          <w14:textFill>
            <w14:solidFill>
              <w14:schemeClr w14:val="tx1"/>
            </w14:solidFill>
          </w14:textFill>
        </w:rPr>
        <w:t>）新能源有限公司</w:t>
      </w:r>
      <w:r>
        <w:rPr>
          <w:rFonts w:hint="eastAsia" w:ascii="宋体" w:hAnsi="宋体" w:eastAsia="宋体" w:cs="宋体"/>
          <w:color w:val="000000" w:themeColor="text1"/>
          <w:kern w:val="2"/>
          <w:sz w:val="28"/>
          <w:szCs w:val="24"/>
          <w:lang w:val="en-US" w:eastAsia="zh-CN" w:bidi="ar-SA"/>
          <w14:textFill>
            <w14:solidFill>
              <w14:schemeClr w14:val="tx1"/>
            </w14:solidFill>
          </w14:textFill>
        </w:rPr>
        <w:t>投资建设，总投额8990万元。</w:t>
      </w:r>
    </w:p>
    <w:p w14:paraId="0DCD6257">
      <w:pPr>
        <w:ind w:left="0" w:leftChars="0" w:firstLine="560" w:firstLineChars="200"/>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该项目为新建项目，于2022年08月02日取得投资备案证，</w:t>
      </w:r>
      <w:r>
        <w:rPr>
          <w:rFonts w:hint="eastAsia" w:ascii="宋体" w:hAnsi="宋体" w:eastAsia="宋体" w:cs="宋体"/>
          <w:color w:val="000000" w:themeColor="text1"/>
          <w:kern w:val="2"/>
          <w:sz w:val="28"/>
          <w:szCs w:val="24"/>
          <w:lang w:val="zh-CN" w:eastAsia="zh-CN" w:bidi="ar-SA"/>
          <w14:textFill>
            <w14:solidFill>
              <w14:schemeClr w14:val="tx1"/>
            </w14:solidFill>
          </w14:textFill>
        </w:rPr>
        <w:t>备案号【项目代码】:2208-532801-04-01-</w:t>
      </w:r>
      <w:r>
        <w:rPr>
          <w:rFonts w:hint="eastAsia" w:ascii="宋体" w:hAnsi="宋体" w:eastAsia="宋体" w:cs="宋体"/>
          <w:color w:val="000000" w:themeColor="text1"/>
          <w:kern w:val="2"/>
          <w:sz w:val="28"/>
          <w:szCs w:val="24"/>
          <w:lang w:val="en-US" w:eastAsia="zh-CN" w:bidi="ar-SA"/>
          <w14:textFill>
            <w14:solidFill>
              <w14:schemeClr w14:val="tx1"/>
            </w14:solidFill>
          </w14:textFill>
        </w:rPr>
        <w:t>444814</w:t>
      </w:r>
      <w:r>
        <w:rPr>
          <w:rFonts w:hint="eastAsia" w:ascii="宋体" w:hAnsi="宋体" w:eastAsia="宋体" w:cs="宋体"/>
          <w:color w:val="000000" w:themeColor="text1"/>
          <w:kern w:val="2"/>
          <w:sz w:val="28"/>
          <w:szCs w:val="24"/>
          <w:lang w:val="zh-CN" w:eastAsia="zh-CN" w:bidi="ar-SA"/>
          <w14:textFill>
            <w14:solidFill>
              <w14:schemeClr w14:val="tx1"/>
            </w14:solidFill>
          </w14:textFill>
        </w:rPr>
        <w:t>。</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目额定容量为15MW，采用575/580Wp单晶硅电池组件，共有6个2.6MW的方阵。每个2.6MW光伏方阵包含8个320kW发电单元。本工程建设内容包括光伏区进场及检修道路、桩基础、箱变基础、场区围栏；支架及组件设备安装、箱变及逆变器安装、低压电缆敷设、场区接地；集电线路工程等。</w:t>
      </w:r>
      <w:r>
        <w:rPr>
          <w:rFonts w:hint="eastAsia" w:ascii="宋体" w:hAnsi="宋体" w:eastAsia="宋体" w:cs="宋体"/>
          <w:color w:val="000000" w:themeColor="text1"/>
          <w:sz w:val="28"/>
          <w:szCs w:val="28"/>
          <w:lang w:val="zh-CN" w:eastAsia="zh-CN"/>
          <w14:textFill>
            <w14:solidFill>
              <w14:schemeClr w14:val="tx1"/>
            </w14:solidFill>
          </w14:textFill>
        </w:rPr>
        <w:t>本光伏</w:t>
      </w:r>
      <w:r>
        <w:rPr>
          <w:rFonts w:hint="eastAsia" w:ascii="宋体" w:hAnsi="宋体" w:eastAsia="宋体" w:cs="宋体"/>
          <w:color w:val="000000" w:themeColor="text1"/>
          <w:sz w:val="28"/>
          <w:szCs w:val="28"/>
          <w:lang w:val="en-US" w:eastAsia="zh-CN"/>
          <w14:textFill>
            <w14:solidFill>
              <w14:schemeClr w14:val="tx1"/>
            </w14:solidFill>
          </w14:textFill>
        </w:rPr>
        <w:t>电站</w:t>
      </w:r>
      <w:r>
        <w:rPr>
          <w:rFonts w:hint="eastAsia" w:ascii="宋体" w:hAnsi="宋体" w:eastAsia="宋体" w:cs="宋体"/>
          <w:color w:val="000000" w:themeColor="text1"/>
          <w:sz w:val="28"/>
          <w:szCs w:val="28"/>
          <w:lang w:val="zh-CN" w:eastAsia="zh-CN"/>
          <w14:textFill>
            <w14:solidFill>
              <w14:schemeClr w14:val="tx1"/>
            </w14:solidFill>
          </w14:textFill>
        </w:rPr>
        <w:t>与</w:t>
      </w:r>
      <w:r>
        <w:rPr>
          <w:rFonts w:hint="eastAsia" w:ascii="宋体" w:hAnsi="宋体" w:eastAsia="宋体" w:cs="宋体"/>
          <w:color w:val="000000" w:themeColor="text1"/>
          <w:spacing w:val="-6"/>
          <w14:textFill>
            <w14:solidFill>
              <w14:schemeClr w14:val="tx1"/>
            </w14:solidFill>
          </w14:textFill>
        </w:rPr>
        <w:t>大寨光伏电站</w:t>
      </w:r>
      <w:r>
        <w:rPr>
          <w:rFonts w:hint="eastAsia" w:ascii="宋体" w:hAnsi="宋体" w:eastAsia="宋体" w:cs="宋体"/>
          <w:color w:val="000000" w:themeColor="text1"/>
          <w:sz w:val="28"/>
          <w:szCs w:val="28"/>
          <w:lang w:val="zh-CN" w:eastAsia="zh-CN"/>
          <w14:textFill>
            <w14:solidFill>
              <w14:schemeClr w14:val="tx1"/>
            </w14:solidFill>
          </w14:textFill>
        </w:rPr>
        <w:t>共用1座</w:t>
      </w:r>
      <w:r>
        <w:rPr>
          <w:rFonts w:hint="eastAsia" w:ascii="宋体" w:hAnsi="宋体" w:eastAsia="宋体" w:cs="宋体"/>
          <w:color w:val="000000" w:themeColor="text1"/>
          <w:spacing w:val="-6"/>
          <w14:textFill>
            <w14:solidFill>
              <w14:schemeClr w14:val="tx1"/>
            </w14:solidFill>
          </w14:textFill>
        </w:rPr>
        <w:t xml:space="preserve">110kV </w:t>
      </w:r>
      <w:r>
        <w:rPr>
          <w:rFonts w:hint="eastAsia" w:ascii="宋体" w:hAnsi="宋体" w:eastAsia="宋体" w:cs="宋体"/>
          <w:color w:val="000000" w:themeColor="text1"/>
          <w:sz w:val="28"/>
          <w:szCs w:val="28"/>
          <w:lang w:val="zh-CN" w:eastAsia="zh-CN"/>
          <w14:textFill>
            <w14:solidFill>
              <w14:schemeClr w14:val="tx1"/>
            </w14:solidFill>
          </w14:textFill>
        </w:rPr>
        <w:t>升压站，升压站建在</w:t>
      </w:r>
      <w:r>
        <w:rPr>
          <w:rFonts w:hint="eastAsia" w:ascii="宋体" w:hAnsi="宋体" w:eastAsia="宋体" w:cs="宋体"/>
          <w:color w:val="000000" w:themeColor="text1"/>
          <w:spacing w:val="-6"/>
          <w14:textFill>
            <w14:solidFill>
              <w14:schemeClr w14:val="tx1"/>
            </w14:solidFill>
          </w14:textFill>
        </w:rPr>
        <w:t>大寨光伏电站</w:t>
      </w:r>
      <w:r>
        <w:rPr>
          <w:rFonts w:hint="eastAsia" w:ascii="宋体" w:hAnsi="宋体" w:eastAsia="宋体" w:cs="宋体"/>
          <w:color w:val="000000" w:themeColor="text1"/>
          <w:sz w:val="28"/>
          <w:szCs w:val="28"/>
          <w:lang w:val="zh-CN" w:eastAsia="zh-CN"/>
          <w14:textFill>
            <w14:solidFill>
              <w14:schemeClr w14:val="tx1"/>
            </w14:solidFill>
          </w14:textFill>
        </w:rPr>
        <w:t>场址内。</w:t>
      </w:r>
    </w:p>
    <w:p w14:paraId="492FEC65">
      <w:pPr>
        <w:keepNext w:val="0"/>
        <w:keepLines w:val="0"/>
        <w:pageBreakBefore w:val="0"/>
        <w:widowControl w:val="0"/>
        <w:kinsoku/>
        <w:bidi w:val="0"/>
        <w:rPr>
          <w:rFonts w:hint="eastAsia"/>
          <w:color w:val="000000" w:themeColor="text1"/>
          <w:lang w:val="zh-CN" w:eastAsia="zh-CN"/>
          <w14:textFill>
            <w14:solidFill>
              <w14:schemeClr w14:val="tx1"/>
            </w14:solidFill>
          </w14:textFill>
        </w:rPr>
      </w:pPr>
      <w:r>
        <w:rPr>
          <w:rFonts w:hint="eastAsia" w:ascii="宋体" w:hAnsi="宋体" w:eastAsia="宋体" w:cs="宋体"/>
          <w:color w:val="000000" w:themeColor="text1"/>
          <w:lang w:val="zh-CN" w:eastAsia="zh-CN"/>
          <w14:textFill>
            <w14:solidFill>
              <w14:schemeClr w14:val="tx1"/>
            </w14:solidFill>
          </w14:textFill>
        </w:rPr>
        <w:t>为贯彻“安全第一，预防为主、综合治理”的方针，做到</w:t>
      </w:r>
      <w:r>
        <w:rPr>
          <w:rFonts w:hint="eastAsia" w:ascii="宋体" w:hAnsi="宋体" w:eastAsia="宋体" w:cs="宋体"/>
          <w:color w:val="000000" w:themeColor="text1"/>
          <w:lang w:val="en-US" w:eastAsia="zh-CN"/>
          <w14:textFill>
            <w14:solidFill>
              <w14:schemeClr w14:val="tx1"/>
            </w14:solidFill>
          </w14:textFill>
        </w:rPr>
        <w:t>光伏电站</w:t>
      </w:r>
      <w:r>
        <w:rPr>
          <w:rFonts w:hint="eastAsia" w:ascii="宋体" w:hAnsi="宋体" w:eastAsia="宋体" w:cs="宋体"/>
          <w:color w:val="000000" w:themeColor="text1"/>
          <w:lang w:val="zh-CN" w:eastAsia="zh-CN"/>
          <w14:textFill>
            <w14:solidFill>
              <w14:schemeClr w14:val="tx1"/>
            </w14:solidFill>
          </w14:textFill>
        </w:rPr>
        <w:t>安</w:t>
      </w:r>
      <w:r>
        <w:rPr>
          <w:rFonts w:hint="eastAsia"/>
          <w:color w:val="000000" w:themeColor="text1"/>
          <w:lang w:val="zh-CN" w:eastAsia="zh-CN"/>
          <w14:textFill>
            <w14:solidFill>
              <w14:schemeClr w14:val="tx1"/>
            </w14:solidFill>
          </w14:textFill>
        </w:rPr>
        <w:t>全设施投产后符合安全生产的要求，保障劳动者在生产过程中的安全与健康，保证国家</w:t>
      </w:r>
      <w:r>
        <w:rPr>
          <w:rFonts w:hint="eastAsia" w:ascii="Times New Roman" w:hAnsi="Times New Roman" w:eastAsia="宋体" w:cs="Times New Roman"/>
          <w:color w:val="000000" w:themeColor="text1"/>
          <w:lang w:val="zh-CN" w:eastAsia="zh-CN"/>
          <w14:textFill>
            <w14:solidFill>
              <w14:schemeClr w14:val="tx1"/>
            </w14:solidFill>
          </w14:textFill>
        </w:rPr>
        <w:t>和投资者的资产免遭损失，根据《中华人民共和国安全生产法</w:t>
      </w:r>
      <w:r>
        <w:rPr>
          <w:rFonts w:hint="eastAsia" w:cs="Times New Roman"/>
          <w:color w:val="000000" w:themeColor="text1"/>
          <w:lang w:val="zh-CN" w:eastAsia="zh-CN"/>
          <w14:textFill>
            <w14:solidFill>
              <w14:schemeClr w14:val="tx1"/>
            </w14:solidFill>
          </w14:textFill>
        </w:rPr>
        <w:t>》《</w:t>
      </w:r>
      <w:r>
        <w:rPr>
          <w:rFonts w:hint="eastAsia" w:ascii="Times New Roman" w:hAnsi="Times New Roman" w:eastAsia="宋体" w:cs="Times New Roman"/>
          <w:color w:val="000000" w:themeColor="text1"/>
          <w:lang w:val="zh-CN" w:eastAsia="zh-CN"/>
          <w14:textFill>
            <w14:solidFill>
              <w14:schemeClr w14:val="tx1"/>
            </w14:solidFill>
          </w14:textFill>
        </w:rPr>
        <w:t>建设项目安全设施“三同时”监督管理办法》国家安全监管总局令第36号，国家安全监管总局第77号令修订）等有关规定，在</w:t>
      </w:r>
      <w:r>
        <w:rPr>
          <w:rFonts w:hint="eastAsia" w:cs="Times New Roman"/>
          <w:color w:val="000000" w:themeColor="text1"/>
          <w:lang w:val="zh-CN" w:eastAsia="zh-CN"/>
          <w14:textFill>
            <w14:solidFill>
              <w14:schemeClr w14:val="tx1"/>
            </w14:solidFill>
          </w14:textFill>
        </w:rPr>
        <w:t>华能澜沧江（景洪）新能源有限公司</w:t>
      </w:r>
      <w:r>
        <w:rPr>
          <w:rFonts w:hint="eastAsia" w:ascii="宋体" w:hAnsi="宋体" w:eastAsia="宋体" w:cs="宋体"/>
          <w:color w:val="000000" w:themeColor="text1"/>
          <w:kern w:val="2"/>
          <w:sz w:val="28"/>
          <w:szCs w:val="24"/>
          <w:lang w:val="en-US" w:eastAsia="zh-CN" w:bidi="ar-SA"/>
          <w14:textFill>
            <w14:solidFill>
              <w14:schemeClr w14:val="tx1"/>
            </w14:solidFill>
          </w14:textFill>
        </w:rPr>
        <w:t>基诺乡巴卡村洛科新寨光伏电站</w:t>
      </w:r>
      <w:r>
        <w:rPr>
          <w:rFonts w:hint="eastAsia" w:ascii="Times New Roman" w:hAnsi="Times New Roman" w:eastAsia="宋体" w:cs="Times New Roman"/>
          <w:color w:val="000000" w:themeColor="text1"/>
          <w:lang w:val="zh-CN" w:eastAsia="zh-CN"/>
          <w14:textFill>
            <w14:solidFill>
              <w14:schemeClr w14:val="tx1"/>
            </w14:solidFill>
          </w14:textFill>
        </w:rPr>
        <w:t>试运行正常</w:t>
      </w:r>
      <w:r>
        <w:rPr>
          <w:rFonts w:hint="eastAsia"/>
          <w:color w:val="000000" w:themeColor="text1"/>
          <w:lang w:val="zh-CN" w:eastAsia="zh-CN"/>
          <w14:textFill>
            <w14:solidFill>
              <w14:schemeClr w14:val="tx1"/>
            </w14:solidFill>
          </w14:textFill>
        </w:rPr>
        <w:t>后，建设单位</w:t>
      </w:r>
      <w:r>
        <w:rPr>
          <w:rFonts w:hint="eastAsia"/>
          <w:color w:val="000000" w:themeColor="text1"/>
          <w:lang w:eastAsia="zh-CN"/>
          <w14:textFill>
            <w14:solidFill>
              <w14:schemeClr w14:val="tx1"/>
            </w14:solidFill>
          </w14:textFill>
        </w:rPr>
        <w:t>华能澜沧江（景洪）新能源有限公司</w:t>
      </w:r>
      <w:r>
        <w:rPr>
          <w:rFonts w:hint="eastAsia"/>
          <w:color w:val="000000" w:themeColor="text1"/>
          <w:lang w:val="zh-CN" w:eastAsia="zh-CN"/>
          <w14:textFill>
            <w14:solidFill>
              <w14:schemeClr w14:val="tx1"/>
            </w14:solidFill>
          </w14:textFill>
        </w:rPr>
        <w:t>委托</w:t>
      </w:r>
      <w:r>
        <w:rPr>
          <w:rFonts w:hint="eastAsia"/>
          <w:color w:val="000000" w:themeColor="text1"/>
          <w:lang w:val="en-US" w:eastAsia="zh-CN"/>
          <w14:textFill>
            <w14:solidFill>
              <w14:schemeClr w14:val="tx1"/>
            </w14:solidFill>
          </w14:textFill>
        </w:rPr>
        <w:t>昭通市鼎安科技有限公司</w:t>
      </w:r>
      <w:r>
        <w:rPr>
          <w:rFonts w:hint="eastAsia"/>
          <w:color w:val="000000" w:themeColor="text1"/>
          <w:lang w:val="zh-CN" w:eastAsia="zh-CN"/>
          <w14:textFill>
            <w14:solidFill>
              <w14:schemeClr w14:val="tx1"/>
            </w14:solidFill>
          </w14:textFill>
        </w:rPr>
        <w:t>承担其</w:t>
      </w:r>
      <w:r>
        <w:rPr>
          <w:rFonts w:hint="eastAsia" w:ascii="宋体" w:hAnsi="宋体" w:eastAsia="宋体" w:cs="宋体"/>
          <w:color w:val="000000" w:themeColor="text1"/>
          <w:kern w:val="2"/>
          <w:sz w:val="28"/>
          <w:szCs w:val="24"/>
          <w:lang w:val="en-US" w:eastAsia="zh-CN" w:bidi="ar-SA"/>
          <w14:textFill>
            <w14:solidFill>
              <w14:schemeClr w14:val="tx1"/>
            </w14:solidFill>
          </w14:textFill>
        </w:rPr>
        <w:t>基诺乡巴卡村洛科新寨光伏电站</w:t>
      </w:r>
      <w:r>
        <w:rPr>
          <w:rFonts w:hint="eastAsia"/>
          <w:color w:val="000000" w:themeColor="text1"/>
          <w:lang w:val="zh-CN" w:eastAsia="zh-CN"/>
          <w14:textFill>
            <w14:solidFill>
              <w14:schemeClr w14:val="tx1"/>
            </w14:solidFill>
          </w14:textFill>
        </w:rPr>
        <w:t>的安全</w:t>
      </w:r>
      <w:r>
        <w:rPr>
          <w:rFonts w:hint="eastAsia"/>
          <w:color w:val="000000" w:themeColor="text1"/>
          <w:lang w:val="en-US" w:eastAsia="zh-CN"/>
          <w14:textFill>
            <w14:solidFill>
              <w14:schemeClr w14:val="tx1"/>
            </w14:solidFill>
          </w14:textFill>
        </w:rPr>
        <w:t>安全竣工</w:t>
      </w:r>
      <w:r>
        <w:rPr>
          <w:rFonts w:hint="eastAsia"/>
          <w:color w:val="000000" w:themeColor="text1"/>
          <w:lang w:val="zh-CN" w:eastAsia="zh-CN"/>
          <w14:textFill>
            <w14:solidFill>
              <w14:schemeClr w14:val="tx1"/>
            </w14:solidFill>
          </w14:textFill>
        </w:rPr>
        <w:t>验收评价工作。</w:t>
      </w:r>
    </w:p>
    <w:p w14:paraId="3EBEAB2B">
      <w:pPr>
        <w:keepNext w:val="0"/>
        <w:keepLines w:val="0"/>
        <w:pageBreakBefore w:val="0"/>
        <w:widowControl w:val="0"/>
        <w:kinsoku/>
        <w:bidi w:val="0"/>
        <w:rPr>
          <w:rFonts w:hint="eastAsia" w:cs="Times New Roman"/>
          <w:color w:val="000000" w:themeColor="text1"/>
          <w:lang w:val="en-US" w:eastAsia="zh-CN"/>
          <w14:textFill>
            <w14:solidFill>
              <w14:schemeClr w14:val="tx1"/>
            </w14:solidFill>
          </w14:textFill>
        </w:rPr>
        <w:sectPr>
          <w:footerReference r:id="rId8" w:type="default"/>
          <w:pgSz w:w="11906" w:h="16838"/>
          <w:pgMar w:top="1417" w:right="1417" w:bottom="1417" w:left="1587" w:header="907" w:footer="907" w:gutter="0"/>
          <w:pgNumType w:fmt="upperRoman" w:start="1"/>
          <w:cols w:space="0" w:num="1"/>
          <w:rtlGutter w:val="0"/>
          <w:docGrid w:type="lines" w:linePitch="318" w:charSpace="0"/>
        </w:sectPr>
      </w:pPr>
      <w:r>
        <w:rPr>
          <w:rFonts w:hint="eastAsia"/>
          <w:color w:val="000000" w:themeColor="text1"/>
          <w:lang w:val="zh-CN" w:eastAsia="zh-CN"/>
          <w14:textFill>
            <w14:solidFill>
              <w14:schemeClr w14:val="tx1"/>
            </w14:solidFill>
          </w14:textFill>
        </w:rPr>
        <w:t>在接受</w:t>
      </w:r>
      <w:r>
        <w:rPr>
          <w:rFonts w:hint="eastAsia"/>
          <w:color w:val="000000" w:themeColor="text1"/>
          <w:lang w:eastAsia="zh-CN"/>
          <w14:textFill>
            <w14:solidFill>
              <w14:schemeClr w14:val="tx1"/>
            </w14:solidFill>
          </w14:textFill>
        </w:rPr>
        <w:t>华能澜沧江（景洪）新能源有限公司</w:t>
      </w:r>
      <w:r>
        <w:rPr>
          <w:rFonts w:hint="eastAsia" w:ascii="宋体" w:hAnsi="宋体" w:eastAsia="宋体" w:cs="宋体"/>
          <w:color w:val="000000" w:themeColor="text1"/>
          <w:kern w:val="2"/>
          <w:sz w:val="28"/>
          <w:szCs w:val="24"/>
          <w:lang w:val="en-US" w:eastAsia="zh-CN" w:bidi="ar-SA"/>
          <w14:textFill>
            <w14:solidFill>
              <w14:schemeClr w14:val="tx1"/>
            </w14:solidFill>
          </w14:textFill>
        </w:rPr>
        <w:t>基诺乡巴卡村洛科新寨光伏电站</w:t>
      </w:r>
      <w:r>
        <w:rPr>
          <w:rFonts w:hint="eastAsia"/>
          <w:color w:val="000000" w:themeColor="text1"/>
          <w:lang w:val="zh-CN" w:eastAsia="zh-CN"/>
          <w14:textFill>
            <w14:solidFill>
              <w14:schemeClr w14:val="tx1"/>
            </w14:solidFill>
          </w14:textFill>
        </w:rPr>
        <w:t>安全验收评价委托之后，</w:t>
      </w:r>
      <w:r>
        <w:rPr>
          <w:rFonts w:hint="eastAsia"/>
          <w:color w:val="000000" w:themeColor="text1"/>
          <w:lang w:val="en-US" w:eastAsia="zh-CN"/>
          <w14:textFill>
            <w14:solidFill>
              <w14:schemeClr w14:val="tx1"/>
            </w14:solidFill>
          </w14:textFill>
        </w:rPr>
        <w:t>昭通市鼎安科技有限公司</w:t>
      </w:r>
      <w:r>
        <w:rPr>
          <w:rFonts w:hint="eastAsia"/>
          <w:color w:val="000000" w:themeColor="text1"/>
          <w:lang w:val="zh-CN" w:eastAsia="zh-CN"/>
          <w14:textFill>
            <w14:solidFill>
              <w14:schemeClr w14:val="tx1"/>
            </w14:solidFill>
          </w14:textFill>
        </w:rPr>
        <w:t>组成安全评价组，于</w:t>
      </w:r>
      <w:r>
        <w:rPr>
          <w:rFonts w:hint="eastAsia" w:ascii="宋体" w:hAnsi="宋体" w:eastAsia="宋体" w:cs="宋体"/>
          <w:color w:val="000000" w:themeColor="text1"/>
          <w:lang w:val="zh-CN" w:eastAsia="zh-CN"/>
          <w14:textFill>
            <w14:solidFill>
              <w14:schemeClr w14:val="tx1"/>
            </w14:solidFill>
          </w14:textFill>
        </w:rPr>
        <w:t>20</w:t>
      </w:r>
      <w:r>
        <w:rPr>
          <w:rFonts w:hint="eastAsia" w:ascii="宋体" w:hAnsi="宋体" w:eastAsia="宋体" w:cs="宋体"/>
          <w:color w:val="000000" w:themeColor="text1"/>
          <w:lang w:val="en-US" w:eastAsia="zh-CN"/>
          <w14:textFill>
            <w14:solidFill>
              <w14:schemeClr w14:val="tx1"/>
            </w14:solidFill>
          </w14:textFill>
        </w:rPr>
        <w:t>24</w:t>
      </w:r>
      <w:r>
        <w:rPr>
          <w:rFonts w:hint="eastAsia" w:ascii="宋体" w:hAnsi="宋体" w:eastAsia="宋体" w:cs="宋体"/>
          <w:color w:val="000000" w:themeColor="text1"/>
          <w:lang w:val="zh-CN" w:eastAsia="zh-CN"/>
          <w14:textFill>
            <w14:solidFill>
              <w14:schemeClr w14:val="tx1"/>
            </w14:solidFill>
          </w14:textFill>
        </w:rPr>
        <w:t>年</w:t>
      </w:r>
      <w:r>
        <w:rPr>
          <w:rFonts w:hint="eastAsia" w:ascii="宋体" w:hAnsi="宋体" w:eastAsia="宋体" w:cs="宋体"/>
          <w:color w:val="000000" w:themeColor="text1"/>
          <w:lang w:val="en-US" w:eastAsia="zh-CN"/>
          <w14:textFill>
            <w14:solidFill>
              <w14:schemeClr w14:val="tx1"/>
            </w14:solidFill>
          </w14:textFill>
        </w:rPr>
        <w:t>1</w:t>
      </w:r>
      <w:r>
        <w:rPr>
          <w:rFonts w:hint="eastAsia" w:ascii="宋体" w:hAnsi="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lang w:val="zh-CN" w:eastAsia="zh-CN"/>
          <w14:textFill>
            <w14:solidFill>
              <w14:schemeClr w14:val="tx1"/>
            </w14:solidFill>
          </w14:textFill>
        </w:rPr>
        <w:t>月</w:t>
      </w:r>
      <w:r>
        <w:rPr>
          <w:rFonts w:hint="eastAsia" w:ascii="宋体" w:hAnsi="宋体" w:cs="宋体"/>
          <w:color w:val="000000" w:themeColor="text1"/>
          <w:lang w:val="en-US" w:eastAsia="zh-CN"/>
          <w14:textFill>
            <w14:solidFill>
              <w14:schemeClr w14:val="tx1"/>
            </w14:solidFill>
          </w14:textFill>
        </w:rPr>
        <w:t>13</w:t>
      </w:r>
      <w:r>
        <w:rPr>
          <w:rFonts w:hint="eastAsia" w:ascii="宋体" w:hAnsi="宋体" w:eastAsia="宋体" w:cs="宋体"/>
          <w:color w:val="000000" w:themeColor="text1"/>
          <w:lang w:val="zh-CN" w:eastAsia="zh-CN"/>
          <w14:textFill>
            <w14:solidFill>
              <w14:schemeClr w14:val="tx1"/>
            </w14:solidFill>
          </w14:textFill>
        </w:rPr>
        <w:t>日</w:t>
      </w:r>
      <w:r>
        <w:rPr>
          <w:rFonts w:hint="eastAsia"/>
          <w:color w:val="000000" w:themeColor="text1"/>
          <w:lang w:val="zh-CN" w:eastAsia="zh-CN"/>
          <w14:textFill>
            <w14:solidFill>
              <w14:schemeClr w14:val="tx1"/>
            </w14:solidFill>
          </w14:textFill>
        </w:rPr>
        <w:t>对</w:t>
      </w:r>
      <w:r>
        <w:rPr>
          <w:rFonts w:hint="eastAsia"/>
          <w:color w:val="000000" w:themeColor="text1"/>
          <w:lang w:eastAsia="zh-CN"/>
          <w14:textFill>
            <w14:solidFill>
              <w14:schemeClr w14:val="tx1"/>
            </w14:solidFill>
          </w14:textFill>
        </w:rPr>
        <w:t>华能澜沧江（景洪）新能源有限公司</w:t>
      </w:r>
      <w:r>
        <w:rPr>
          <w:rFonts w:hint="eastAsia" w:ascii="宋体" w:hAnsi="宋体" w:eastAsia="宋体" w:cs="宋体"/>
          <w:color w:val="000000" w:themeColor="text1"/>
          <w:kern w:val="2"/>
          <w:sz w:val="28"/>
          <w:szCs w:val="24"/>
          <w:lang w:val="en-US" w:eastAsia="zh-CN" w:bidi="ar-SA"/>
          <w14:textFill>
            <w14:solidFill>
              <w14:schemeClr w14:val="tx1"/>
            </w14:solidFill>
          </w14:textFill>
        </w:rPr>
        <w:t>基诺乡巴卡村洛科新寨光伏电站</w:t>
      </w:r>
      <w:r>
        <w:rPr>
          <w:rFonts w:hint="eastAsia"/>
          <w:color w:val="000000" w:themeColor="text1"/>
          <w:lang w:val="zh-CN" w:eastAsia="zh-CN"/>
          <w14:textFill>
            <w14:solidFill>
              <w14:schemeClr w14:val="tx1"/>
            </w14:solidFill>
          </w14:textFill>
        </w:rPr>
        <w:t>进行了现场调查和资料收集工作。参考国内已建成运行的其他光伏电站工程调研成果及大</w:t>
      </w:r>
      <w:r>
        <w:rPr>
          <w:rFonts w:hint="eastAsia" w:ascii="Times New Roman" w:hAnsi="Times New Roman" w:eastAsia="宋体" w:cs="Times New Roman"/>
          <w:color w:val="000000" w:themeColor="text1"/>
          <w:lang w:val="zh-CN" w:eastAsia="zh-CN"/>
          <w14:textFill>
            <w14:solidFill>
              <w14:schemeClr w14:val="tx1"/>
            </w14:solidFill>
          </w14:textFill>
        </w:rPr>
        <w:t>量同类设备和设施的事故情况及作业环境卫生有关资料，依据《安全验收评价导则》（AQ8003-2007）等有关标准、规范、技术规程以及工程验收阶段性成果，编写完成《</w:t>
      </w:r>
      <w:r>
        <w:rPr>
          <w:rFonts w:hint="eastAsia" w:cs="Times New Roman"/>
          <w:color w:val="000000" w:themeColor="text1"/>
          <w:lang w:val="zh-CN" w:eastAsia="zh-CN"/>
          <w14:textFill>
            <w14:solidFill>
              <w14:schemeClr w14:val="tx1"/>
            </w14:solidFill>
          </w14:textFill>
        </w:rPr>
        <w:t>华能澜沧江（景洪）新能源有限公司</w:t>
      </w:r>
      <w:r>
        <w:rPr>
          <w:rFonts w:hint="eastAsia" w:ascii="宋体" w:hAnsi="宋体" w:eastAsia="宋体" w:cs="宋体"/>
          <w:color w:val="000000" w:themeColor="text1"/>
          <w:kern w:val="2"/>
          <w:sz w:val="28"/>
          <w:szCs w:val="24"/>
          <w:lang w:val="en-US" w:eastAsia="zh-CN" w:bidi="ar-SA"/>
          <w14:textFill>
            <w14:solidFill>
              <w14:schemeClr w14:val="tx1"/>
            </w14:solidFill>
          </w14:textFill>
        </w:rPr>
        <w:t>基诺乡巴卡村洛科新寨光伏电站</w:t>
      </w:r>
      <w:r>
        <w:rPr>
          <w:rFonts w:hint="eastAsia" w:ascii="Times New Roman" w:hAnsi="Times New Roman" w:eastAsia="宋体" w:cs="Times New Roman"/>
          <w:color w:val="000000" w:themeColor="text1"/>
          <w:lang w:val="zh-CN" w:eastAsia="zh-CN"/>
          <w14:textFill>
            <w14:solidFill>
              <w14:schemeClr w14:val="tx1"/>
            </w14:solidFill>
          </w14:textFill>
        </w:rPr>
        <w:t>安全</w:t>
      </w:r>
      <w:r>
        <w:rPr>
          <w:rFonts w:hint="eastAsia" w:cs="Times New Roman"/>
          <w:color w:val="000000" w:themeColor="text1"/>
          <w:lang w:val="en-US" w:eastAsia="zh-CN"/>
          <w14:textFill>
            <w14:solidFill>
              <w14:schemeClr w14:val="tx1"/>
            </w14:solidFill>
          </w14:textFill>
        </w:rPr>
        <w:t>设施竣工</w:t>
      </w:r>
    </w:p>
    <w:p w14:paraId="3EA4EEBC">
      <w:pPr>
        <w:keepNext w:val="0"/>
        <w:keepLines w:val="0"/>
        <w:pageBreakBefore w:val="0"/>
        <w:widowControl w:val="0"/>
        <w:kinsoku/>
        <w:bidi w:val="0"/>
        <w:rPr>
          <w:rFonts w:hint="eastAsia" w:ascii="Times New Roman" w:hAnsi="Times New Roman" w:eastAsia="宋体" w:cs="Times New Roman"/>
          <w:color w:val="000000" w:themeColor="text1"/>
          <w:lang w:val="zh-CN" w:eastAsia="zh-CN"/>
          <w14:textFill>
            <w14:solidFill>
              <w14:schemeClr w14:val="tx1"/>
            </w14:solidFill>
          </w14:textFill>
        </w:rPr>
      </w:pPr>
      <w:r>
        <w:rPr>
          <w:rFonts w:hint="eastAsia" w:ascii="Times New Roman" w:hAnsi="Times New Roman" w:eastAsia="宋体" w:cs="Times New Roman"/>
          <w:color w:val="000000" w:themeColor="text1"/>
          <w:lang w:val="zh-CN" w:eastAsia="zh-CN"/>
          <w14:textFill>
            <w14:solidFill>
              <w14:schemeClr w14:val="tx1"/>
            </w14:solidFill>
          </w14:textFill>
        </w:rPr>
        <w:t>验收评价报告》。</w:t>
      </w:r>
    </w:p>
    <w:p w14:paraId="1208B1E5">
      <w:pPr>
        <w:keepNext w:val="0"/>
        <w:keepLines w:val="0"/>
        <w:pageBreakBefore w:val="0"/>
        <w:widowControl w:val="0"/>
        <w:kinsoku/>
        <w:bidi w:val="0"/>
        <w:rPr>
          <w:rFonts w:hint="eastAsia" w:ascii="Times New Roman" w:hAnsi="Times New Roman" w:eastAsia="宋体" w:cs="Times New Roman"/>
          <w:color w:val="000000" w:themeColor="text1"/>
          <w:lang w:val="zh-CN" w:eastAsia="zh-CN"/>
          <w14:textFill>
            <w14:solidFill>
              <w14:schemeClr w14:val="tx1"/>
            </w14:solidFill>
          </w14:textFill>
        </w:rPr>
      </w:pPr>
      <w:r>
        <w:rPr>
          <w:rFonts w:hint="eastAsia"/>
          <w:color w:val="000000" w:themeColor="text1"/>
          <w:lang w:val="zh-CN" w:eastAsia="zh-CN"/>
          <w14:textFill>
            <w14:solidFill>
              <w14:schemeClr w14:val="tx1"/>
            </w14:solidFill>
          </w14:textFill>
        </w:rPr>
        <w:t>本安</w:t>
      </w:r>
      <w:r>
        <w:rPr>
          <w:rFonts w:hint="eastAsia" w:ascii="Times New Roman" w:hAnsi="Times New Roman" w:eastAsia="宋体" w:cs="Times New Roman"/>
          <w:color w:val="000000" w:themeColor="text1"/>
          <w:lang w:val="zh-CN" w:eastAsia="zh-CN"/>
          <w14:textFill>
            <w14:solidFill>
              <w14:schemeClr w14:val="tx1"/>
            </w14:solidFill>
          </w14:textFill>
        </w:rPr>
        <w:t>全设施验收评价报告结论的主要技术支撑依据是：被评价单位提供的资料、现场勘察时的现状以及本评价机构所采用的评价方法等。当被评价项目的周边环境、总平面布置、安全生产设施、生产工艺和管理状况发生变化，超出本评价报告所依</w:t>
      </w:r>
      <w:r>
        <w:rPr>
          <w:rFonts w:hint="eastAsia" w:cs="Times New Roman"/>
          <w:color w:val="000000" w:themeColor="text1"/>
          <w:lang w:val="zh-CN" w:eastAsia="zh-CN"/>
          <w14:textFill>
            <w14:solidFill>
              <w14:schemeClr w14:val="tx1"/>
            </w14:solidFill>
          </w14:textFill>
        </w:rPr>
        <w:t>据的</w:t>
      </w:r>
      <w:r>
        <w:rPr>
          <w:rFonts w:hint="eastAsia" w:ascii="Times New Roman" w:hAnsi="Times New Roman" w:eastAsia="宋体" w:cs="Times New Roman"/>
          <w:color w:val="000000" w:themeColor="text1"/>
          <w:lang w:val="zh-CN" w:eastAsia="zh-CN"/>
          <w14:textFill>
            <w14:solidFill>
              <w14:schemeClr w14:val="tx1"/>
            </w14:solidFill>
          </w14:textFill>
        </w:rPr>
        <w:t>技术支撑，本评价结论将不再成立。当发生这些情况后，建议企业及时委托有资质的安全评价中介机构重新进行安全评价。</w:t>
      </w:r>
    </w:p>
    <w:p w14:paraId="15552DA4">
      <w:pPr>
        <w:keepNext w:val="0"/>
        <w:keepLines w:val="0"/>
        <w:pageBreakBefore w:val="0"/>
        <w:widowControl w:val="0"/>
        <w:kinsoku/>
        <w:bidi w:val="0"/>
        <w:rPr>
          <w:color w:val="000000" w:themeColor="text1"/>
          <w:lang w:val="en-US" w:eastAsia="zh-CN"/>
          <w14:textFill>
            <w14:solidFill>
              <w14:schemeClr w14:val="tx1"/>
            </w14:solidFill>
          </w14:textFill>
        </w:rPr>
        <w:sectPr>
          <w:footerReference r:id="rId9" w:type="default"/>
          <w:pgSz w:w="11906" w:h="16838"/>
          <w:pgMar w:top="1417" w:right="1417" w:bottom="1417" w:left="1587" w:header="907" w:footer="907" w:gutter="0"/>
          <w:pgNumType w:fmt="upperRoman"/>
          <w:cols w:space="0" w:num="1"/>
          <w:rtlGutter w:val="0"/>
          <w:docGrid w:type="lines" w:linePitch="318" w:charSpace="0"/>
        </w:sectPr>
      </w:pPr>
      <w:r>
        <w:rPr>
          <w:rFonts w:hint="eastAsia" w:ascii="Times New Roman" w:hAnsi="Times New Roman" w:eastAsia="宋体" w:cs="Times New Roman"/>
          <w:color w:val="000000" w:themeColor="text1"/>
          <w:lang w:val="zh-CN" w:eastAsia="zh-CN"/>
          <w14:textFill>
            <w14:solidFill>
              <w14:schemeClr w14:val="tx1"/>
            </w14:solidFill>
          </w14:textFill>
        </w:rPr>
        <w:t>在本次安全设施验收评价过程中，得到华能澜沧江（</w:t>
      </w:r>
      <w:r>
        <w:rPr>
          <w:rFonts w:hint="eastAsia" w:cs="Times New Roman"/>
          <w:color w:val="000000" w:themeColor="text1"/>
          <w:lang w:val="en-US" w:eastAsia="zh-CN"/>
          <w14:textFill>
            <w14:solidFill>
              <w14:schemeClr w14:val="tx1"/>
            </w14:solidFill>
          </w14:textFill>
        </w:rPr>
        <w:t>景洪</w:t>
      </w:r>
      <w:r>
        <w:rPr>
          <w:rFonts w:hint="eastAsia" w:ascii="Times New Roman" w:hAnsi="Times New Roman" w:eastAsia="宋体" w:cs="Times New Roman"/>
          <w:color w:val="000000" w:themeColor="text1"/>
          <w:lang w:val="zh-CN" w:eastAsia="zh-CN"/>
          <w14:textFill>
            <w14:solidFill>
              <w14:schemeClr w14:val="tx1"/>
            </w14:solidFill>
          </w14:textFill>
        </w:rPr>
        <w:t>）新能源有限公司相关技术人员的大力支持，同时引用了一些专家学者的研究成果和技术资料，在此一并表示感谢</w:t>
      </w:r>
      <w:r>
        <w:rPr>
          <w:rFonts w:hint="eastAsia" w:cs="Times New Roman"/>
          <w:color w:val="000000" w:themeColor="text1"/>
          <w:lang w:val="zh-CN" w:eastAsia="zh-CN"/>
          <w14:textFill>
            <w14:solidFill>
              <w14:schemeClr w14:val="tx1"/>
            </w14:solidFill>
          </w14:textFill>
        </w:rPr>
        <w:t>！</w:t>
      </w:r>
    </w:p>
    <w:sdt>
      <w:sdtPr>
        <w:rPr>
          <w:rFonts w:ascii="宋体" w:hAnsi="宋体" w:eastAsia="宋体" w:cs="Times New Roman"/>
          <w:b/>
          <w:bCs/>
          <w:kern w:val="2"/>
          <w:sz w:val="32"/>
          <w:szCs w:val="32"/>
          <w:lang w:val="en-US" w:eastAsia="zh-CN" w:bidi="ar-SA"/>
        </w:rPr>
        <w:id w:val="147457329"/>
        <w15:color w:val="DBDBDB"/>
        <w:docPartObj>
          <w:docPartGallery w:val="Table of Contents"/>
          <w:docPartUnique/>
        </w:docPartObj>
      </w:sdtPr>
      <w:sdtEndPr>
        <w:rPr>
          <w:rFonts w:ascii="宋体" w:hAnsi="宋体" w:eastAsia="宋体" w:cs="Times New Roman"/>
          <w:b/>
          <w:bCs/>
          <w:kern w:val="2"/>
          <w:sz w:val="32"/>
          <w:szCs w:val="32"/>
          <w:lang w:val="en-US" w:eastAsia="zh-CN" w:bidi="ar-SA"/>
        </w:rPr>
      </w:sdtEndPr>
      <w:sdtContent>
        <w:p w14:paraId="25F2A24D">
          <w:pPr>
            <w:spacing w:before="0" w:beforeLines="0" w:after="0" w:afterLines="0" w:line="240" w:lineRule="auto"/>
            <w:ind w:left="0" w:leftChars="0" w:right="0" w:rightChars="0" w:firstLine="0" w:firstLineChars="0"/>
            <w:jc w:val="center"/>
            <w:rPr>
              <w:b/>
              <w:bCs/>
              <w:sz w:val="32"/>
              <w:szCs w:val="32"/>
            </w:rPr>
          </w:pPr>
          <w:bookmarkStart w:id="1" w:name="_Toc15405"/>
          <w:r>
            <w:rPr>
              <w:rFonts w:ascii="宋体" w:hAnsi="宋体" w:eastAsia="宋体"/>
              <w:b/>
              <w:bCs/>
              <w:sz w:val="32"/>
              <w:szCs w:val="32"/>
            </w:rPr>
            <w:t>目</w:t>
          </w:r>
          <w:r>
            <w:rPr>
              <w:rFonts w:hint="eastAsia" w:ascii="宋体" w:hAnsi="宋体" w:eastAsia="宋体"/>
              <w:b/>
              <w:bCs/>
              <w:sz w:val="32"/>
              <w:szCs w:val="32"/>
              <w:lang w:val="en-US" w:eastAsia="zh-CN"/>
            </w:rPr>
            <w:t xml:space="preserve"> </w:t>
          </w:r>
          <w:r>
            <w:rPr>
              <w:rFonts w:ascii="宋体" w:hAnsi="宋体" w:eastAsia="宋体"/>
              <w:b/>
              <w:bCs/>
              <w:sz w:val="32"/>
              <w:szCs w:val="32"/>
            </w:rPr>
            <w:t>录</w:t>
          </w:r>
        </w:p>
        <w:p w14:paraId="0B574A30">
          <w:pPr>
            <w:pStyle w:val="60"/>
            <w:tabs>
              <w:tab w:val="right" w:leader="dot" w:pos="8902"/>
            </w:tabs>
            <w:rPr>
              <w:b/>
            </w:rPr>
          </w:pPr>
          <w:r>
            <w:fldChar w:fldCharType="begin"/>
          </w:r>
          <w:r>
            <w:instrText xml:space="preserve">TOC \o "1-2" \h \u </w:instrText>
          </w:r>
          <w:r>
            <w:fldChar w:fldCharType="separate"/>
          </w:r>
          <w:r>
            <w:rPr>
              <w:b/>
            </w:rPr>
            <w:fldChar w:fldCharType="begin"/>
          </w:r>
          <w:r>
            <w:rPr>
              <w:b/>
            </w:rPr>
            <w:instrText xml:space="preserve"> HYPERLINK \l _Toc26087 </w:instrText>
          </w:r>
          <w:r>
            <w:rPr>
              <w:b/>
            </w:rPr>
            <w:fldChar w:fldCharType="separate"/>
          </w:r>
          <w:r>
            <w:rPr>
              <w:rFonts w:hint="default" w:ascii="黑体" w:hAnsi="黑体" w:eastAsia="黑体" w:cs="黑体"/>
              <w:b/>
              <w:bCs w:val="0"/>
              <w:szCs w:val="36"/>
              <w:lang w:val="en-US" w:eastAsia="zh-CN"/>
            </w:rPr>
            <w:t xml:space="preserve">第1章 </w:t>
          </w:r>
          <w:r>
            <w:rPr>
              <w:rFonts w:hint="eastAsia"/>
              <w:b/>
              <w:lang w:val="en-US" w:eastAsia="zh-CN"/>
            </w:rPr>
            <w:t>评价</w:t>
          </w:r>
          <w:r>
            <w:rPr>
              <w:b/>
              <w:lang w:val="en-US" w:eastAsia="zh-CN"/>
            </w:rPr>
            <w:t>说明</w:t>
          </w:r>
          <w:r>
            <w:rPr>
              <w:b/>
            </w:rPr>
            <w:tab/>
          </w:r>
          <w:r>
            <w:rPr>
              <w:b/>
            </w:rPr>
            <w:fldChar w:fldCharType="begin"/>
          </w:r>
          <w:r>
            <w:rPr>
              <w:b/>
            </w:rPr>
            <w:instrText xml:space="preserve"> PAGEREF _Toc26087 \h </w:instrText>
          </w:r>
          <w:r>
            <w:rPr>
              <w:b/>
            </w:rPr>
            <w:fldChar w:fldCharType="separate"/>
          </w:r>
          <w:r>
            <w:rPr>
              <w:b/>
            </w:rPr>
            <w:t>1</w:t>
          </w:r>
          <w:r>
            <w:rPr>
              <w:b/>
            </w:rPr>
            <w:fldChar w:fldCharType="end"/>
          </w:r>
          <w:r>
            <w:rPr>
              <w:b/>
            </w:rPr>
            <w:fldChar w:fldCharType="end"/>
          </w:r>
        </w:p>
        <w:p w14:paraId="5B5BFFC1">
          <w:pPr>
            <w:pStyle w:val="61"/>
            <w:tabs>
              <w:tab w:val="right" w:leader="dot" w:pos="8902"/>
            </w:tabs>
          </w:pPr>
          <w:r>
            <w:fldChar w:fldCharType="begin"/>
          </w:r>
          <w:r>
            <w:instrText xml:space="preserve"> HYPERLINK \l _Toc14097 </w:instrText>
          </w:r>
          <w:r>
            <w:fldChar w:fldCharType="separate"/>
          </w:r>
          <w:r>
            <w:rPr>
              <w:rFonts w:hint="default" w:ascii="黑体" w:hAnsi="黑体" w:eastAsia="黑体" w:cs="黑体"/>
              <w:bCs w:val="0"/>
              <w:szCs w:val="32"/>
              <w:lang w:val="en-US" w:eastAsia="zh-CN"/>
            </w:rPr>
            <w:t xml:space="preserve">1.1 </w:t>
          </w:r>
          <w:r>
            <w:rPr>
              <w:rFonts w:hint="default"/>
              <w:lang w:val="en-US" w:eastAsia="zh-CN"/>
            </w:rPr>
            <w:t>评价</w:t>
          </w:r>
          <w:r>
            <w:rPr>
              <w:rFonts w:hint="eastAsia"/>
              <w:lang w:val="en-US" w:eastAsia="zh-CN"/>
            </w:rPr>
            <w:t>对象和范围</w:t>
          </w:r>
          <w:r>
            <w:tab/>
          </w:r>
          <w:r>
            <w:fldChar w:fldCharType="begin"/>
          </w:r>
          <w:r>
            <w:instrText xml:space="preserve"> PAGEREF _Toc14097 \h </w:instrText>
          </w:r>
          <w:r>
            <w:fldChar w:fldCharType="separate"/>
          </w:r>
          <w:r>
            <w:t>1</w:t>
          </w:r>
          <w:r>
            <w:fldChar w:fldCharType="end"/>
          </w:r>
          <w:r>
            <w:fldChar w:fldCharType="end"/>
          </w:r>
        </w:p>
        <w:p w14:paraId="083C78F3">
          <w:pPr>
            <w:pStyle w:val="61"/>
            <w:tabs>
              <w:tab w:val="right" w:leader="dot" w:pos="8902"/>
            </w:tabs>
          </w:pPr>
          <w:r>
            <w:fldChar w:fldCharType="begin"/>
          </w:r>
          <w:r>
            <w:instrText xml:space="preserve"> HYPERLINK \l _Toc4230 </w:instrText>
          </w:r>
          <w:r>
            <w:fldChar w:fldCharType="separate"/>
          </w:r>
          <w:r>
            <w:rPr>
              <w:rFonts w:hint="default" w:ascii="黑体" w:hAnsi="黑体" w:eastAsia="黑体" w:cs="黑体"/>
              <w:bCs w:val="0"/>
              <w:szCs w:val="32"/>
              <w:lang w:val="en-US" w:eastAsia="zh-CN"/>
            </w:rPr>
            <w:t xml:space="preserve">1.2 </w:t>
          </w:r>
          <w:r>
            <w:rPr>
              <w:rFonts w:hint="eastAsia"/>
              <w:lang w:val="en-US" w:eastAsia="zh-CN"/>
            </w:rPr>
            <w:t>评价依据</w:t>
          </w:r>
          <w:r>
            <w:tab/>
          </w:r>
          <w:r>
            <w:fldChar w:fldCharType="begin"/>
          </w:r>
          <w:r>
            <w:instrText xml:space="preserve"> PAGEREF _Toc4230 \h </w:instrText>
          </w:r>
          <w:r>
            <w:fldChar w:fldCharType="separate"/>
          </w:r>
          <w:r>
            <w:t>2</w:t>
          </w:r>
          <w:r>
            <w:fldChar w:fldCharType="end"/>
          </w:r>
          <w:r>
            <w:fldChar w:fldCharType="end"/>
          </w:r>
        </w:p>
        <w:p w14:paraId="4CD44D85">
          <w:pPr>
            <w:pStyle w:val="61"/>
            <w:tabs>
              <w:tab w:val="right" w:leader="dot" w:pos="8902"/>
            </w:tabs>
          </w:pPr>
          <w:r>
            <w:fldChar w:fldCharType="begin"/>
          </w:r>
          <w:r>
            <w:instrText xml:space="preserve"> HYPERLINK \l _Toc17275 </w:instrText>
          </w:r>
          <w:r>
            <w:fldChar w:fldCharType="separate"/>
          </w:r>
          <w:r>
            <w:rPr>
              <w:rFonts w:hint="default" w:ascii="黑体" w:hAnsi="黑体" w:eastAsia="黑体" w:cs="黑体"/>
              <w:bCs w:val="0"/>
              <w:szCs w:val="32"/>
              <w:lang w:val="en-US" w:eastAsia="zh-CN"/>
            </w:rPr>
            <w:t xml:space="preserve">1.3 </w:t>
          </w:r>
          <w:r>
            <w:rPr>
              <w:rFonts w:hint="eastAsia" w:cs="Times New Roman"/>
              <w:lang w:val="en-US" w:eastAsia="zh-CN"/>
            </w:rPr>
            <w:t>评价原则</w:t>
          </w:r>
          <w:r>
            <w:tab/>
          </w:r>
          <w:r>
            <w:fldChar w:fldCharType="begin"/>
          </w:r>
          <w:r>
            <w:instrText xml:space="preserve"> PAGEREF _Toc17275 \h </w:instrText>
          </w:r>
          <w:r>
            <w:fldChar w:fldCharType="separate"/>
          </w:r>
          <w:r>
            <w:t>12</w:t>
          </w:r>
          <w:r>
            <w:fldChar w:fldCharType="end"/>
          </w:r>
          <w:r>
            <w:fldChar w:fldCharType="end"/>
          </w:r>
        </w:p>
        <w:p w14:paraId="5163903E">
          <w:pPr>
            <w:pStyle w:val="61"/>
            <w:tabs>
              <w:tab w:val="right" w:leader="dot" w:pos="8902"/>
            </w:tabs>
          </w:pPr>
          <w:r>
            <w:fldChar w:fldCharType="begin"/>
          </w:r>
          <w:r>
            <w:instrText xml:space="preserve"> HYPERLINK \l _Toc14862 </w:instrText>
          </w:r>
          <w:r>
            <w:fldChar w:fldCharType="separate"/>
          </w:r>
          <w:r>
            <w:rPr>
              <w:rFonts w:hint="default" w:ascii="黑体" w:hAnsi="黑体" w:eastAsia="黑体" w:cs="黑体"/>
              <w:bCs w:val="0"/>
              <w:szCs w:val="32"/>
              <w:lang w:val="en-US" w:eastAsia="zh-CN"/>
            </w:rPr>
            <w:t xml:space="preserve">1.4 </w:t>
          </w:r>
          <w:r>
            <w:rPr>
              <w:rFonts w:hint="eastAsia"/>
              <w:lang w:val="en-US" w:eastAsia="zh-CN"/>
            </w:rPr>
            <w:t>评价</w:t>
          </w:r>
          <w:r>
            <w:rPr>
              <w:lang w:val="en-US" w:eastAsia="zh-CN"/>
            </w:rPr>
            <w:t>程序</w:t>
          </w:r>
          <w:r>
            <w:tab/>
          </w:r>
          <w:r>
            <w:fldChar w:fldCharType="begin"/>
          </w:r>
          <w:r>
            <w:instrText xml:space="preserve"> PAGEREF _Toc14862 \h </w:instrText>
          </w:r>
          <w:r>
            <w:fldChar w:fldCharType="separate"/>
          </w:r>
          <w:r>
            <w:t>13</w:t>
          </w:r>
          <w:r>
            <w:fldChar w:fldCharType="end"/>
          </w:r>
          <w:r>
            <w:fldChar w:fldCharType="end"/>
          </w:r>
        </w:p>
        <w:p w14:paraId="31821CB4">
          <w:pPr>
            <w:pStyle w:val="61"/>
            <w:tabs>
              <w:tab w:val="right" w:leader="dot" w:pos="8902"/>
            </w:tabs>
          </w:pPr>
          <w:r>
            <w:fldChar w:fldCharType="begin"/>
          </w:r>
          <w:r>
            <w:instrText xml:space="preserve"> HYPERLINK \l _Toc32686 </w:instrText>
          </w:r>
          <w:r>
            <w:fldChar w:fldCharType="separate"/>
          </w:r>
          <w:r>
            <w:rPr>
              <w:rFonts w:hint="default" w:ascii="黑体" w:hAnsi="黑体" w:eastAsia="黑体" w:cs="黑体"/>
              <w:bCs w:val="0"/>
              <w:szCs w:val="32"/>
              <w:lang w:val="en-US" w:eastAsia="zh-CN"/>
            </w:rPr>
            <w:t xml:space="preserve">1.5 </w:t>
          </w:r>
          <w:r>
            <w:rPr>
              <w:rFonts w:hint="eastAsia"/>
              <w:lang w:val="en-US" w:eastAsia="zh-CN"/>
            </w:rPr>
            <w:t>评价报告使用权声明</w:t>
          </w:r>
          <w:r>
            <w:tab/>
          </w:r>
          <w:r>
            <w:fldChar w:fldCharType="begin"/>
          </w:r>
          <w:r>
            <w:instrText xml:space="preserve"> PAGEREF _Toc32686 \h </w:instrText>
          </w:r>
          <w:r>
            <w:fldChar w:fldCharType="separate"/>
          </w:r>
          <w:r>
            <w:t>14</w:t>
          </w:r>
          <w:r>
            <w:fldChar w:fldCharType="end"/>
          </w:r>
          <w:r>
            <w:fldChar w:fldCharType="end"/>
          </w:r>
        </w:p>
        <w:p w14:paraId="04556729">
          <w:pPr>
            <w:pStyle w:val="61"/>
            <w:tabs>
              <w:tab w:val="right" w:leader="dot" w:pos="8902"/>
            </w:tabs>
          </w:pPr>
          <w:r>
            <w:fldChar w:fldCharType="begin"/>
          </w:r>
          <w:r>
            <w:instrText xml:space="preserve"> HYPERLINK \l _Toc27570 </w:instrText>
          </w:r>
          <w:r>
            <w:fldChar w:fldCharType="separate"/>
          </w:r>
          <w:r>
            <w:rPr>
              <w:rFonts w:hint="default" w:ascii="黑体" w:hAnsi="黑体" w:eastAsia="黑体" w:cs="黑体"/>
              <w:bCs w:val="0"/>
              <w:szCs w:val="32"/>
              <w:lang w:val="en-US" w:eastAsia="zh-CN"/>
            </w:rPr>
            <w:t xml:space="preserve">1.6 </w:t>
          </w:r>
          <w:r>
            <w:rPr>
              <w:rFonts w:hint="eastAsia"/>
              <w:lang w:val="en-US" w:eastAsia="zh-CN"/>
            </w:rPr>
            <w:t>评价基准日</w:t>
          </w:r>
          <w:r>
            <w:tab/>
          </w:r>
          <w:r>
            <w:fldChar w:fldCharType="begin"/>
          </w:r>
          <w:r>
            <w:instrText xml:space="preserve"> PAGEREF _Toc27570 \h </w:instrText>
          </w:r>
          <w:r>
            <w:fldChar w:fldCharType="separate"/>
          </w:r>
          <w:r>
            <w:t>14</w:t>
          </w:r>
          <w:r>
            <w:fldChar w:fldCharType="end"/>
          </w:r>
          <w:r>
            <w:fldChar w:fldCharType="end"/>
          </w:r>
        </w:p>
        <w:p w14:paraId="7F5B3161">
          <w:pPr>
            <w:pStyle w:val="60"/>
            <w:tabs>
              <w:tab w:val="right" w:leader="dot" w:pos="8902"/>
            </w:tabs>
            <w:rPr>
              <w:b/>
            </w:rPr>
          </w:pPr>
          <w:r>
            <w:rPr>
              <w:b/>
            </w:rPr>
            <w:fldChar w:fldCharType="begin"/>
          </w:r>
          <w:r>
            <w:rPr>
              <w:b/>
            </w:rPr>
            <w:instrText xml:space="preserve"> HYPERLINK \l _Toc1580 </w:instrText>
          </w:r>
          <w:r>
            <w:rPr>
              <w:b/>
            </w:rPr>
            <w:fldChar w:fldCharType="separate"/>
          </w:r>
          <w:r>
            <w:rPr>
              <w:rFonts w:hint="default" w:ascii="黑体" w:hAnsi="黑体" w:eastAsia="黑体" w:cs="黑体"/>
              <w:b/>
              <w:bCs w:val="0"/>
              <w:szCs w:val="36"/>
              <w:lang w:eastAsia="zh-CN"/>
            </w:rPr>
            <w:t xml:space="preserve">第2章 </w:t>
          </w:r>
          <w:r>
            <w:rPr>
              <w:rFonts w:hint="eastAsia"/>
              <w:b/>
              <w:lang w:eastAsia="zh-CN"/>
            </w:rPr>
            <w:t>建设项目概况</w:t>
          </w:r>
          <w:r>
            <w:rPr>
              <w:b/>
            </w:rPr>
            <w:tab/>
          </w:r>
          <w:r>
            <w:rPr>
              <w:b/>
            </w:rPr>
            <w:fldChar w:fldCharType="begin"/>
          </w:r>
          <w:r>
            <w:rPr>
              <w:b/>
            </w:rPr>
            <w:instrText xml:space="preserve"> PAGEREF _Toc1580 \h </w:instrText>
          </w:r>
          <w:r>
            <w:rPr>
              <w:b/>
            </w:rPr>
            <w:fldChar w:fldCharType="separate"/>
          </w:r>
          <w:r>
            <w:rPr>
              <w:b/>
            </w:rPr>
            <w:t>15</w:t>
          </w:r>
          <w:r>
            <w:rPr>
              <w:b/>
            </w:rPr>
            <w:fldChar w:fldCharType="end"/>
          </w:r>
          <w:r>
            <w:rPr>
              <w:b/>
            </w:rPr>
            <w:fldChar w:fldCharType="end"/>
          </w:r>
        </w:p>
        <w:p w14:paraId="3F9D7EB4">
          <w:pPr>
            <w:pStyle w:val="61"/>
            <w:tabs>
              <w:tab w:val="right" w:leader="dot" w:pos="8902"/>
            </w:tabs>
          </w:pPr>
          <w:r>
            <w:fldChar w:fldCharType="begin"/>
          </w:r>
          <w:r>
            <w:instrText xml:space="preserve"> HYPERLINK \l _Toc7070 </w:instrText>
          </w:r>
          <w:r>
            <w:fldChar w:fldCharType="separate"/>
          </w:r>
          <w:r>
            <w:rPr>
              <w:rFonts w:hint="default" w:ascii="黑体" w:hAnsi="黑体" w:eastAsia="黑体" w:cs="黑体"/>
              <w:bCs w:val="0"/>
              <w:szCs w:val="32"/>
              <w:lang w:eastAsia="zh-CN"/>
            </w:rPr>
            <w:t xml:space="preserve">2.1 </w:t>
          </w:r>
          <w:r>
            <w:rPr>
              <w:rFonts w:hint="eastAsia"/>
              <w:lang w:eastAsia="zh-CN"/>
            </w:rPr>
            <w:t>建设单位简介</w:t>
          </w:r>
          <w:r>
            <w:tab/>
          </w:r>
          <w:r>
            <w:fldChar w:fldCharType="begin"/>
          </w:r>
          <w:r>
            <w:instrText xml:space="preserve"> PAGEREF _Toc7070 \h </w:instrText>
          </w:r>
          <w:r>
            <w:fldChar w:fldCharType="separate"/>
          </w:r>
          <w:r>
            <w:t>15</w:t>
          </w:r>
          <w:r>
            <w:fldChar w:fldCharType="end"/>
          </w:r>
          <w:r>
            <w:fldChar w:fldCharType="end"/>
          </w:r>
        </w:p>
        <w:p w14:paraId="0C877AAE">
          <w:pPr>
            <w:pStyle w:val="61"/>
            <w:tabs>
              <w:tab w:val="right" w:leader="dot" w:pos="8902"/>
            </w:tabs>
          </w:pPr>
          <w:r>
            <w:fldChar w:fldCharType="begin"/>
          </w:r>
          <w:r>
            <w:instrText xml:space="preserve"> HYPERLINK \l _Toc27480 </w:instrText>
          </w:r>
          <w:r>
            <w:fldChar w:fldCharType="separate"/>
          </w:r>
          <w:r>
            <w:rPr>
              <w:rFonts w:hint="default" w:ascii="黑体" w:hAnsi="黑体" w:eastAsia="黑体" w:cs="黑体"/>
              <w:bCs w:val="0"/>
              <w:szCs w:val="32"/>
              <w:lang w:eastAsia="zh-CN"/>
            </w:rPr>
            <w:t xml:space="preserve">2.2 </w:t>
          </w:r>
          <w:r>
            <w:rPr>
              <w:rFonts w:hint="eastAsia"/>
              <w:lang w:eastAsia="zh-CN"/>
            </w:rPr>
            <w:t>建设项目</w:t>
          </w:r>
          <w:r>
            <w:rPr>
              <w:rFonts w:hint="eastAsia"/>
              <w:lang w:val="en-US" w:eastAsia="zh-CN"/>
            </w:rPr>
            <w:t>概况</w:t>
          </w:r>
          <w:r>
            <w:tab/>
          </w:r>
          <w:r>
            <w:fldChar w:fldCharType="begin"/>
          </w:r>
          <w:r>
            <w:instrText xml:space="preserve"> PAGEREF _Toc27480 \h </w:instrText>
          </w:r>
          <w:r>
            <w:fldChar w:fldCharType="separate"/>
          </w:r>
          <w:r>
            <w:t>15</w:t>
          </w:r>
          <w:r>
            <w:fldChar w:fldCharType="end"/>
          </w:r>
          <w:r>
            <w:fldChar w:fldCharType="end"/>
          </w:r>
        </w:p>
        <w:p w14:paraId="4AB451C1">
          <w:pPr>
            <w:pStyle w:val="61"/>
            <w:tabs>
              <w:tab w:val="right" w:leader="dot" w:pos="8902"/>
            </w:tabs>
          </w:pPr>
          <w:r>
            <w:fldChar w:fldCharType="begin"/>
          </w:r>
          <w:r>
            <w:instrText xml:space="preserve"> HYPERLINK \l _Toc20456 </w:instrText>
          </w:r>
          <w:r>
            <w:fldChar w:fldCharType="separate"/>
          </w:r>
          <w:r>
            <w:rPr>
              <w:rFonts w:hint="default" w:ascii="黑体" w:hAnsi="黑体" w:eastAsia="黑体" w:cs="黑体"/>
              <w:bCs w:val="0"/>
              <w:szCs w:val="32"/>
              <w:lang w:eastAsia="zh-CN"/>
            </w:rPr>
            <w:t xml:space="preserve">2.3 </w:t>
          </w:r>
          <w:r>
            <w:rPr>
              <w:rFonts w:hint="eastAsia" w:cs="Times New Roman"/>
              <w:lang w:eastAsia="zh-CN"/>
            </w:rPr>
            <w:t>建设项目历程</w:t>
          </w:r>
          <w:r>
            <w:tab/>
          </w:r>
          <w:r>
            <w:fldChar w:fldCharType="begin"/>
          </w:r>
          <w:r>
            <w:instrText xml:space="preserve"> PAGEREF _Toc20456 \h </w:instrText>
          </w:r>
          <w:r>
            <w:fldChar w:fldCharType="separate"/>
          </w:r>
          <w:r>
            <w:t>16</w:t>
          </w:r>
          <w:r>
            <w:fldChar w:fldCharType="end"/>
          </w:r>
          <w:r>
            <w:fldChar w:fldCharType="end"/>
          </w:r>
        </w:p>
        <w:p w14:paraId="29F570AC">
          <w:pPr>
            <w:pStyle w:val="61"/>
            <w:tabs>
              <w:tab w:val="right" w:leader="dot" w:pos="8902"/>
            </w:tabs>
          </w:pPr>
          <w:r>
            <w:fldChar w:fldCharType="begin"/>
          </w:r>
          <w:r>
            <w:instrText xml:space="preserve"> HYPERLINK \l _Toc23338 </w:instrText>
          </w:r>
          <w:r>
            <w:fldChar w:fldCharType="separate"/>
          </w:r>
          <w:r>
            <w:rPr>
              <w:rFonts w:hint="default" w:ascii="黑体" w:hAnsi="黑体" w:eastAsia="黑体" w:cs="黑体"/>
              <w:bCs w:val="0"/>
              <w:szCs w:val="32"/>
              <w:lang w:val="en-US" w:eastAsia="zh-CN"/>
            </w:rPr>
            <w:t xml:space="preserve">2.4 </w:t>
          </w:r>
          <w:r>
            <w:rPr>
              <w:rFonts w:hint="eastAsia" w:cs="Times New Roman"/>
              <w:lang w:val="en-US" w:eastAsia="zh-CN"/>
            </w:rPr>
            <w:t>相关建设单位</w:t>
          </w:r>
          <w:r>
            <w:tab/>
          </w:r>
          <w:r>
            <w:fldChar w:fldCharType="begin"/>
          </w:r>
          <w:r>
            <w:instrText xml:space="preserve"> PAGEREF _Toc23338 \h </w:instrText>
          </w:r>
          <w:r>
            <w:fldChar w:fldCharType="separate"/>
          </w:r>
          <w:r>
            <w:t>16</w:t>
          </w:r>
          <w:r>
            <w:fldChar w:fldCharType="end"/>
          </w:r>
          <w:r>
            <w:fldChar w:fldCharType="end"/>
          </w:r>
        </w:p>
        <w:p w14:paraId="27614AD0">
          <w:pPr>
            <w:pStyle w:val="61"/>
            <w:tabs>
              <w:tab w:val="right" w:leader="dot" w:pos="8902"/>
            </w:tabs>
          </w:pPr>
          <w:r>
            <w:fldChar w:fldCharType="begin"/>
          </w:r>
          <w:r>
            <w:instrText xml:space="preserve"> HYPERLINK \l _Toc12798 </w:instrText>
          </w:r>
          <w:r>
            <w:fldChar w:fldCharType="separate"/>
          </w:r>
          <w:r>
            <w:rPr>
              <w:rFonts w:hint="default" w:ascii="黑体" w:hAnsi="黑体" w:eastAsia="黑体" w:cs="黑体"/>
              <w:bCs w:val="0"/>
              <w:szCs w:val="32"/>
              <w:lang w:val="en-US" w:eastAsia="zh-CN"/>
            </w:rPr>
            <w:t xml:space="preserve">2.5 </w:t>
          </w:r>
          <w:r>
            <w:rPr>
              <w:rFonts w:hint="eastAsia" w:cs="Times New Roman"/>
              <w:lang w:val="en-US" w:eastAsia="zh-CN"/>
            </w:rPr>
            <w:t>项目竣工验收情况</w:t>
          </w:r>
          <w:r>
            <w:tab/>
          </w:r>
          <w:r>
            <w:fldChar w:fldCharType="begin"/>
          </w:r>
          <w:r>
            <w:instrText xml:space="preserve"> PAGEREF _Toc12798 \h </w:instrText>
          </w:r>
          <w:r>
            <w:fldChar w:fldCharType="separate"/>
          </w:r>
          <w:r>
            <w:t>17</w:t>
          </w:r>
          <w:r>
            <w:fldChar w:fldCharType="end"/>
          </w:r>
          <w:r>
            <w:fldChar w:fldCharType="end"/>
          </w:r>
        </w:p>
        <w:p w14:paraId="6AA0B0AC">
          <w:pPr>
            <w:pStyle w:val="61"/>
            <w:tabs>
              <w:tab w:val="right" w:leader="dot" w:pos="8902"/>
            </w:tabs>
          </w:pPr>
          <w:r>
            <w:fldChar w:fldCharType="begin"/>
          </w:r>
          <w:r>
            <w:instrText xml:space="preserve"> HYPERLINK \l _Toc6503 </w:instrText>
          </w:r>
          <w:r>
            <w:fldChar w:fldCharType="separate"/>
          </w:r>
          <w:r>
            <w:rPr>
              <w:rFonts w:hint="default" w:ascii="黑体" w:hAnsi="黑体" w:eastAsia="黑体" w:cs="黑体"/>
              <w:bCs w:val="0"/>
              <w:szCs w:val="32"/>
              <w:lang w:eastAsia="zh-CN"/>
            </w:rPr>
            <w:t xml:space="preserve">2.6 </w:t>
          </w:r>
          <w:r>
            <w:rPr>
              <w:rFonts w:hint="eastAsia"/>
              <w:lang w:eastAsia="zh-CN"/>
            </w:rPr>
            <w:t>建设项目</w:t>
          </w:r>
          <w:r>
            <w:rPr>
              <w:rFonts w:hint="eastAsia"/>
              <w:lang w:val="en-US" w:eastAsia="zh-CN"/>
            </w:rPr>
            <w:t>地理</w:t>
          </w:r>
          <w:r>
            <w:rPr>
              <w:rFonts w:hint="eastAsia"/>
              <w:kern w:val="0"/>
              <w:szCs w:val="28"/>
              <w:lang w:bidi="ar"/>
            </w:rPr>
            <w:t>位置</w:t>
          </w:r>
          <w:r>
            <w:rPr>
              <w:rFonts w:hint="eastAsia"/>
              <w:kern w:val="0"/>
              <w:szCs w:val="28"/>
              <w:lang w:val="en-US" w:eastAsia="zh-CN" w:bidi="ar"/>
            </w:rPr>
            <w:t>及周边环境</w:t>
          </w:r>
          <w:r>
            <w:tab/>
          </w:r>
          <w:r>
            <w:fldChar w:fldCharType="begin"/>
          </w:r>
          <w:r>
            <w:instrText xml:space="preserve"> PAGEREF _Toc6503 \h </w:instrText>
          </w:r>
          <w:r>
            <w:fldChar w:fldCharType="separate"/>
          </w:r>
          <w:r>
            <w:t>17</w:t>
          </w:r>
          <w:r>
            <w:fldChar w:fldCharType="end"/>
          </w:r>
          <w:r>
            <w:fldChar w:fldCharType="end"/>
          </w:r>
        </w:p>
        <w:p w14:paraId="27A5F924">
          <w:pPr>
            <w:pStyle w:val="61"/>
            <w:tabs>
              <w:tab w:val="right" w:leader="dot" w:pos="8902"/>
            </w:tabs>
          </w:pPr>
          <w:r>
            <w:fldChar w:fldCharType="begin"/>
          </w:r>
          <w:r>
            <w:instrText xml:space="preserve"> HYPERLINK \l _Toc24178 </w:instrText>
          </w:r>
          <w:r>
            <w:fldChar w:fldCharType="separate"/>
          </w:r>
          <w:r>
            <w:rPr>
              <w:rFonts w:hint="default" w:ascii="黑体" w:hAnsi="黑体" w:eastAsia="黑体" w:cs="黑体"/>
              <w:bCs w:val="0"/>
              <w:szCs w:val="32"/>
              <w:lang w:eastAsia="zh-CN"/>
            </w:rPr>
            <w:t xml:space="preserve">2.7 </w:t>
          </w:r>
          <w:r>
            <w:t>项目自然条件</w:t>
          </w:r>
          <w:r>
            <w:tab/>
          </w:r>
          <w:r>
            <w:fldChar w:fldCharType="begin"/>
          </w:r>
          <w:r>
            <w:instrText xml:space="preserve"> PAGEREF _Toc24178 \h </w:instrText>
          </w:r>
          <w:r>
            <w:fldChar w:fldCharType="separate"/>
          </w:r>
          <w:r>
            <w:t>19</w:t>
          </w:r>
          <w:r>
            <w:fldChar w:fldCharType="end"/>
          </w:r>
          <w:r>
            <w:fldChar w:fldCharType="end"/>
          </w:r>
        </w:p>
        <w:p w14:paraId="3A75E9A1">
          <w:pPr>
            <w:pStyle w:val="61"/>
            <w:tabs>
              <w:tab w:val="right" w:leader="dot" w:pos="8902"/>
            </w:tabs>
          </w:pPr>
          <w:r>
            <w:fldChar w:fldCharType="begin"/>
          </w:r>
          <w:r>
            <w:instrText xml:space="preserve"> HYPERLINK \l _Toc8363 </w:instrText>
          </w:r>
          <w:r>
            <w:fldChar w:fldCharType="separate"/>
          </w:r>
          <w:r>
            <w:rPr>
              <w:rFonts w:hint="default" w:ascii="黑体" w:hAnsi="黑体" w:eastAsia="黑体" w:cs="黑体"/>
              <w:bCs w:val="0"/>
              <w:szCs w:val="32"/>
              <w:lang w:eastAsia="zh-CN"/>
            </w:rPr>
            <w:t xml:space="preserve">2.8 </w:t>
          </w:r>
          <w:r>
            <w:rPr>
              <w:rFonts w:hint="eastAsia"/>
              <w:lang w:eastAsia="zh-CN"/>
            </w:rPr>
            <w:t>总平面布置</w:t>
          </w:r>
          <w:r>
            <w:tab/>
          </w:r>
          <w:r>
            <w:fldChar w:fldCharType="begin"/>
          </w:r>
          <w:r>
            <w:instrText xml:space="preserve"> PAGEREF _Toc8363 \h </w:instrText>
          </w:r>
          <w:r>
            <w:fldChar w:fldCharType="separate"/>
          </w:r>
          <w:r>
            <w:t>23</w:t>
          </w:r>
          <w:r>
            <w:fldChar w:fldCharType="end"/>
          </w:r>
          <w:r>
            <w:fldChar w:fldCharType="end"/>
          </w:r>
        </w:p>
        <w:p w14:paraId="3D988DB6">
          <w:pPr>
            <w:pStyle w:val="61"/>
            <w:tabs>
              <w:tab w:val="right" w:leader="dot" w:pos="8902"/>
            </w:tabs>
          </w:pPr>
          <w:r>
            <w:fldChar w:fldCharType="begin"/>
          </w:r>
          <w:r>
            <w:instrText xml:space="preserve"> HYPERLINK \l _Toc23649 </w:instrText>
          </w:r>
          <w:r>
            <w:fldChar w:fldCharType="separate"/>
          </w:r>
          <w:r>
            <w:rPr>
              <w:rFonts w:hint="default" w:ascii="黑体" w:hAnsi="黑体" w:eastAsia="黑体" w:cs="黑体"/>
              <w:bCs w:val="0"/>
              <w:szCs w:val="32"/>
              <w:lang w:val="en-US" w:eastAsia="zh-CN"/>
            </w:rPr>
            <w:t xml:space="preserve">2.9 </w:t>
          </w:r>
          <w:r>
            <w:rPr>
              <w:rFonts w:hint="eastAsia"/>
              <w:lang w:val="en-US" w:eastAsia="zh-CN"/>
            </w:rPr>
            <w:t>公用工程和辅助设施</w:t>
          </w:r>
          <w:r>
            <w:tab/>
          </w:r>
          <w:r>
            <w:fldChar w:fldCharType="begin"/>
          </w:r>
          <w:r>
            <w:instrText xml:space="preserve"> PAGEREF _Toc23649 \h </w:instrText>
          </w:r>
          <w:r>
            <w:fldChar w:fldCharType="separate"/>
          </w:r>
          <w:r>
            <w:t>26</w:t>
          </w:r>
          <w:r>
            <w:fldChar w:fldCharType="end"/>
          </w:r>
          <w:r>
            <w:fldChar w:fldCharType="end"/>
          </w:r>
        </w:p>
        <w:p w14:paraId="724F7F19">
          <w:pPr>
            <w:pStyle w:val="61"/>
            <w:tabs>
              <w:tab w:val="right" w:leader="dot" w:pos="8902"/>
            </w:tabs>
          </w:pPr>
          <w:r>
            <w:fldChar w:fldCharType="begin"/>
          </w:r>
          <w:r>
            <w:instrText xml:space="preserve"> HYPERLINK \l _Toc16080 </w:instrText>
          </w:r>
          <w:r>
            <w:fldChar w:fldCharType="separate"/>
          </w:r>
          <w:r>
            <w:rPr>
              <w:rFonts w:hint="default" w:ascii="黑体" w:hAnsi="黑体" w:eastAsia="黑体" w:cs="黑体"/>
              <w:bCs w:val="0"/>
              <w:szCs w:val="32"/>
              <w:lang w:val="en-US" w:eastAsia="zh-CN"/>
            </w:rPr>
            <w:t xml:space="preserve">2.10 </w:t>
          </w:r>
          <w:r>
            <w:rPr>
              <w:rFonts w:hint="eastAsia"/>
              <w:lang w:val="en-US" w:eastAsia="zh-CN"/>
            </w:rPr>
            <w:t>安全管理</w:t>
          </w:r>
          <w:r>
            <w:tab/>
          </w:r>
          <w:r>
            <w:fldChar w:fldCharType="begin"/>
          </w:r>
          <w:r>
            <w:instrText xml:space="preserve"> PAGEREF _Toc16080 \h </w:instrText>
          </w:r>
          <w:r>
            <w:fldChar w:fldCharType="separate"/>
          </w:r>
          <w:r>
            <w:t>28</w:t>
          </w:r>
          <w:r>
            <w:fldChar w:fldCharType="end"/>
          </w:r>
          <w:r>
            <w:fldChar w:fldCharType="end"/>
          </w:r>
        </w:p>
        <w:p w14:paraId="3EB9C6F6">
          <w:pPr>
            <w:pStyle w:val="61"/>
            <w:tabs>
              <w:tab w:val="right" w:leader="dot" w:pos="8902"/>
            </w:tabs>
          </w:pPr>
          <w:r>
            <w:fldChar w:fldCharType="begin"/>
          </w:r>
          <w:r>
            <w:instrText xml:space="preserve"> HYPERLINK \l _Toc16575 </w:instrText>
          </w:r>
          <w:r>
            <w:fldChar w:fldCharType="separate"/>
          </w:r>
          <w:r>
            <w:rPr>
              <w:rFonts w:hint="default" w:ascii="黑体" w:hAnsi="黑体" w:eastAsia="黑体" w:cs="黑体"/>
              <w:bCs w:val="0"/>
              <w:szCs w:val="32"/>
              <w:lang w:val="en-US" w:eastAsia="zh-CN"/>
            </w:rPr>
            <w:t xml:space="preserve">2.11 </w:t>
          </w:r>
          <w:r>
            <w:rPr>
              <w:rFonts w:hint="eastAsia"/>
              <w:lang w:val="en-US" w:eastAsia="zh-CN"/>
            </w:rPr>
            <w:t>施工及监理概况</w:t>
          </w:r>
          <w:r>
            <w:tab/>
          </w:r>
          <w:r>
            <w:fldChar w:fldCharType="begin"/>
          </w:r>
          <w:r>
            <w:instrText xml:space="preserve"> PAGEREF _Toc16575 \h </w:instrText>
          </w:r>
          <w:r>
            <w:fldChar w:fldCharType="separate"/>
          </w:r>
          <w:r>
            <w:t>33</w:t>
          </w:r>
          <w:r>
            <w:fldChar w:fldCharType="end"/>
          </w:r>
          <w:r>
            <w:fldChar w:fldCharType="end"/>
          </w:r>
        </w:p>
        <w:p w14:paraId="4BA45484">
          <w:pPr>
            <w:pStyle w:val="61"/>
            <w:tabs>
              <w:tab w:val="right" w:leader="dot" w:pos="8902"/>
            </w:tabs>
          </w:pPr>
          <w:r>
            <w:fldChar w:fldCharType="begin"/>
          </w:r>
          <w:r>
            <w:instrText xml:space="preserve"> HYPERLINK \l _Toc16753 </w:instrText>
          </w:r>
          <w:r>
            <w:fldChar w:fldCharType="separate"/>
          </w:r>
          <w:r>
            <w:rPr>
              <w:rFonts w:hint="default" w:ascii="黑体" w:hAnsi="黑体" w:eastAsia="黑体" w:cs="黑体"/>
              <w:bCs w:val="0"/>
              <w:szCs w:val="32"/>
              <w:lang w:val="en-US" w:eastAsia="zh-CN"/>
            </w:rPr>
            <w:t xml:space="preserve">2.12 </w:t>
          </w:r>
          <w:r>
            <w:rPr>
              <w:rFonts w:hint="eastAsia" w:cs="Times New Roman"/>
              <w:bCs/>
              <w:kern w:val="2"/>
              <w:szCs w:val="36"/>
              <w:lang w:val="en-US" w:eastAsia="zh-CN" w:bidi="ar-SA"/>
            </w:rPr>
            <w:t>安全设施设计变更说明</w:t>
          </w:r>
          <w:r>
            <w:tab/>
          </w:r>
          <w:r>
            <w:fldChar w:fldCharType="begin"/>
          </w:r>
          <w:r>
            <w:instrText xml:space="preserve"> PAGEREF _Toc16753 \h </w:instrText>
          </w:r>
          <w:r>
            <w:fldChar w:fldCharType="separate"/>
          </w:r>
          <w:r>
            <w:t>34</w:t>
          </w:r>
          <w:r>
            <w:fldChar w:fldCharType="end"/>
          </w:r>
          <w:r>
            <w:fldChar w:fldCharType="end"/>
          </w:r>
        </w:p>
        <w:p w14:paraId="408F52CB">
          <w:pPr>
            <w:pStyle w:val="61"/>
            <w:tabs>
              <w:tab w:val="right" w:leader="dot" w:pos="8902"/>
            </w:tabs>
          </w:pPr>
          <w:r>
            <w:fldChar w:fldCharType="begin"/>
          </w:r>
          <w:r>
            <w:instrText xml:space="preserve"> HYPERLINK \l _Toc25931 </w:instrText>
          </w:r>
          <w:r>
            <w:fldChar w:fldCharType="separate"/>
          </w:r>
          <w:r>
            <w:rPr>
              <w:rFonts w:hint="default" w:ascii="黑体" w:hAnsi="黑体" w:eastAsia="黑体" w:cs="黑体"/>
              <w:bCs w:val="0"/>
              <w:szCs w:val="32"/>
              <w:lang w:val="en-US" w:eastAsia="zh-CN"/>
            </w:rPr>
            <w:t xml:space="preserve">2.13 </w:t>
          </w:r>
          <w:r>
            <w:rPr>
              <w:rFonts w:hint="eastAsia"/>
              <w:lang w:val="en-US" w:eastAsia="zh-CN"/>
            </w:rPr>
            <w:t>试运行概况</w:t>
          </w:r>
          <w:r>
            <w:tab/>
          </w:r>
          <w:r>
            <w:fldChar w:fldCharType="begin"/>
          </w:r>
          <w:r>
            <w:instrText xml:space="preserve"> PAGEREF _Toc25931 \h </w:instrText>
          </w:r>
          <w:r>
            <w:fldChar w:fldCharType="separate"/>
          </w:r>
          <w:r>
            <w:t>34</w:t>
          </w:r>
          <w:r>
            <w:fldChar w:fldCharType="end"/>
          </w:r>
          <w:r>
            <w:fldChar w:fldCharType="end"/>
          </w:r>
        </w:p>
        <w:p w14:paraId="78EC441F">
          <w:pPr>
            <w:pStyle w:val="60"/>
            <w:tabs>
              <w:tab w:val="right" w:leader="dot" w:pos="8902"/>
            </w:tabs>
            <w:rPr>
              <w:b/>
            </w:rPr>
          </w:pPr>
          <w:r>
            <w:rPr>
              <w:b/>
            </w:rPr>
            <w:fldChar w:fldCharType="begin"/>
          </w:r>
          <w:r>
            <w:rPr>
              <w:b/>
            </w:rPr>
            <w:instrText xml:space="preserve"> HYPERLINK \l _Toc7067 </w:instrText>
          </w:r>
          <w:r>
            <w:rPr>
              <w:b/>
            </w:rPr>
            <w:fldChar w:fldCharType="separate"/>
          </w:r>
          <w:r>
            <w:rPr>
              <w:rFonts w:hint="default" w:ascii="黑体" w:hAnsi="黑体" w:eastAsia="黑体" w:cs="黑体"/>
              <w:b/>
              <w:bCs w:val="0"/>
              <w:szCs w:val="36"/>
              <w:lang w:val="en-US" w:eastAsia="zh-CN"/>
            </w:rPr>
            <w:t xml:space="preserve">第3章 </w:t>
          </w:r>
          <w:r>
            <w:rPr>
              <w:rFonts w:hint="eastAsia"/>
              <w:b/>
              <w:lang w:val="en-US" w:eastAsia="zh-CN"/>
            </w:rPr>
            <w:t>主要危险有害因素的辨识与分析</w:t>
          </w:r>
          <w:r>
            <w:rPr>
              <w:b/>
            </w:rPr>
            <w:tab/>
          </w:r>
          <w:r>
            <w:rPr>
              <w:b/>
            </w:rPr>
            <w:fldChar w:fldCharType="begin"/>
          </w:r>
          <w:r>
            <w:rPr>
              <w:b/>
            </w:rPr>
            <w:instrText xml:space="preserve"> PAGEREF _Toc7067 \h </w:instrText>
          </w:r>
          <w:r>
            <w:rPr>
              <w:b/>
            </w:rPr>
            <w:fldChar w:fldCharType="separate"/>
          </w:r>
          <w:r>
            <w:rPr>
              <w:b/>
            </w:rPr>
            <w:t>36</w:t>
          </w:r>
          <w:r>
            <w:rPr>
              <w:b/>
            </w:rPr>
            <w:fldChar w:fldCharType="end"/>
          </w:r>
          <w:r>
            <w:rPr>
              <w:b/>
            </w:rPr>
            <w:fldChar w:fldCharType="end"/>
          </w:r>
        </w:p>
        <w:p w14:paraId="08587F1B">
          <w:pPr>
            <w:pStyle w:val="61"/>
            <w:tabs>
              <w:tab w:val="right" w:leader="dot" w:pos="8902"/>
            </w:tabs>
          </w:pPr>
          <w:r>
            <w:fldChar w:fldCharType="begin"/>
          </w:r>
          <w:r>
            <w:instrText xml:space="preserve"> HYPERLINK \l _Toc6149 </w:instrText>
          </w:r>
          <w:r>
            <w:fldChar w:fldCharType="separate"/>
          </w:r>
          <w:r>
            <w:rPr>
              <w:rFonts w:hint="default" w:ascii="黑体" w:hAnsi="黑体" w:eastAsia="黑体" w:cs="黑体"/>
              <w:bCs w:val="0"/>
              <w:szCs w:val="32"/>
            </w:rPr>
            <w:t xml:space="preserve">3.1 </w:t>
          </w:r>
          <w:r>
            <w:rPr>
              <w:rFonts w:hint="eastAsia"/>
            </w:rPr>
            <w:t>辨识与分析的目的</w:t>
          </w:r>
          <w:r>
            <w:tab/>
          </w:r>
          <w:r>
            <w:fldChar w:fldCharType="begin"/>
          </w:r>
          <w:r>
            <w:instrText xml:space="preserve"> PAGEREF _Toc6149 \h </w:instrText>
          </w:r>
          <w:r>
            <w:fldChar w:fldCharType="separate"/>
          </w:r>
          <w:r>
            <w:t>36</w:t>
          </w:r>
          <w:r>
            <w:fldChar w:fldCharType="end"/>
          </w:r>
          <w:r>
            <w:fldChar w:fldCharType="end"/>
          </w:r>
        </w:p>
        <w:p w14:paraId="2AFBB6DD">
          <w:pPr>
            <w:pStyle w:val="61"/>
            <w:tabs>
              <w:tab w:val="right" w:leader="dot" w:pos="8902"/>
            </w:tabs>
          </w:pPr>
          <w:r>
            <w:fldChar w:fldCharType="begin"/>
          </w:r>
          <w:r>
            <w:instrText xml:space="preserve"> HYPERLINK \l _Toc30183 </w:instrText>
          </w:r>
          <w:r>
            <w:fldChar w:fldCharType="separate"/>
          </w:r>
          <w:r>
            <w:rPr>
              <w:rFonts w:hint="default" w:ascii="黑体" w:hAnsi="黑体" w:eastAsia="黑体" w:cs="黑体"/>
              <w:bCs w:val="0"/>
              <w:szCs w:val="32"/>
            </w:rPr>
            <w:t xml:space="preserve">3.2 </w:t>
          </w:r>
          <w:r>
            <w:t>辨识与分析的依据</w:t>
          </w:r>
          <w:r>
            <w:tab/>
          </w:r>
          <w:r>
            <w:fldChar w:fldCharType="begin"/>
          </w:r>
          <w:r>
            <w:instrText xml:space="preserve"> PAGEREF _Toc30183 \h </w:instrText>
          </w:r>
          <w:r>
            <w:fldChar w:fldCharType="separate"/>
          </w:r>
          <w:r>
            <w:t>36</w:t>
          </w:r>
          <w:r>
            <w:fldChar w:fldCharType="end"/>
          </w:r>
          <w:r>
            <w:fldChar w:fldCharType="end"/>
          </w:r>
        </w:p>
        <w:p w14:paraId="0DB74011">
          <w:pPr>
            <w:pStyle w:val="61"/>
            <w:tabs>
              <w:tab w:val="right" w:leader="dot" w:pos="8902"/>
            </w:tabs>
          </w:pPr>
          <w:r>
            <w:fldChar w:fldCharType="begin"/>
          </w:r>
          <w:r>
            <w:instrText xml:space="preserve"> HYPERLINK \l _Toc3921 </w:instrText>
          </w:r>
          <w:r>
            <w:fldChar w:fldCharType="separate"/>
          </w:r>
          <w:r>
            <w:rPr>
              <w:rFonts w:hint="default" w:ascii="黑体" w:hAnsi="黑体" w:eastAsia="黑体" w:cs="黑体"/>
              <w:bCs w:val="0"/>
              <w:szCs w:val="32"/>
              <w:lang w:val="en-US" w:eastAsia="zh-CN"/>
            </w:rPr>
            <w:t xml:space="preserve">3.3 </w:t>
          </w:r>
          <w:r>
            <w:rPr>
              <w:rFonts w:hint="eastAsia"/>
              <w:lang w:val="en-US" w:eastAsia="zh-CN"/>
            </w:rPr>
            <w:t>主要物料特性及其危险性</w:t>
          </w:r>
          <w:r>
            <w:tab/>
          </w:r>
          <w:r>
            <w:fldChar w:fldCharType="begin"/>
          </w:r>
          <w:r>
            <w:instrText xml:space="preserve"> PAGEREF _Toc3921 \h </w:instrText>
          </w:r>
          <w:r>
            <w:fldChar w:fldCharType="separate"/>
          </w:r>
          <w:r>
            <w:t>37</w:t>
          </w:r>
          <w:r>
            <w:fldChar w:fldCharType="end"/>
          </w:r>
          <w:r>
            <w:fldChar w:fldCharType="end"/>
          </w:r>
        </w:p>
        <w:p w14:paraId="1CB8E7FC">
          <w:pPr>
            <w:pStyle w:val="61"/>
            <w:tabs>
              <w:tab w:val="right" w:leader="dot" w:pos="8902"/>
            </w:tabs>
          </w:pPr>
          <w:r>
            <w:fldChar w:fldCharType="begin"/>
          </w:r>
          <w:r>
            <w:instrText xml:space="preserve"> HYPERLINK \l _Toc25751 </w:instrText>
          </w:r>
          <w:r>
            <w:fldChar w:fldCharType="separate"/>
          </w:r>
          <w:r>
            <w:rPr>
              <w:rFonts w:hint="default" w:ascii="黑体" w:hAnsi="黑体" w:eastAsia="黑体" w:cs="黑体"/>
              <w:bCs w:val="0"/>
              <w:szCs w:val="32"/>
            </w:rPr>
            <w:t xml:space="preserve">3.4 </w:t>
          </w:r>
          <w:r>
            <w:rPr>
              <w:rFonts w:hint="eastAsia"/>
              <w:lang w:eastAsia="zh-CN"/>
            </w:rPr>
            <w:t>危险有害因素</w:t>
          </w:r>
          <w:r>
            <w:t>产生的原因</w:t>
          </w:r>
          <w:r>
            <w:tab/>
          </w:r>
          <w:r>
            <w:fldChar w:fldCharType="begin"/>
          </w:r>
          <w:r>
            <w:instrText xml:space="preserve"> PAGEREF _Toc25751 \h </w:instrText>
          </w:r>
          <w:r>
            <w:fldChar w:fldCharType="separate"/>
          </w:r>
          <w:r>
            <w:t>43</w:t>
          </w:r>
          <w:r>
            <w:fldChar w:fldCharType="end"/>
          </w:r>
          <w:r>
            <w:fldChar w:fldCharType="end"/>
          </w:r>
        </w:p>
        <w:p w14:paraId="014CFDB6">
          <w:pPr>
            <w:pStyle w:val="61"/>
            <w:tabs>
              <w:tab w:val="right" w:leader="dot" w:pos="8902"/>
            </w:tabs>
          </w:pPr>
          <w:r>
            <w:fldChar w:fldCharType="begin"/>
          </w:r>
          <w:r>
            <w:instrText xml:space="preserve"> HYPERLINK \l _Toc4138 </w:instrText>
          </w:r>
          <w:r>
            <w:fldChar w:fldCharType="separate"/>
          </w:r>
          <w:r>
            <w:rPr>
              <w:rFonts w:hint="default" w:ascii="黑体" w:hAnsi="黑体" w:eastAsia="黑体" w:cs="黑体"/>
              <w:bCs w:val="0"/>
              <w:szCs w:val="32"/>
            </w:rPr>
            <w:t xml:space="preserve">3.5 </w:t>
          </w:r>
          <w:r>
            <w:t>总平面布置</w:t>
          </w:r>
          <w:r>
            <w:rPr>
              <w:rFonts w:hint="eastAsia"/>
            </w:rPr>
            <w:t>及周边环境</w:t>
          </w:r>
          <w:r>
            <w:t>危险有害因素</w:t>
          </w:r>
          <w:r>
            <w:rPr>
              <w:rFonts w:hint="eastAsia"/>
            </w:rPr>
            <w:t>辨识分析</w:t>
          </w:r>
          <w:r>
            <w:tab/>
          </w:r>
          <w:r>
            <w:fldChar w:fldCharType="begin"/>
          </w:r>
          <w:r>
            <w:instrText xml:space="preserve"> PAGEREF _Toc4138 \h </w:instrText>
          </w:r>
          <w:r>
            <w:fldChar w:fldCharType="separate"/>
          </w:r>
          <w:r>
            <w:t>45</w:t>
          </w:r>
          <w:r>
            <w:fldChar w:fldCharType="end"/>
          </w:r>
          <w:r>
            <w:fldChar w:fldCharType="end"/>
          </w:r>
        </w:p>
        <w:p w14:paraId="7A6D8177">
          <w:pPr>
            <w:pStyle w:val="61"/>
            <w:tabs>
              <w:tab w:val="right" w:leader="dot" w:pos="8902"/>
            </w:tabs>
          </w:pPr>
          <w:r>
            <w:fldChar w:fldCharType="begin"/>
          </w:r>
          <w:r>
            <w:instrText xml:space="preserve"> HYPERLINK \l _Toc7020 </w:instrText>
          </w:r>
          <w:r>
            <w:fldChar w:fldCharType="separate"/>
          </w:r>
          <w:r>
            <w:rPr>
              <w:rFonts w:hint="default" w:ascii="黑体" w:hAnsi="黑体" w:eastAsia="黑体" w:cs="黑体"/>
              <w:bCs w:val="0"/>
              <w:szCs w:val="32"/>
            </w:rPr>
            <w:t xml:space="preserve">3.6 </w:t>
          </w:r>
          <w:r>
            <w:rPr>
              <w:rFonts w:hint="eastAsia"/>
            </w:rPr>
            <w:t>主要建（构）筑物</w:t>
          </w:r>
          <w:r>
            <w:rPr>
              <w:rFonts w:hint="eastAsia"/>
              <w:lang w:eastAsia="zh-CN"/>
            </w:rPr>
            <w:t>危险有害因素</w:t>
          </w:r>
          <w:r>
            <w:rPr>
              <w:rFonts w:hint="eastAsia"/>
            </w:rPr>
            <w:t>辨识分析</w:t>
          </w:r>
          <w:r>
            <w:tab/>
          </w:r>
          <w:r>
            <w:fldChar w:fldCharType="begin"/>
          </w:r>
          <w:r>
            <w:instrText xml:space="preserve"> PAGEREF _Toc7020 \h </w:instrText>
          </w:r>
          <w:r>
            <w:fldChar w:fldCharType="separate"/>
          </w:r>
          <w:r>
            <w:t>46</w:t>
          </w:r>
          <w:r>
            <w:fldChar w:fldCharType="end"/>
          </w:r>
          <w:r>
            <w:fldChar w:fldCharType="end"/>
          </w:r>
        </w:p>
        <w:p w14:paraId="4E61F24F">
          <w:pPr>
            <w:pStyle w:val="61"/>
            <w:tabs>
              <w:tab w:val="right" w:leader="dot" w:pos="8902"/>
            </w:tabs>
          </w:pPr>
          <w:r>
            <w:fldChar w:fldCharType="begin"/>
          </w:r>
          <w:r>
            <w:instrText xml:space="preserve"> HYPERLINK \l _Toc30028 </w:instrText>
          </w:r>
          <w:r>
            <w:fldChar w:fldCharType="separate"/>
          </w:r>
          <w:r>
            <w:rPr>
              <w:rFonts w:hint="default" w:ascii="黑体" w:hAnsi="黑体" w:eastAsia="黑体" w:cs="黑体"/>
              <w:bCs w:val="0"/>
              <w:szCs w:val="32"/>
              <w:lang w:val="en-US" w:eastAsia="zh-CN"/>
            </w:rPr>
            <w:t xml:space="preserve">3.7 </w:t>
          </w:r>
          <w:r>
            <w:rPr>
              <w:rFonts w:hint="default"/>
              <w:lang w:val="en-US" w:eastAsia="zh-CN"/>
            </w:rPr>
            <w:t>主要设备</w:t>
          </w:r>
          <w:r>
            <w:rPr>
              <w:rFonts w:hint="eastAsia"/>
              <w:lang w:val="en-US" w:eastAsia="zh-CN"/>
            </w:rPr>
            <w:t>危险有害因素</w:t>
          </w:r>
          <w:r>
            <w:rPr>
              <w:rFonts w:hint="default"/>
              <w:lang w:val="en-US" w:eastAsia="zh-CN"/>
            </w:rPr>
            <w:t>辨识与分析</w:t>
          </w:r>
          <w:r>
            <w:tab/>
          </w:r>
          <w:r>
            <w:fldChar w:fldCharType="begin"/>
          </w:r>
          <w:r>
            <w:instrText xml:space="preserve"> PAGEREF _Toc30028 \h </w:instrText>
          </w:r>
          <w:r>
            <w:fldChar w:fldCharType="separate"/>
          </w:r>
          <w:r>
            <w:t>47</w:t>
          </w:r>
          <w:r>
            <w:fldChar w:fldCharType="end"/>
          </w:r>
          <w:r>
            <w:fldChar w:fldCharType="end"/>
          </w:r>
        </w:p>
        <w:p w14:paraId="70889A6B">
          <w:pPr>
            <w:pStyle w:val="61"/>
            <w:tabs>
              <w:tab w:val="right" w:leader="dot" w:pos="8902"/>
            </w:tabs>
          </w:pPr>
          <w:r>
            <w:fldChar w:fldCharType="begin"/>
          </w:r>
          <w:r>
            <w:instrText xml:space="preserve"> HYPERLINK \l _Toc6629 </w:instrText>
          </w:r>
          <w:r>
            <w:fldChar w:fldCharType="separate"/>
          </w:r>
          <w:r>
            <w:rPr>
              <w:rFonts w:hint="default" w:ascii="黑体" w:hAnsi="黑体" w:eastAsia="黑体" w:cs="黑体"/>
              <w:bCs w:val="0"/>
              <w:szCs w:val="32"/>
            </w:rPr>
            <w:t xml:space="preserve">3.8 </w:t>
          </w:r>
          <w:r>
            <w:rPr>
              <w:rFonts w:hint="eastAsia"/>
            </w:rPr>
            <w:t>生产运行、检修过程中的主要</w:t>
          </w:r>
          <w:r>
            <w:rPr>
              <w:rFonts w:hint="eastAsia"/>
              <w:lang w:eastAsia="zh-CN"/>
            </w:rPr>
            <w:t>危险有害因素</w:t>
          </w:r>
          <w:r>
            <w:rPr>
              <w:rFonts w:hint="eastAsia"/>
            </w:rPr>
            <w:t>辨识分析</w:t>
          </w:r>
          <w:r>
            <w:tab/>
          </w:r>
          <w:r>
            <w:fldChar w:fldCharType="begin"/>
          </w:r>
          <w:r>
            <w:instrText xml:space="preserve"> PAGEREF _Toc6629 \h </w:instrText>
          </w:r>
          <w:r>
            <w:fldChar w:fldCharType="separate"/>
          </w:r>
          <w:r>
            <w:t>54</w:t>
          </w:r>
          <w:r>
            <w:fldChar w:fldCharType="end"/>
          </w:r>
          <w:r>
            <w:fldChar w:fldCharType="end"/>
          </w:r>
        </w:p>
        <w:p w14:paraId="3FE27DE7">
          <w:pPr>
            <w:pStyle w:val="61"/>
            <w:tabs>
              <w:tab w:val="right" w:leader="dot" w:pos="8902"/>
            </w:tabs>
          </w:pPr>
          <w:r>
            <w:fldChar w:fldCharType="begin"/>
          </w:r>
          <w:r>
            <w:instrText xml:space="preserve"> HYPERLINK \l _Toc5615 </w:instrText>
          </w:r>
          <w:r>
            <w:fldChar w:fldCharType="separate"/>
          </w:r>
          <w:r>
            <w:rPr>
              <w:rFonts w:hint="default" w:ascii="黑体" w:hAnsi="黑体" w:eastAsia="黑体" w:cs="黑体"/>
              <w:bCs w:val="0"/>
              <w:szCs w:val="32"/>
              <w:lang w:val="en-US" w:eastAsia="zh-CN"/>
            </w:rPr>
            <w:t xml:space="preserve">3.9 </w:t>
          </w:r>
          <w:r>
            <w:rPr>
              <w:rFonts w:hint="default"/>
              <w:bCs/>
              <w:lang w:val="en-US" w:eastAsia="zh-CN"/>
            </w:rPr>
            <w:t>自然</w:t>
          </w:r>
          <w:r>
            <w:rPr>
              <w:rFonts w:hint="eastAsia"/>
            </w:rPr>
            <w:t>灾害天气</w:t>
          </w:r>
          <w:r>
            <w:rPr>
              <w:rFonts w:hint="eastAsia"/>
              <w:bCs/>
              <w:lang w:val="en-US" w:eastAsia="zh-CN"/>
            </w:rPr>
            <w:t>危险有害因素</w:t>
          </w:r>
          <w:r>
            <w:rPr>
              <w:rFonts w:hint="default"/>
              <w:bCs/>
              <w:lang w:val="en-US" w:eastAsia="zh-CN"/>
            </w:rPr>
            <w:t>辨识与分析</w:t>
          </w:r>
          <w:r>
            <w:tab/>
          </w:r>
          <w:r>
            <w:fldChar w:fldCharType="begin"/>
          </w:r>
          <w:r>
            <w:instrText xml:space="preserve"> PAGEREF _Toc5615 \h </w:instrText>
          </w:r>
          <w:r>
            <w:fldChar w:fldCharType="separate"/>
          </w:r>
          <w:r>
            <w:t>60</w:t>
          </w:r>
          <w:r>
            <w:fldChar w:fldCharType="end"/>
          </w:r>
          <w:r>
            <w:fldChar w:fldCharType="end"/>
          </w:r>
        </w:p>
        <w:p w14:paraId="4536F8A5">
          <w:pPr>
            <w:pStyle w:val="61"/>
            <w:tabs>
              <w:tab w:val="right" w:leader="dot" w:pos="8902"/>
            </w:tabs>
          </w:pPr>
          <w:r>
            <w:fldChar w:fldCharType="begin"/>
          </w:r>
          <w:r>
            <w:instrText xml:space="preserve"> HYPERLINK \l _Toc18112 </w:instrText>
          </w:r>
          <w:r>
            <w:fldChar w:fldCharType="separate"/>
          </w:r>
          <w:r>
            <w:rPr>
              <w:rFonts w:hint="default" w:ascii="黑体" w:hAnsi="黑体" w:eastAsia="黑体" w:cs="黑体"/>
              <w:bCs w:val="0"/>
              <w:szCs w:val="32"/>
              <w:lang w:val="en-US" w:eastAsia="zh-CN"/>
            </w:rPr>
            <w:t xml:space="preserve">3.10 </w:t>
          </w:r>
          <w:r>
            <w:rPr>
              <w:rFonts w:hint="default"/>
              <w:lang w:val="en-US" w:eastAsia="zh-CN"/>
            </w:rPr>
            <w:t>作业场所有害因素辨识分析</w:t>
          </w:r>
          <w:r>
            <w:tab/>
          </w:r>
          <w:r>
            <w:fldChar w:fldCharType="begin"/>
          </w:r>
          <w:r>
            <w:instrText xml:space="preserve"> PAGEREF _Toc18112 \h </w:instrText>
          </w:r>
          <w:r>
            <w:fldChar w:fldCharType="separate"/>
          </w:r>
          <w:r>
            <w:t>62</w:t>
          </w:r>
          <w:r>
            <w:fldChar w:fldCharType="end"/>
          </w:r>
          <w:r>
            <w:fldChar w:fldCharType="end"/>
          </w:r>
        </w:p>
        <w:p w14:paraId="43C9E414">
          <w:pPr>
            <w:pStyle w:val="61"/>
            <w:tabs>
              <w:tab w:val="right" w:leader="dot" w:pos="8902"/>
            </w:tabs>
          </w:pPr>
          <w:r>
            <w:fldChar w:fldCharType="begin"/>
          </w:r>
          <w:r>
            <w:instrText xml:space="preserve"> HYPERLINK \l _Toc24113 </w:instrText>
          </w:r>
          <w:r>
            <w:fldChar w:fldCharType="separate"/>
          </w:r>
          <w:r>
            <w:rPr>
              <w:rFonts w:hint="default" w:ascii="黑体" w:hAnsi="黑体" w:eastAsia="黑体" w:cs="黑体"/>
              <w:bCs w:val="0"/>
              <w:szCs w:val="32"/>
            </w:rPr>
            <w:t xml:space="preserve">3.11 </w:t>
          </w:r>
          <w:r>
            <w:t>重大危险源辨识分析</w:t>
          </w:r>
          <w:r>
            <w:tab/>
          </w:r>
          <w:r>
            <w:fldChar w:fldCharType="begin"/>
          </w:r>
          <w:r>
            <w:instrText xml:space="preserve"> PAGEREF _Toc24113 \h </w:instrText>
          </w:r>
          <w:r>
            <w:fldChar w:fldCharType="separate"/>
          </w:r>
          <w:r>
            <w:t>63</w:t>
          </w:r>
          <w:r>
            <w:fldChar w:fldCharType="end"/>
          </w:r>
          <w:r>
            <w:fldChar w:fldCharType="end"/>
          </w:r>
        </w:p>
        <w:p w14:paraId="689F75C8">
          <w:pPr>
            <w:pStyle w:val="61"/>
            <w:tabs>
              <w:tab w:val="right" w:leader="dot" w:pos="8902"/>
            </w:tabs>
          </w:pPr>
          <w:r>
            <w:fldChar w:fldCharType="begin"/>
          </w:r>
          <w:r>
            <w:instrText xml:space="preserve"> HYPERLINK \l _Toc4129 </w:instrText>
          </w:r>
          <w:r>
            <w:fldChar w:fldCharType="separate"/>
          </w:r>
          <w:r>
            <w:rPr>
              <w:rFonts w:hint="default" w:ascii="黑体" w:hAnsi="黑体" w:eastAsia="黑体" w:cs="黑体"/>
              <w:bCs w:val="0"/>
              <w:szCs w:val="32"/>
            </w:rPr>
            <w:t xml:space="preserve">3.12 </w:t>
          </w:r>
          <w:r>
            <w:rPr>
              <w:rFonts w:hint="eastAsia"/>
              <w:lang w:eastAsia="zh-CN"/>
            </w:rPr>
            <w:t>危险有害因素</w:t>
          </w:r>
          <w:r>
            <w:t>辨识与分析结果</w:t>
          </w:r>
          <w:r>
            <w:tab/>
          </w:r>
          <w:r>
            <w:fldChar w:fldCharType="begin"/>
          </w:r>
          <w:r>
            <w:instrText xml:space="preserve"> PAGEREF _Toc4129 \h </w:instrText>
          </w:r>
          <w:r>
            <w:fldChar w:fldCharType="separate"/>
          </w:r>
          <w:r>
            <w:t>64</w:t>
          </w:r>
          <w:r>
            <w:fldChar w:fldCharType="end"/>
          </w:r>
          <w:r>
            <w:fldChar w:fldCharType="end"/>
          </w:r>
        </w:p>
        <w:p w14:paraId="77C58E2D">
          <w:pPr>
            <w:pStyle w:val="60"/>
            <w:tabs>
              <w:tab w:val="right" w:leader="dot" w:pos="8902"/>
            </w:tabs>
            <w:rPr>
              <w:b/>
            </w:rPr>
          </w:pPr>
          <w:r>
            <w:rPr>
              <w:b/>
            </w:rPr>
            <w:fldChar w:fldCharType="begin"/>
          </w:r>
          <w:r>
            <w:rPr>
              <w:b/>
            </w:rPr>
            <w:instrText xml:space="preserve"> HYPERLINK \l _Toc28604 </w:instrText>
          </w:r>
          <w:r>
            <w:rPr>
              <w:b/>
            </w:rPr>
            <w:fldChar w:fldCharType="separate"/>
          </w:r>
          <w:r>
            <w:rPr>
              <w:rFonts w:hint="default" w:ascii="黑体" w:hAnsi="黑体" w:eastAsia="黑体" w:cs="黑体"/>
              <w:b/>
              <w:bCs w:val="0"/>
              <w:szCs w:val="36"/>
            </w:rPr>
            <w:t xml:space="preserve">第4章 </w:t>
          </w:r>
          <w:r>
            <w:rPr>
              <w:b/>
            </w:rPr>
            <w:t>评价单元</w:t>
          </w:r>
          <w:r>
            <w:rPr>
              <w:rFonts w:hint="eastAsia"/>
              <w:b/>
            </w:rPr>
            <w:t>划分</w:t>
          </w:r>
          <w:r>
            <w:rPr>
              <w:b/>
            </w:rPr>
            <w:t>和评价方法</w:t>
          </w:r>
          <w:r>
            <w:rPr>
              <w:rFonts w:hint="eastAsia"/>
              <w:b/>
            </w:rPr>
            <w:t>选择</w:t>
          </w:r>
          <w:r>
            <w:rPr>
              <w:b/>
            </w:rPr>
            <w:tab/>
          </w:r>
          <w:r>
            <w:rPr>
              <w:b/>
            </w:rPr>
            <w:fldChar w:fldCharType="begin"/>
          </w:r>
          <w:r>
            <w:rPr>
              <w:b/>
            </w:rPr>
            <w:instrText xml:space="preserve"> PAGEREF _Toc28604 \h </w:instrText>
          </w:r>
          <w:r>
            <w:rPr>
              <w:b/>
            </w:rPr>
            <w:fldChar w:fldCharType="separate"/>
          </w:r>
          <w:r>
            <w:rPr>
              <w:b/>
            </w:rPr>
            <w:t>66</w:t>
          </w:r>
          <w:r>
            <w:rPr>
              <w:b/>
            </w:rPr>
            <w:fldChar w:fldCharType="end"/>
          </w:r>
          <w:r>
            <w:rPr>
              <w:b/>
            </w:rPr>
            <w:fldChar w:fldCharType="end"/>
          </w:r>
        </w:p>
        <w:p w14:paraId="5F4E850E">
          <w:pPr>
            <w:pStyle w:val="61"/>
            <w:tabs>
              <w:tab w:val="right" w:leader="dot" w:pos="8902"/>
            </w:tabs>
          </w:pPr>
          <w:r>
            <w:fldChar w:fldCharType="begin"/>
          </w:r>
          <w:r>
            <w:instrText xml:space="preserve"> HYPERLINK \l _Toc5658 </w:instrText>
          </w:r>
          <w:r>
            <w:fldChar w:fldCharType="separate"/>
          </w:r>
          <w:r>
            <w:rPr>
              <w:rFonts w:hint="default" w:ascii="黑体" w:hAnsi="黑体" w:eastAsia="黑体" w:cs="黑体"/>
              <w:bCs w:val="0"/>
              <w:szCs w:val="32"/>
            </w:rPr>
            <w:t xml:space="preserve">4.1 </w:t>
          </w:r>
          <w:r>
            <w:t>评价单元划分</w:t>
          </w:r>
          <w:r>
            <w:tab/>
          </w:r>
          <w:r>
            <w:fldChar w:fldCharType="begin"/>
          </w:r>
          <w:r>
            <w:instrText xml:space="preserve"> PAGEREF _Toc5658 \h </w:instrText>
          </w:r>
          <w:r>
            <w:fldChar w:fldCharType="separate"/>
          </w:r>
          <w:r>
            <w:t>66</w:t>
          </w:r>
          <w:r>
            <w:fldChar w:fldCharType="end"/>
          </w:r>
          <w:r>
            <w:fldChar w:fldCharType="end"/>
          </w:r>
        </w:p>
        <w:p w14:paraId="28F9EA68">
          <w:pPr>
            <w:pStyle w:val="61"/>
            <w:tabs>
              <w:tab w:val="right" w:leader="dot" w:pos="8902"/>
            </w:tabs>
          </w:pPr>
          <w:r>
            <w:fldChar w:fldCharType="begin"/>
          </w:r>
          <w:r>
            <w:instrText xml:space="preserve"> HYPERLINK \l _Toc8991 </w:instrText>
          </w:r>
          <w:r>
            <w:fldChar w:fldCharType="separate"/>
          </w:r>
          <w:r>
            <w:rPr>
              <w:rFonts w:hint="default" w:ascii="黑体" w:hAnsi="黑体" w:eastAsia="黑体" w:cs="黑体"/>
              <w:bCs w:val="0"/>
              <w:szCs w:val="32"/>
            </w:rPr>
            <w:t xml:space="preserve">4.2 </w:t>
          </w:r>
          <w:r>
            <w:rPr>
              <w:rFonts w:hint="eastAsia"/>
            </w:rPr>
            <w:t>评价方法选择</w:t>
          </w:r>
          <w:r>
            <w:tab/>
          </w:r>
          <w:r>
            <w:fldChar w:fldCharType="begin"/>
          </w:r>
          <w:r>
            <w:instrText xml:space="preserve"> PAGEREF _Toc8991 \h </w:instrText>
          </w:r>
          <w:r>
            <w:fldChar w:fldCharType="separate"/>
          </w:r>
          <w:r>
            <w:t>67</w:t>
          </w:r>
          <w:r>
            <w:fldChar w:fldCharType="end"/>
          </w:r>
          <w:r>
            <w:fldChar w:fldCharType="end"/>
          </w:r>
        </w:p>
        <w:p w14:paraId="56DB1136">
          <w:pPr>
            <w:pStyle w:val="61"/>
            <w:tabs>
              <w:tab w:val="right" w:leader="dot" w:pos="8902"/>
            </w:tabs>
          </w:pPr>
          <w:r>
            <w:fldChar w:fldCharType="begin"/>
          </w:r>
          <w:r>
            <w:instrText xml:space="preserve"> HYPERLINK \l _Toc19618 </w:instrText>
          </w:r>
          <w:r>
            <w:fldChar w:fldCharType="separate"/>
          </w:r>
          <w:r>
            <w:rPr>
              <w:rFonts w:hint="default" w:ascii="黑体" w:hAnsi="黑体" w:eastAsia="黑体" w:cs="黑体"/>
              <w:bCs w:val="0"/>
              <w:szCs w:val="32"/>
            </w:rPr>
            <w:t xml:space="preserve">4.3 </w:t>
          </w:r>
          <w:r>
            <w:rPr>
              <w:rFonts w:hint="eastAsia"/>
            </w:rPr>
            <w:t>各单元</w:t>
          </w:r>
          <w:r>
            <w:t>采用的评价方法</w:t>
          </w:r>
          <w:r>
            <w:tab/>
          </w:r>
          <w:r>
            <w:fldChar w:fldCharType="begin"/>
          </w:r>
          <w:r>
            <w:instrText xml:space="preserve"> PAGEREF _Toc19618 \h </w:instrText>
          </w:r>
          <w:r>
            <w:fldChar w:fldCharType="separate"/>
          </w:r>
          <w:r>
            <w:t>68</w:t>
          </w:r>
          <w:r>
            <w:fldChar w:fldCharType="end"/>
          </w:r>
          <w:r>
            <w:fldChar w:fldCharType="end"/>
          </w:r>
        </w:p>
        <w:p w14:paraId="6E6F1DCE">
          <w:pPr>
            <w:pStyle w:val="60"/>
            <w:tabs>
              <w:tab w:val="right" w:leader="dot" w:pos="8902"/>
            </w:tabs>
            <w:rPr>
              <w:b/>
            </w:rPr>
          </w:pPr>
          <w:r>
            <w:rPr>
              <w:b/>
            </w:rPr>
            <w:fldChar w:fldCharType="begin"/>
          </w:r>
          <w:r>
            <w:rPr>
              <w:b/>
            </w:rPr>
            <w:instrText xml:space="preserve"> HYPERLINK \l _Toc11157 </w:instrText>
          </w:r>
          <w:r>
            <w:rPr>
              <w:b/>
            </w:rPr>
            <w:fldChar w:fldCharType="separate"/>
          </w:r>
          <w:r>
            <w:rPr>
              <w:rFonts w:hint="default" w:ascii="黑体" w:hAnsi="黑体" w:eastAsia="黑体" w:cs="黑体"/>
              <w:b/>
              <w:bCs w:val="0"/>
              <w:szCs w:val="36"/>
              <w:lang w:val="en-US" w:eastAsia="zh-CN"/>
            </w:rPr>
            <w:t xml:space="preserve">第5章 </w:t>
          </w:r>
          <w:r>
            <w:rPr>
              <w:rFonts w:hint="eastAsia"/>
              <w:b/>
            </w:rPr>
            <w:t>定性、定量评价</w:t>
          </w:r>
          <w:r>
            <w:rPr>
              <w:b/>
            </w:rPr>
            <w:tab/>
          </w:r>
          <w:r>
            <w:rPr>
              <w:b/>
            </w:rPr>
            <w:fldChar w:fldCharType="begin"/>
          </w:r>
          <w:r>
            <w:rPr>
              <w:b/>
            </w:rPr>
            <w:instrText xml:space="preserve"> PAGEREF _Toc11157 \h </w:instrText>
          </w:r>
          <w:r>
            <w:rPr>
              <w:b/>
            </w:rPr>
            <w:fldChar w:fldCharType="separate"/>
          </w:r>
          <w:r>
            <w:rPr>
              <w:b/>
            </w:rPr>
            <w:t>69</w:t>
          </w:r>
          <w:r>
            <w:rPr>
              <w:b/>
            </w:rPr>
            <w:fldChar w:fldCharType="end"/>
          </w:r>
          <w:r>
            <w:rPr>
              <w:b/>
            </w:rPr>
            <w:fldChar w:fldCharType="end"/>
          </w:r>
        </w:p>
        <w:p w14:paraId="21081C42">
          <w:pPr>
            <w:pStyle w:val="61"/>
            <w:tabs>
              <w:tab w:val="right" w:leader="dot" w:pos="8902"/>
            </w:tabs>
          </w:pPr>
          <w:r>
            <w:fldChar w:fldCharType="begin"/>
          </w:r>
          <w:r>
            <w:instrText xml:space="preserve"> HYPERLINK \l _Toc21688 </w:instrText>
          </w:r>
          <w:r>
            <w:fldChar w:fldCharType="separate"/>
          </w:r>
          <w:r>
            <w:rPr>
              <w:rFonts w:hint="default" w:ascii="黑体" w:hAnsi="黑体" w:eastAsia="黑体" w:cs="黑体"/>
              <w:bCs w:val="0"/>
              <w:szCs w:val="32"/>
              <w:lang w:val="en-US" w:eastAsia="zh-CN"/>
            </w:rPr>
            <w:t xml:space="preserve">5.1 </w:t>
          </w:r>
          <w:r>
            <w:rPr>
              <w:rFonts w:hint="eastAsia"/>
              <w:lang w:val="en-US" w:eastAsia="zh-CN"/>
            </w:rPr>
            <w:t>安全设施“三同时”程序单元</w:t>
          </w:r>
          <w:r>
            <w:tab/>
          </w:r>
          <w:r>
            <w:fldChar w:fldCharType="begin"/>
          </w:r>
          <w:r>
            <w:instrText xml:space="preserve"> PAGEREF _Toc21688 \h </w:instrText>
          </w:r>
          <w:r>
            <w:fldChar w:fldCharType="separate"/>
          </w:r>
          <w:r>
            <w:t>69</w:t>
          </w:r>
          <w:r>
            <w:fldChar w:fldCharType="end"/>
          </w:r>
          <w:r>
            <w:fldChar w:fldCharType="end"/>
          </w:r>
        </w:p>
        <w:p w14:paraId="7B9A3E74">
          <w:pPr>
            <w:pStyle w:val="61"/>
            <w:tabs>
              <w:tab w:val="right" w:leader="dot" w:pos="8902"/>
            </w:tabs>
          </w:pPr>
          <w:r>
            <w:fldChar w:fldCharType="begin"/>
          </w:r>
          <w:r>
            <w:instrText xml:space="preserve"> HYPERLINK \l _Toc15878 </w:instrText>
          </w:r>
          <w:r>
            <w:fldChar w:fldCharType="separate"/>
          </w:r>
          <w:r>
            <w:rPr>
              <w:rFonts w:hint="default" w:ascii="黑体" w:hAnsi="黑体" w:eastAsia="黑体" w:cs="黑体"/>
              <w:bCs w:val="0"/>
              <w:szCs w:val="32"/>
              <w:lang w:val="en-US" w:eastAsia="zh-CN"/>
            </w:rPr>
            <w:t xml:space="preserve">5.2 </w:t>
          </w:r>
          <w:r>
            <w:rPr>
              <w:rFonts w:hint="eastAsia"/>
              <w:lang w:val="en-US" w:eastAsia="zh-CN"/>
            </w:rPr>
            <w:t>总平面布置单元</w:t>
          </w:r>
          <w:r>
            <w:tab/>
          </w:r>
          <w:r>
            <w:fldChar w:fldCharType="begin"/>
          </w:r>
          <w:r>
            <w:instrText xml:space="preserve"> PAGEREF _Toc15878 \h </w:instrText>
          </w:r>
          <w:r>
            <w:fldChar w:fldCharType="separate"/>
          </w:r>
          <w:r>
            <w:t>70</w:t>
          </w:r>
          <w:r>
            <w:fldChar w:fldCharType="end"/>
          </w:r>
          <w:r>
            <w:fldChar w:fldCharType="end"/>
          </w:r>
        </w:p>
        <w:p w14:paraId="6DFBA8A9">
          <w:pPr>
            <w:pStyle w:val="61"/>
            <w:tabs>
              <w:tab w:val="right" w:leader="dot" w:pos="8902"/>
            </w:tabs>
          </w:pPr>
          <w:r>
            <w:fldChar w:fldCharType="begin"/>
          </w:r>
          <w:r>
            <w:instrText xml:space="preserve"> HYPERLINK \l _Toc28650 </w:instrText>
          </w:r>
          <w:r>
            <w:fldChar w:fldCharType="separate"/>
          </w:r>
          <w:r>
            <w:rPr>
              <w:rFonts w:hint="default" w:ascii="黑体" w:hAnsi="黑体" w:eastAsia="黑体" w:cs="黑体"/>
              <w:bCs w:val="0"/>
              <w:szCs w:val="32"/>
              <w:lang w:val="en-US" w:eastAsia="zh-CN"/>
            </w:rPr>
            <w:t xml:space="preserve">5.3 </w:t>
          </w:r>
          <w:r>
            <w:rPr>
              <w:rFonts w:hint="eastAsia"/>
              <w:lang w:val="en-US" w:eastAsia="zh-CN"/>
            </w:rPr>
            <w:t>建（构）筑物等土建工程单元</w:t>
          </w:r>
          <w:r>
            <w:tab/>
          </w:r>
          <w:r>
            <w:fldChar w:fldCharType="begin"/>
          </w:r>
          <w:r>
            <w:instrText xml:space="preserve"> PAGEREF _Toc28650 \h </w:instrText>
          </w:r>
          <w:r>
            <w:fldChar w:fldCharType="separate"/>
          </w:r>
          <w:r>
            <w:t>74</w:t>
          </w:r>
          <w:r>
            <w:fldChar w:fldCharType="end"/>
          </w:r>
          <w:r>
            <w:fldChar w:fldCharType="end"/>
          </w:r>
        </w:p>
        <w:p w14:paraId="145E91ED">
          <w:pPr>
            <w:pStyle w:val="61"/>
            <w:tabs>
              <w:tab w:val="right" w:leader="dot" w:pos="8902"/>
            </w:tabs>
          </w:pPr>
          <w:r>
            <w:fldChar w:fldCharType="begin"/>
          </w:r>
          <w:r>
            <w:instrText xml:space="preserve"> HYPERLINK \l _Toc32005 </w:instrText>
          </w:r>
          <w:r>
            <w:fldChar w:fldCharType="separate"/>
          </w:r>
          <w:r>
            <w:rPr>
              <w:rFonts w:hint="default" w:ascii="黑体" w:hAnsi="黑体" w:eastAsia="黑体" w:cs="黑体"/>
              <w:bCs w:val="0"/>
              <w:szCs w:val="32"/>
              <w:lang w:val="en-US" w:eastAsia="zh-CN"/>
            </w:rPr>
            <w:t xml:space="preserve">5.4 </w:t>
          </w:r>
          <w:r>
            <w:rPr>
              <w:rFonts w:hint="eastAsia"/>
              <w:lang w:val="en-US" w:eastAsia="zh-CN"/>
            </w:rPr>
            <w:t>光伏发电系统单元</w:t>
          </w:r>
          <w:r>
            <w:tab/>
          </w:r>
          <w:r>
            <w:fldChar w:fldCharType="begin"/>
          </w:r>
          <w:r>
            <w:instrText xml:space="preserve"> PAGEREF _Toc32005 \h </w:instrText>
          </w:r>
          <w:r>
            <w:fldChar w:fldCharType="separate"/>
          </w:r>
          <w:r>
            <w:t>76</w:t>
          </w:r>
          <w:r>
            <w:fldChar w:fldCharType="end"/>
          </w:r>
          <w:r>
            <w:fldChar w:fldCharType="end"/>
          </w:r>
        </w:p>
        <w:p w14:paraId="5053461F">
          <w:pPr>
            <w:pStyle w:val="61"/>
            <w:tabs>
              <w:tab w:val="right" w:leader="dot" w:pos="8902"/>
            </w:tabs>
          </w:pPr>
          <w:r>
            <w:fldChar w:fldCharType="begin"/>
          </w:r>
          <w:r>
            <w:instrText xml:space="preserve"> HYPERLINK \l _Toc26829 </w:instrText>
          </w:r>
          <w:r>
            <w:fldChar w:fldCharType="separate"/>
          </w:r>
          <w:r>
            <w:rPr>
              <w:rFonts w:hint="default" w:ascii="黑体" w:hAnsi="黑体" w:eastAsia="黑体" w:cs="黑体"/>
              <w:bCs w:val="0"/>
              <w:szCs w:val="32"/>
              <w:lang w:val="en-US" w:eastAsia="zh-CN"/>
            </w:rPr>
            <w:t xml:space="preserve">5.5 </w:t>
          </w:r>
          <w:r>
            <w:rPr>
              <w:rFonts w:hint="default"/>
              <w:lang w:val="en-US" w:eastAsia="zh-CN"/>
            </w:rPr>
            <w:t>安全设备设施验收单元</w:t>
          </w:r>
          <w:r>
            <w:tab/>
          </w:r>
          <w:r>
            <w:fldChar w:fldCharType="begin"/>
          </w:r>
          <w:r>
            <w:instrText xml:space="preserve"> PAGEREF _Toc26829 \h </w:instrText>
          </w:r>
          <w:r>
            <w:fldChar w:fldCharType="separate"/>
          </w:r>
          <w:r>
            <w:t>79</w:t>
          </w:r>
          <w:r>
            <w:fldChar w:fldCharType="end"/>
          </w:r>
          <w:r>
            <w:fldChar w:fldCharType="end"/>
          </w:r>
        </w:p>
        <w:p w14:paraId="0027044F">
          <w:pPr>
            <w:pStyle w:val="61"/>
            <w:tabs>
              <w:tab w:val="right" w:leader="dot" w:pos="8902"/>
            </w:tabs>
          </w:pPr>
          <w:r>
            <w:fldChar w:fldCharType="begin"/>
          </w:r>
          <w:r>
            <w:instrText xml:space="preserve"> HYPERLINK \l _Toc14815 </w:instrText>
          </w:r>
          <w:r>
            <w:fldChar w:fldCharType="separate"/>
          </w:r>
          <w:r>
            <w:rPr>
              <w:rFonts w:hint="default" w:ascii="黑体" w:hAnsi="黑体" w:eastAsia="黑体" w:cs="黑体"/>
              <w:bCs w:val="0"/>
              <w:szCs w:val="32"/>
            </w:rPr>
            <w:t xml:space="preserve">5.6 </w:t>
          </w:r>
          <w:r>
            <w:t>公用工程</w:t>
          </w:r>
          <w:r>
            <w:rPr>
              <w:rFonts w:hint="eastAsia"/>
              <w:lang w:val="en-US" w:eastAsia="zh-CN"/>
            </w:rPr>
            <w:t>及辅助设施</w:t>
          </w:r>
          <w:r>
            <w:t>评价单元</w:t>
          </w:r>
          <w:r>
            <w:tab/>
          </w:r>
          <w:r>
            <w:fldChar w:fldCharType="begin"/>
          </w:r>
          <w:r>
            <w:instrText xml:space="preserve"> PAGEREF _Toc14815 \h </w:instrText>
          </w:r>
          <w:r>
            <w:fldChar w:fldCharType="separate"/>
          </w:r>
          <w:r>
            <w:t>84</w:t>
          </w:r>
          <w:r>
            <w:fldChar w:fldCharType="end"/>
          </w:r>
          <w:r>
            <w:fldChar w:fldCharType="end"/>
          </w:r>
        </w:p>
        <w:p w14:paraId="636CE343">
          <w:pPr>
            <w:pStyle w:val="61"/>
            <w:tabs>
              <w:tab w:val="right" w:leader="dot" w:pos="8902"/>
            </w:tabs>
          </w:pPr>
          <w:r>
            <w:fldChar w:fldCharType="begin"/>
          </w:r>
          <w:r>
            <w:instrText xml:space="preserve"> HYPERLINK \l _Toc24670 </w:instrText>
          </w:r>
          <w:r>
            <w:fldChar w:fldCharType="separate"/>
          </w:r>
          <w:r>
            <w:rPr>
              <w:rFonts w:hint="default" w:ascii="黑体" w:hAnsi="黑体" w:eastAsia="黑体" w:cs="黑体"/>
              <w:bCs w:val="0"/>
              <w:szCs w:val="32"/>
            </w:rPr>
            <w:t xml:space="preserve">5.7 </w:t>
          </w:r>
          <w:r>
            <w:rPr>
              <w:rFonts w:hint="eastAsia"/>
            </w:rPr>
            <w:t>安全管理单元</w:t>
          </w:r>
          <w:r>
            <w:tab/>
          </w:r>
          <w:r>
            <w:fldChar w:fldCharType="begin"/>
          </w:r>
          <w:r>
            <w:instrText xml:space="preserve"> PAGEREF _Toc24670 \h </w:instrText>
          </w:r>
          <w:r>
            <w:fldChar w:fldCharType="separate"/>
          </w:r>
          <w:r>
            <w:t>88</w:t>
          </w:r>
          <w:r>
            <w:fldChar w:fldCharType="end"/>
          </w:r>
          <w:r>
            <w:fldChar w:fldCharType="end"/>
          </w:r>
        </w:p>
        <w:p w14:paraId="1E0916E6">
          <w:pPr>
            <w:pStyle w:val="60"/>
            <w:tabs>
              <w:tab w:val="right" w:leader="dot" w:pos="8902"/>
            </w:tabs>
            <w:rPr>
              <w:b/>
            </w:rPr>
          </w:pPr>
          <w:r>
            <w:rPr>
              <w:b/>
            </w:rPr>
            <w:fldChar w:fldCharType="begin"/>
          </w:r>
          <w:r>
            <w:rPr>
              <w:b/>
            </w:rPr>
            <w:instrText xml:space="preserve"> HYPERLINK \l _Toc23281 </w:instrText>
          </w:r>
          <w:r>
            <w:rPr>
              <w:b/>
            </w:rPr>
            <w:fldChar w:fldCharType="separate"/>
          </w:r>
          <w:r>
            <w:rPr>
              <w:rFonts w:hint="default" w:ascii="黑体" w:hAnsi="黑体" w:eastAsia="黑体" w:cs="黑体"/>
              <w:b/>
              <w:bCs w:val="0"/>
              <w:szCs w:val="36"/>
            </w:rPr>
            <w:t xml:space="preserve">第6章 </w:t>
          </w:r>
          <w:r>
            <w:rPr>
              <w:rFonts w:hint="eastAsia"/>
              <w:b/>
            </w:rPr>
            <w:t>安全对策措施建议</w:t>
          </w:r>
          <w:r>
            <w:rPr>
              <w:b/>
            </w:rPr>
            <w:tab/>
          </w:r>
          <w:r>
            <w:rPr>
              <w:b/>
            </w:rPr>
            <w:fldChar w:fldCharType="begin"/>
          </w:r>
          <w:r>
            <w:rPr>
              <w:b/>
            </w:rPr>
            <w:instrText xml:space="preserve"> PAGEREF _Toc23281 \h </w:instrText>
          </w:r>
          <w:r>
            <w:rPr>
              <w:b/>
            </w:rPr>
            <w:fldChar w:fldCharType="separate"/>
          </w:r>
          <w:r>
            <w:rPr>
              <w:b/>
            </w:rPr>
            <w:t>93</w:t>
          </w:r>
          <w:r>
            <w:rPr>
              <w:b/>
            </w:rPr>
            <w:fldChar w:fldCharType="end"/>
          </w:r>
          <w:r>
            <w:rPr>
              <w:b/>
            </w:rPr>
            <w:fldChar w:fldCharType="end"/>
          </w:r>
        </w:p>
        <w:p w14:paraId="33A81843">
          <w:pPr>
            <w:pStyle w:val="61"/>
            <w:tabs>
              <w:tab w:val="right" w:leader="dot" w:pos="8902"/>
            </w:tabs>
          </w:pPr>
          <w:r>
            <w:fldChar w:fldCharType="begin"/>
          </w:r>
          <w:r>
            <w:instrText xml:space="preserve"> HYPERLINK \l _Toc12149 </w:instrText>
          </w:r>
          <w:r>
            <w:fldChar w:fldCharType="separate"/>
          </w:r>
          <w:r>
            <w:rPr>
              <w:rFonts w:hint="default" w:ascii="黑体" w:hAnsi="黑体" w:eastAsia="黑体" w:cs="黑体"/>
              <w:bCs w:val="0"/>
              <w:szCs w:val="32"/>
            </w:rPr>
            <w:t xml:space="preserve">6.1 </w:t>
          </w:r>
          <w:r>
            <w:rPr>
              <w:rFonts w:hint="eastAsia" w:eastAsia="宋体"/>
              <w:bCs w:val="0"/>
              <w:highlight w:val="none"/>
              <w:lang w:val="en-US" w:eastAsia="zh-CN"/>
            </w:rPr>
            <w:t>企业整改完成落实情况</w:t>
          </w:r>
          <w:r>
            <w:tab/>
          </w:r>
          <w:r>
            <w:fldChar w:fldCharType="begin"/>
          </w:r>
          <w:r>
            <w:instrText xml:space="preserve"> PAGEREF _Toc12149 \h </w:instrText>
          </w:r>
          <w:r>
            <w:fldChar w:fldCharType="separate"/>
          </w:r>
          <w:r>
            <w:t>93</w:t>
          </w:r>
          <w:r>
            <w:fldChar w:fldCharType="end"/>
          </w:r>
          <w:r>
            <w:fldChar w:fldCharType="end"/>
          </w:r>
        </w:p>
        <w:p w14:paraId="030F7ABF">
          <w:pPr>
            <w:pStyle w:val="61"/>
            <w:tabs>
              <w:tab w:val="right" w:leader="dot" w:pos="8902"/>
            </w:tabs>
          </w:pPr>
          <w:r>
            <w:fldChar w:fldCharType="begin"/>
          </w:r>
          <w:r>
            <w:instrText xml:space="preserve"> HYPERLINK \l _Toc31201 </w:instrText>
          </w:r>
          <w:r>
            <w:fldChar w:fldCharType="separate"/>
          </w:r>
          <w:r>
            <w:rPr>
              <w:rFonts w:hint="default" w:ascii="黑体" w:hAnsi="黑体" w:eastAsia="黑体" w:cs="黑体"/>
              <w:bCs w:val="0"/>
              <w:szCs w:val="32"/>
            </w:rPr>
            <w:t xml:space="preserve">6.2 </w:t>
          </w:r>
          <w:r>
            <w:rPr>
              <w:rFonts w:hint="eastAsia"/>
              <w:lang w:val="en-US" w:eastAsia="zh-CN"/>
            </w:rPr>
            <w:t>安全对策措施建议的主要原则</w:t>
          </w:r>
          <w:r>
            <w:tab/>
          </w:r>
          <w:r>
            <w:fldChar w:fldCharType="begin"/>
          </w:r>
          <w:r>
            <w:instrText xml:space="preserve"> PAGEREF _Toc31201 \h </w:instrText>
          </w:r>
          <w:r>
            <w:fldChar w:fldCharType="separate"/>
          </w:r>
          <w:r>
            <w:t>93</w:t>
          </w:r>
          <w:r>
            <w:fldChar w:fldCharType="end"/>
          </w:r>
          <w:r>
            <w:fldChar w:fldCharType="end"/>
          </w:r>
        </w:p>
        <w:p w14:paraId="7E5F8CC2">
          <w:pPr>
            <w:pStyle w:val="61"/>
            <w:tabs>
              <w:tab w:val="right" w:leader="dot" w:pos="8902"/>
            </w:tabs>
          </w:pPr>
          <w:r>
            <w:fldChar w:fldCharType="begin"/>
          </w:r>
          <w:r>
            <w:instrText xml:space="preserve"> HYPERLINK \l _Toc17573 </w:instrText>
          </w:r>
          <w:r>
            <w:fldChar w:fldCharType="separate"/>
          </w:r>
          <w:r>
            <w:rPr>
              <w:rFonts w:hint="default" w:ascii="黑体" w:hAnsi="黑体" w:eastAsia="黑体" w:cs="黑体"/>
              <w:bCs w:val="0"/>
              <w:szCs w:val="32"/>
            </w:rPr>
            <w:t xml:space="preserve">6.3 </w:t>
          </w:r>
          <w:r>
            <w:rPr>
              <w:rFonts w:hint="eastAsia"/>
            </w:rPr>
            <w:t>安全对策措施建议</w:t>
          </w:r>
          <w:r>
            <w:tab/>
          </w:r>
          <w:r>
            <w:fldChar w:fldCharType="begin"/>
          </w:r>
          <w:r>
            <w:instrText xml:space="preserve"> PAGEREF _Toc17573 \h </w:instrText>
          </w:r>
          <w:r>
            <w:fldChar w:fldCharType="separate"/>
          </w:r>
          <w:r>
            <w:t>94</w:t>
          </w:r>
          <w:r>
            <w:fldChar w:fldCharType="end"/>
          </w:r>
          <w:r>
            <w:fldChar w:fldCharType="end"/>
          </w:r>
        </w:p>
        <w:p w14:paraId="28535B33">
          <w:pPr>
            <w:pStyle w:val="60"/>
            <w:tabs>
              <w:tab w:val="right" w:leader="dot" w:pos="8902"/>
            </w:tabs>
            <w:rPr>
              <w:b/>
            </w:rPr>
          </w:pPr>
          <w:r>
            <w:rPr>
              <w:b/>
            </w:rPr>
            <w:fldChar w:fldCharType="begin"/>
          </w:r>
          <w:r>
            <w:rPr>
              <w:b/>
            </w:rPr>
            <w:instrText xml:space="preserve"> HYPERLINK \l _Toc8304 </w:instrText>
          </w:r>
          <w:r>
            <w:rPr>
              <w:b/>
            </w:rPr>
            <w:fldChar w:fldCharType="separate"/>
          </w:r>
          <w:r>
            <w:rPr>
              <w:rFonts w:hint="default" w:ascii="黑体" w:hAnsi="黑体" w:eastAsia="黑体" w:cs="黑体"/>
              <w:b/>
              <w:bCs w:val="0"/>
              <w:szCs w:val="36"/>
            </w:rPr>
            <w:t xml:space="preserve">第7章 </w:t>
          </w:r>
          <w:r>
            <w:rPr>
              <w:rFonts w:hint="eastAsia"/>
              <w:b/>
            </w:rPr>
            <w:t>评价结论</w:t>
          </w:r>
          <w:r>
            <w:rPr>
              <w:b/>
            </w:rPr>
            <w:tab/>
          </w:r>
          <w:r>
            <w:rPr>
              <w:b/>
            </w:rPr>
            <w:fldChar w:fldCharType="begin"/>
          </w:r>
          <w:r>
            <w:rPr>
              <w:b/>
            </w:rPr>
            <w:instrText xml:space="preserve"> PAGEREF _Toc8304 \h </w:instrText>
          </w:r>
          <w:r>
            <w:rPr>
              <w:b/>
            </w:rPr>
            <w:fldChar w:fldCharType="separate"/>
          </w:r>
          <w:r>
            <w:rPr>
              <w:b/>
            </w:rPr>
            <w:t>97</w:t>
          </w:r>
          <w:r>
            <w:rPr>
              <w:b/>
            </w:rPr>
            <w:fldChar w:fldCharType="end"/>
          </w:r>
          <w:r>
            <w:rPr>
              <w:b/>
            </w:rPr>
            <w:fldChar w:fldCharType="end"/>
          </w:r>
        </w:p>
        <w:p w14:paraId="4FB1171B">
          <w:pPr>
            <w:pStyle w:val="61"/>
            <w:tabs>
              <w:tab w:val="right" w:leader="dot" w:pos="8902"/>
            </w:tabs>
          </w:pPr>
          <w:r>
            <w:fldChar w:fldCharType="begin"/>
          </w:r>
          <w:r>
            <w:instrText xml:space="preserve"> HYPERLINK \l _Toc27197 </w:instrText>
          </w:r>
          <w:r>
            <w:fldChar w:fldCharType="separate"/>
          </w:r>
          <w:r>
            <w:rPr>
              <w:rFonts w:hint="default" w:ascii="黑体" w:hAnsi="黑体" w:eastAsia="黑体" w:cs="黑体"/>
              <w:bCs w:val="0"/>
              <w:szCs w:val="32"/>
            </w:rPr>
            <w:t xml:space="preserve">7.1 </w:t>
          </w:r>
          <w:r>
            <w:rPr>
              <w:rFonts w:hint="eastAsia"/>
            </w:rPr>
            <w:t>工程运行中存在的主要危险、有害因素</w:t>
          </w:r>
          <w:r>
            <w:tab/>
          </w:r>
          <w:r>
            <w:fldChar w:fldCharType="begin"/>
          </w:r>
          <w:r>
            <w:instrText xml:space="preserve"> PAGEREF _Toc27197 \h </w:instrText>
          </w:r>
          <w:r>
            <w:fldChar w:fldCharType="separate"/>
          </w:r>
          <w:r>
            <w:t>97</w:t>
          </w:r>
          <w:r>
            <w:fldChar w:fldCharType="end"/>
          </w:r>
          <w:r>
            <w:fldChar w:fldCharType="end"/>
          </w:r>
        </w:p>
        <w:p w14:paraId="4B8A4D06">
          <w:pPr>
            <w:pStyle w:val="61"/>
            <w:tabs>
              <w:tab w:val="right" w:leader="dot" w:pos="8902"/>
            </w:tabs>
          </w:pPr>
          <w:r>
            <w:fldChar w:fldCharType="begin"/>
          </w:r>
          <w:r>
            <w:instrText xml:space="preserve"> HYPERLINK \l _Toc248 </w:instrText>
          </w:r>
          <w:r>
            <w:fldChar w:fldCharType="separate"/>
          </w:r>
          <w:r>
            <w:rPr>
              <w:rFonts w:hint="default" w:ascii="黑体" w:hAnsi="黑体" w:eastAsia="黑体" w:cs="黑体"/>
              <w:bCs w:val="0"/>
              <w:szCs w:val="32"/>
            </w:rPr>
            <w:t xml:space="preserve">7.2 </w:t>
          </w:r>
          <w:r>
            <w:rPr>
              <w:rFonts w:hint="eastAsia"/>
            </w:rPr>
            <w:t>符合性评价的综合评述</w:t>
          </w:r>
          <w:r>
            <w:tab/>
          </w:r>
          <w:r>
            <w:fldChar w:fldCharType="begin"/>
          </w:r>
          <w:r>
            <w:instrText xml:space="preserve"> PAGEREF _Toc248 \h </w:instrText>
          </w:r>
          <w:r>
            <w:fldChar w:fldCharType="separate"/>
          </w:r>
          <w:r>
            <w:t>98</w:t>
          </w:r>
          <w:r>
            <w:fldChar w:fldCharType="end"/>
          </w:r>
          <w:r>
            <w:fldChar w:fldCharType="end"/>
          </w:r>
        </w:p>
        <w:p w14:paraId="2F73FB98">
          <w:pPr>
            <w:pStyle w:val="61"/>
            <w:tabs>
              <w:tab w:val="right" w:leader="dot" w:pos="8902"/>
            </w:tabs>
          </w:pPr>
          <w:r>
            <w:fldChar w:fldCharType="begin"/>
          </w:r>
          <w:r>
            <w:instrText xml:space="preserve"> HYPERLINK \l _Toc32081 </w:instrText>
          </w:r>
          <w:r>
            <w:fldChar w:fldCharType="separate"/>
          </w:r>
          <w:r>
            <w:rPr>
              <w:rFonts w:hint="default" w:ascii="黑体" w:hAnsi="黑体" w:eastAsia="黑体" w:cs="黑体"/>
              <w:bCs w:val="0"/>
              <w:szCs w:val="32"/>
            </w:rPr>
            <w:t xml:space="preserve">7.3 </w:t>
          </w:r>
          <w:r>
            <w:rPr>
              <w:rFonts w:hint="eastAsia"/>
            </w:rPr>
            <w:t>综合评价结论</w:t>
          </w:r>
          <w:r>
            <w:tab/>
          </w:r>
          <w:r>
            <w:fldChar w:fldCharType="begin"/>
          </w:r>
          <w:r>
            <w:instrText xml:space="preserve"> PAGEREF _Toc32081 \h </w:instrText>
          </w:r>
          <w:r>
            <w:fldChar w:fldCharType="separate"/>
          </w:r>
          <w:r>
            <w:t>99</w:t>
          </w:r>
          <w:r>
            <w:fldChar w:fldCharType="end"/>
          </w:r>
          <w:r>
            <w:fldChar w:fldCharType="end"/>
          </w:r>
        </w:p>
        <w:p w14:paraId="6B964CE4">
          <w:pPr>
            <w:pStyle w:val="60"/>
            <w:tabs>
              <w:tab w:val="right" w:leader="dot" w:pos="8902"/>
            </w:tabs>
            <w:rPr>
              <w:b/>
            </w:rPr>
          </w:pPr>
          <w:r>
            <w:rPr>
              <w:b/>
            </w:rPr>
            <w:fldChar w:fldCharType="begin"/>
          </w:r>
          <w:r>
            <w:rPr>
              <w:b/>
            </w:rPr>
            <w:instrText xml:space="preserve"> HYPERLINK \l _Toc12253 </w:instrText>
          </w:r>
          <w:r>
            <w:rPr>
              <w:b/>
            </w:rPr>
            <w:fldChar w:fldCharType="separate"/>
          </w:r>
          <w:r>
            <w:rPr>
              <w:rFonts w:hint="default" w:ascii="黑体" w:hAnsi="黑体" w:eastAsia="黑体" w:cs="黑体"/>
              <w:b/>
              <w:bCs w:val="0"/>
              <w:szCs w:val="36"/>
            </w:rPr>
            <w:t xml:space="preserve">第8章 </w:t>
          </w:r>
          <w:r>
            <w:rPr>
              <w:rFonts w:hint="eastAsia"/>
              <w:b/>
            </w:rPr>
            <w:t>与建设单位交换意见的情况</w:t>
          </w:r>
          <w:r>
            <w:rPr>
              <w:b/>
            </w:rPr>
            <w:tab/>
          </w:r>
          <w:r>
            <w:rPr>
              <w:b/>
            </w:rPr>
            <w:fldChar w:fldCharType="begin"/>
          </w:r>
          <w:r>
            <w:rPr>
              <w:b/>
            </w:rPr>
            <w:instrText xml:space="preserve"> PAGEREF _Toc12253 \h </w:instrText>
          </w:r>
          <w:r>
            <w:rPr>
              <w:b/>
            </w:rPr>
            <w:fldChar w:fldCharType="separate"/>
          </w:r>
          <w:r>
            <w:rPr>
              <w:b/>
            </w:rPr>
            <w:t>101</w:t>
          </w:r>
          <w:r>
            <w:rPr>
              <w:b/>
            </w:rPr>
            <w:fldChar w:fldCharType="end"/>
          </w:r>
          <w:r>
            <w:rPr>
              <w:b/>
            </w:rPr>
            <w:fldChar w:fldCharType="end"/>
          </w:r>
        </w:p>
        <w:p w14:paraId="6FF43BA4">
          <w:pPr>
            <w:pStyle w:val="60"/>
            <w:tabs>
              <w:tab w:val="right" w:leader="dot" w:pos="8902"/>
            </w:tabs>
            <w:rPr>
              <w:b/>
            </w:rPr>
          </w:pPr>
          <w:r>
            <w:rPr>
              <w:b/>
            </w:rPr>
            <w:fldChar w:fldCharType="begin"/>
          </w:r>
          <w:r>
            <w:rPr>
              <w:b/>
            </w:rPr>
            <w:instrText xml:space="preserve"> HYPERLINK \l _Toc9702 </w:instrText>
          </w:r>
          <w:r>
            <w:rPr>
              <w:b/>
            </w:rPr>
            <w:fldChar w:fldCharType="separate"/>
          </w:r>
          <w:r>
            <w:rPr>
              <w:rFonts w:hint="default" w:ascii="黑体" w:hAnsi="黑体" w:eastAsia="黑体" w:cs="黑体"/>
              <w:b/>
              <w:bCs w:val="0"/>
              <w:szCs w:val="36"/>
            </w:rPr>
            <w:t xml:space="preserve">第9章 </w:t>
          </w:r>
          <w:r>
            <w:rPr>
              <w:rFonts w:hint="eastAsia"/>
              <w:b/>
              <w:lang w:val="en-US" w:eastAsia="zh-CN"/>
            </w:rPr>
            <w:t>附件附图</w:t>
          </w:r>
          <w:r>
            <w:rPr>
              <w:b/>
            </w:rPr>
            <w:tab/>
          </w:r>
          <w:r>
            <w:rPr>
              <w:b/>
            </w:rPr>
            <w:fldChar w:fldCharType="begin"/>
          </w:r>
          <w:r>
            <w:rPr>
              <w:b/>
            </w:rPr>
            <w:instrText xml:space="preserve"> PAGEREF _Toc9702 \h </w:instrText>
          </w:r>
          <w:r>
            <w:rPr>
              <w:b/>
            </w:rPr>
            <w:fldChar w:fldCharType="separate"/>
          </w:r>
          <w:r>
            <w:rPr>
              <w:b/>
            </w:rPr>
            <w:t>102</w:t>
          </w:r>
          <w:r>
            <w:rPr>
              <w:b/>
            </w:rPr>
            <w:fldChar w:fldCharType="end"/>
          </w:r>
          <w:r>
            <w:rPr>
              <w:b/>
            </w:rPr>
            <w:fldChar w:fldCharType="end"/>
          </w:r>
        </w:p>
        <w:p w14:paraId="52D1DEEB">
          <w:pPr>
            <w:pStyle w:val="61"/>
            <w:tabs>
              <w:tab w:val="right" w:leader="dot" w:pos="8902"/>
            </w:tabs>
          </w:pPr>
          <w:r>
            <w:fldChar w:fldCharType="begin"/>
          </w:r>
          <w:r>
            <w:instrText xml:space="preserve"> HYPERLINK \l _Toc19827 </w:instrText>
          </w:r>
          <w:r>
            <w:fldChar w:fldCharType="separate"/>
          </w:r>
          <w:r>
            <w:rPr>
              <w:rFonts w:hint="default" w:ascii="黑体" w:hAnsi="黑体" w:eastAsia="黑体" w:cs="黑体"/>
              <w:bCs w:val="0"/>
              <w:szCs w:val="32"/>
            </w:rPr>
            <w:t xml:space="preserve">9.1 </w:t>
          </w:r>
          <w:r>
            <w:rPr>
              <w:rFonts w:hint="eastAsia"/>
              <w:lang w:val="en-US" w:eastAsia="zh-CN"/>
            </w:rPr>
            <w:t>附件</w:t>
          </w:r>
          <w:r>
            <w:tab/>
          </w:r>
          <w:r>
            <w:fldChar w:fldCharType="begin"/>
          </w:r>
          <w:r>
            <w:instrText xml:space="preserve"> PAGEREF _Toc19827 \h </w:instrText>
          </w:r>
          <w:r>
            <w:fldChar w:fldCharType="separate"/>
          </w:r>
          <w:r>
            <w:t>102</w:t>
          </w:r>
          <w:r>
            <w:fldChar w:fldCharType="end"/>
          </w:r>
          <w:r>
            <w:fldChar w:fldCharType="end"/>
          </w:r>
        </w:p>
        <w:p w14:paraId="3A098D3E">
          <w:pPr>
            <w:pStyle w:val="61"/>
            <w:tabs>
              <w:tab w:val="right" w:leader="dot" w:pos="8902"/>
            </w:tabs>
          </w:pPr>
          <w:r>
            <w:fldChar w:fldCharType="begin"/>
          </w:r>
          <w:r>
            <w:instrText xml:space="preserve"> HYPERLINK \l _Toc25025 </w:instrText>
          </w:r>
          <w:r>
            <w:fldChar w:fldCharType="separate"/>
          </w:r>
          <w:r>
            <w:rPr>
              <w:rFonts w:hint="default" w:ascii="黑体" w:hAnsi="黑体" w:eastAsia="黑体" w:cs="黑体"/>
              <w:bCs w:val="0"/>
              <w:szCs w:val="32"/>
            </w:rPr>
            <w:t xml:space="preserve">9.2 </w:t>
          </w:r>
          <w:r>
            <w:rPr>
              <w:rFonts w:hint="eastAsia"/>
              <w:lang w:val="en-US" w:eastAsia="zh-CN"/>
            </w:rPr>
            <w:t>附图</w:t>
          </w:r>
          <w:r>
            <w:tab/>
          </w:r>
          <w:r>
            <w:fldChar w:fldCharType="begin"/>
          </w:r>
          <w:r>
            <w:instrText xml:space="preserve"> PAGEREF _Toc25025 \h </w:instrText>
          </w:r>
          <w:r>
            <w:fldChar w:fldCharType="separate"/>
          </w:r>
          <w:r>
            <w:t>103</w:t>
          </w:r>
          <w:r>
            <w:fldChar w:fldCharType="end"/>
          </w:r>
          <w:r>
            <w:fldChar w:fldCharType="end"/>
          </w:r>
        </w:p>
        <w:p w14:paraId="73C4F515">
          <w:pPr>
            <w:rPr>
              <w:b/>
            </w:rPr>
          </w:pPr>
          <w:r>
            <w:rPr>
              <w:b/>
            </w:rPr>
            <w:fldChar w:fldCharType="end"/>
          </w:r>
        </w:p>
      </w:sdtContent>
    </w:sdt>
    <w:p w14:paraId="024949F7">
      <w:pPr>
        <w:rPr>
          <w:b/>
        </w:rPr>
      </w:pPr>
    </w:p>
    <w:p w14:paraId="5E1676FE">
      <w:pPr>
        <w:pStyle w:val="2"/>
        <w:bidi w:val="0"/>
        <w:rPr>
          <w:color w:val="000000" w:themeColor="text1"/>
          <w:lang w:val="en-US" w:eastAsia="zh-CN"/>
          <w14:textFill>
            <w14:solidFill>
              <w14:schemeClr w14:val="tx1"/>
            </w14:solidFill>
          </w14:textFill>
        </w:rPr>
        <w:sectPr>
          <w:footerReference r:id="rId10" w:type="default"/>
          <w:pgSz w:w="11906" w:h="16838"/>
          <w:pgMar w:top="1417" w:right="1417" w:bottom="1417" w:left="1587" w:header="907" w:footer="907" w:gutter="0"/>
          <w:pgNumType w:fmt="lowerRoman" w:start="1"/>
          <w:cols w:space="0" w:num="1"/>
          <w:rtlGutter w:val="0"/>
          <w:docGrid w:type="lines" w:linePitch="318" w:charSpace="0"/>
        </w:sectPr>
      </w:pPr>
      <w:bookmarkStart w:id="2" w:name="_Toc26087"/>
    </w:p>
    <w:p w14:paraId="74E91414">
      <w:pPr>
        <w:pStyle w:val="2"/>
        <w:bidi w:val="0"/>
        <w:rPr>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评价</w:t>
      </w:r>
      <w:r>
        <w:rPr>
          <w:color w:val="000000" w:themeColor="text1"/>
          <w:lang w:val="en-US" w:eastAsia="zh-CN"/>
          <w14:textFill>
            <w14:solidFill>
              <w14:schemeClr w14:val="tx1"/>
            </w14:solidFill>
          </w14:textFill>
        </w:rPr>
        <w:t>说明</w:t>
      </w:r>
      <w:bookmarkEnd w:id="1"/>
      <w:bookmarkEnd w:id="2"/>
    </w:p>
    <w:p w14:paraId="4CF69824">
      <w:pPr>
        <w:pStyle w:val="3"/>
        <w:bidi w:val="0"/>
        <w:rPr>
          <w:rFonts w:hint="default"/>
          <w:color w:val="000000" w:themeColor="text1"/>
          <w:lang w:val="en-US" w:eastAsia="zh-CN"/>
          <w14:textFill>
            <w14:solidFill>
              <w14:schemeClr w14:val="tx1"/>
            </w14:solidFill>
          </w14:textFill>
        </w:rPr>
      </w:pPr>
      <w:bookmarkStart w:id="3" w:name="_Toc21181"/>
      <w:bookmarkStart w:id="4" w:name="_Toc22384"/>
      <w:bookmarkStart w:id="5" w:name="_Toc2273"/>
      <w:bookmarkStart w:id="6" w:name="_Toc21810"/>
      <w:bookmarkStart w:id="7" w:name="_Toc14097"/>
      <w:bookmarkStart w:id="8" w:name="_Toc60925322"/>
      <w:bookmarkStart w:id="9" w:name="_Toc55945216"/>
      <w:r>
        <w:rPr>
          <w:rFonts w:hint="default"/>
          <w:color w:val="000000" w:themeColor="text1"/>
          <w:lang w:val="en-US" w:eastAsia="zh-CN"/>
          <w14:textFill>
            <w14:solidFill>
              <w14:schemeClr w14:val="tx1"/>
            </w14:solidFill>
          </w14:textFill>
        </w:rPr>
        <w:t>评价</w:t>
      </w:r>
      <w:bookmarkEnd w:id="3"/>
      <w:bookmarkEnd w:id="4"/>
      <w:bookmarkEnd w:id="5"/>
      <w:bookmarkEnd w:id="6"/>
      <w:r>
        <w:rPr>
          <w:rFonts w:hint="eastAsia"/>
          <w:color w:val="000000" w:themeColor="text1"/>
          <w:lang w:val="en-US" w:eastAsia="zh-CN"/>
          <w14:textFill>
            <w14:solidFill>
              <w14:schemeClr w14:val="tx1"/>
            </w14:solidFill>
          </w14:textFill>
        </w:rPr>
        <w:t>对象和范围</w:t>
      </w:r>
      <w:bookmarkEnd w:id="7"/>
    </w:p>
    <w:p w14:paraId="63EAEBDA">
      <w:pPr>
        <w:pStyle w:val="4"/>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textAlignment w:val="auto"/>
        <w:rPr>
          <w:rFonts w:ascii="Times New Roman" w:hAnsi="Times New Roman" w:eastAsia="宋体" w:cs="Times New Roman"/>
          <w:b/>
          <w:bCs/>
          <w:color w:val="000000" w:themeColor="text1"/>
          <w:sz w:val="30"/>
          <w:szCs w:val="30"/>
          <w14:textFill>
            <w14:solidFill>
              <w14:schemeClr w14:val="tx1"/>
            </w14:solidFill>
          </w14:textFill>
        </w:rPr>
      </w:pPr>
      <w:bookmarkStart w:id="10" w:name="_Toc6793"/>
      <w:bookmarkStart w:id="11" w:name="_Toc1655838"/>
      <w:bookmarkStart w:id="12" w:name="_Toc14335"/>
      <w:bookmarkStart w:id="13" w:name="_Toc17212"/>
      <w:bookmarkStart w:id="14" w:name="_Toc454614233"/>
      <w:r>
        <w:rPr>
          <w:rFonts w:ascii="Times New Roman" w:hAnsi="Times New Roman" w:eastAsia="宋体" w:cs="Times New Roman"/>
          <w:b/>
          <w:bCs/>
          <w:color w:val="000000" w:themeColor="text1"/>
          <w:sz w:val="30"/>
          <w:szCs w:val="30"/>
          <w14:textFill>
            <w14:solidFill>
              <w14:schemeClr w14:val="tx1"/>
            </w14:solidFill>
          </w14:textFill>
        </w:rPr>
        <w:t>评价对象</w:t>
      </w:r>
      <w:bookmarkEnd w:id="10"/>
      <w:bookmarkEnd w:id="11"/>
      <w:bookmarkEnd w:id="12"/>
      <w:bookmarkEnd w:id="13"/>
      <w:bookmarkEnd w:id="14"/>
    </w:p>
    <w:p w14:paraId="501C3CA0">
      <w:pPr>
        <w:keepNext w:val="0"/>
        <w:keepLines w:val="0"/>
        <w:pageBreakBefore w:val="0"/>
        <w:widowControl w:val="0"/>
        <w:numPr>
          <w:ilvl w:val="0"/>
          <w:numId w:val="0"/>
        </w:numPr>
        <w:kinsoku/>
        <w:wordWrap/>
        <w:overflowPunct/>
        <w:topLinePunct/>
        <w:autoSpaceDE/>
        <w:autoSpaceDN/>
        <w:bidi w:val="0"/>
        <w:adjustRightInd/>
        <w:snapToGrid/>
        <w:ind w:leftChars="0" w:firstLine="560" w:firstLineChars="200"/>
        <w:jc w:val="lef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zh-CN" w:eastAsia="zh-CN"/>
          <w14:textFill>
            <w14:solidFill>
              <w14:schemeClr w14:val="tx1"/>
            </w14:solidFill>
          </w14:textFill>
        </w:rPr>
        <w:t>本次验收评价对象为</w:t>
      </w:r>
      <w:r>
        <w:rPr>
          <w:rFonts w:hint="eastAsia" w:ascii="宋体" w:hAnsi="宋体" w:cs="宋体"/>
          <w:color w:val="000000" w:themeColor="text1"/>
          <w:lang w:eastAsia="zh-CN"/>
          <w14:textFill>
            <w14:solidFill>
              <w14:schemeClr w14:val="tx1"/>
            </w14:solidFill>
          </w14:textFill>
        </w:rPr>
        <w:t>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cs="宋体"/>
          <w:color w:val="000000" w:themeColor="text1"/>
          <w:lang w:val="zh-CN" w:eastAsia="zh-CN"/>
          <w14:textFill>
            <w14:solidFill>
              <w14:schemeClr w14:val="tx1"/>
            </w14:solidFill>
          </w14:textFill>
        </w:rPr>
        <w:t>。</w:t>
      </w:r>
    </w:p>
    <w:p w14:paraId="3E31B458">
      <w:pPr>
        <w:pStyle w:val="4"/>
        <w:keepNext w:val="0"/>
        <w:keepLines w:val="0"/>
        <w:pageBreakBefore w:val="0"/>
        <w:widowControl w:val="0"/>
        <w:kinsoku/>
        <w:wordWrap/>
        <w:overflowPunct/>
        <w:topLinePunct w:val="0"/>
        <w:autoSpaceDE/>
        <w:autoSpaceDN/>
        <w:bidi w:val="0"/>
        <w:adjustRightInd/>
        <w:snapToGrid w:val="0"/>
        <w:spacing w:before="160" w:beforeLines="50" w:after="0" w:afterLines="0" w:line="360" w:lineRule="auto"/>
        <w:textAlignment w:val="auto"/>
        <w:rPr>
          <w:rFonts w:ascii="Times New Roman" w:hAnsi="Times New Roman" w:eastAsia="宋体" w:cs="Times New Roman"/>
          <w:b/>
          <w:bCs/>
          <w:color w:val="000000" w:themeColor="text1"/>
          <w:sz w:val="30"/>
          <w:szCs w:val="30"/>
          <w14:textFill>
            <w14:solidFill>
              <w14:schemeClr w14:val="tx1"/>
            </w14:solidFill>
          </w14:textFill>
        </w:rPr>
      </w:pPr>
      <w:r>
        <w:rPr>
          <w:rFonts w:ascii="Times New Roman" w:hAnsi="Times New Roman" w:eastAsia="宋体" w:cs="Times New Roman"/>
          <w:b/>
          <w:bCs/>
          <w:color w:val="000000" w:themeColor="text1"/>
          <w:sz w:val="30"/>
          <w:szCs w:val="30"/>
          <w14:textFill>
            <w14:solidFill>
              <w14:schemeClr w14:val="tx1"/>
            </w14:solidFill>
          </w14:textFill>
        </w:rPr>
        <w:t>评价</w:t>
      </w:r>
      <w:r>
        <w:rPr>
          <w:rFonts w:hint="eastAsia" w:ascii="Times New Roman" w:hAnsi="Times New Roman" w:cs="Times New Roman"/>
          <w:b/>
          <w:bCs/>
          <w:color w:val="000000" w:themeColor="text1"/>
          <w:sz w:val="30"/>
          <w:szCs w:val="30"/>
          <w:lang w:val="en-US" w:eastAsia="zh-CN"/>
          <w14:textFill>
            <w14:solidFill>
              <w14:schemeClr w14:val="tx1"/>
            </w14:solidFill>
          </w14:textFill>
        </w:rPr>
        <w:t>范围</w:t>
      </w:r>
    </w:p>
    <w:p w14:paraId="31AE6E1F">
      <w:pPr>
        <w:bidi w:val="0"/>
        <w:ind w:firstLine="560" w:firstLineChars="200"/>
        <w:rPr>
          <w:rFonts w:hint="eastAsia" w:ascii="宋体" w:hAnsi="宋体" w:cs="Times New Roman"/>
          <w:color w:val="000000" w:themeColor="text1"/>
          <w:kern w:val="2"/>
          <w:sz w:val="28"/>
          <w:szCs w:val="28"/>
          <w:lang w:val="zh-CN" w:eastAsia="zh-CN" w:bidi="ar-SA"/>
          <w14:textFill>
            <w14:solidFill>
              <w14:schemeClr w14:val="tx1"/>
            </w14:solidFill>
          </w14:textFill>
        </w:rPr>
      </w:pPr>
      <w:r>
        <w:rPr>
          <w:rFonts w:hint="eastAsia" w:ascii="宋体" w:hAnsi="宋体" w:eastAsia="宋体" w:cs="Times New Roman"/>
          <w:color w:val="000000" w:themeColor="text1"/>
          <w:kern w:val="2"/>
          <w:sz w:val="28"/>
          <w:szCs w:val="28"/>
          <w:lang w:val="zh-CN" w:eastAsia="zh-CN" w:bidi="ar-SA"/>
          <w14:textFill>
            <w14:solidFill>
              <w14:schemeClr w14:val="tx1"/>
            </w14:solidFill>
          </w14:textFill>
        </w:rPr>
        <w:t>本次安全设施验收评价范围为华能澜沧江（景洪）新能源有限公司基诺乡巴卡村洛科新寨光伏电站</w:t>
      </w: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项目的光伏场区、</w:t>
      </w:r>
      <w:r>
        <w:rPr>
          <w:rFonts w:hint="eastAsia" w:ascii="宋体" w:hAnsi="宋体" w:eastAsia="宋体" w:cs="Times New Roman"/>
          <w:color w:val="000000" w:themeColor="text1"/>
          <w:kern w:val="2"/>
          <w:sz w:val="28"/>
          <w:szCs w:val="28"/>
          <w:lang w:val="zh-CN" w:eastAsia="zh-CN" w:bidi="ar-SA"/>
          <w14:textFill>
            <w14:solidFill>
              <w14:schemeClr w14:val="tx1"/>
            </w14:solidFill>
          </w14:textFill>
        </w:rPr>
        <w:t>35kV连接线路的总平面布置、生</w:t>
      </w:r>
      <w:r>
        <w:rPr>
          <w:rFonts w:hint="eastAsia" w:ascii="宋体" w:hAnsi="宋体" w:cs="Times New Roman"/>
          <w:color w:val="000000" w:themeColor="text1"/>
          <w:kern w:val="2"/>
          <w:sz w:val="28"/>
          <w:szCs w:val="28"/>
          <w:lang w:val="zh-CN" w:eastAsia="zh-CN" w:bidi="ar-SA"/>
          <w14:textFill>
            <w14:solidFill>
              <w14:schemeClr w14:val="tx1"/>
            </w14:solidFill>
          </w14:textFill>
        </w:rPr>
        <w:t>产工艺装置、设备设施、公用工程及辅助设施及安全管理等。</w:t>
      </w:r>
    </w:p>
    <w:p w14:paraId="151F0CEE">
      <w:pPr>
        <w:bidi w:val="0"/>
        <w:ind w:firstLine="548" w:firstLineChars="200"/>
        <w:rPr>
          <w:rFonts w:hint="eastAsia" w:ascii="宋体" w:hAnsi="宋体" w:cs="Times New Roman"/>
          <w:color w:val="000000" w:themeColor="text1"/>
          <w:kern w:val="2"/>
          <w:sz w:val="28"/>
          <w:szCs w:val="28"/>
          <w:lang w:val="zh-CN" w:eastAsia="zh-CN" w:bidi="ar-SA"/>
          <w14:textFill>
            <w14:solidFill>
              <w14:schemeClr w14:val="tx1"/>
            </w14:solidFill>
          </w14:textFill>
        </w:rPr>
      </w:pPr>
      <w:r>
        <w:rPr>
          <w:color w:val="000000" w:themeColor="text1"/>
          <w:spacing w:val="-3"/>
          <w:sz w:val="28"/>
          <w:szCs w:val="28"/>
          <w14:textFill>
            <w14:solidFill>
              <w14:schemeClr w14:val="tx1"/>
            </w14:solidFill>
          </w14:textFill>
        </w:rPr>
        <w:t>项目中涉及厂外运输</w:t>
      </w:r>
      <w:r>
        <w:rPr>
          <w:rFonts w:hint="eastAsia"/>
          <w:color w:val="000000" w:themeColor="text1"/>
          <w:spacing w:val="-3"/>
          <w:sz w:val="28"/>
          <w:szCs w:val="28"/>
          <w:lang w:eastAsia="zh-CN"/>
          <w14:textFill>
            <w14:solidFill>
              <w14:schemeClr w14:val="tx1"/>
            </w14:solidFill>
          </w14:textFill>
        </w:rPr>
        <w:t>、</w:t>
      </w:r>
      <w:r>
        <w:rPr>
          <w:rFonts w:hint="eastAsia" w:ascii="宋体" w:hAnsi="宋体" w:cs="Times New Roman"/>
          <w:color w:val="000000" w:themeColor="text1"/>
          <w:kern w:val="2"/>
          <w:sz w:val="28"/>
          <w:szCs w:val="28"/>
          <w:lang w:val="zh-CN" w:eastAsia="zh-CN" w:bidi="ar-SA"/>
          <w14:textFill>
            <w14:solidFill>
              <w14:schemeClr w14:val="tx1"/>
            </w14:solidFill>
          </w14:textFill>
        </w:rPr>
        <w:t>职业卫生、环境保护、</w:t>
      </w:r>
      <w:r>
        <w:rPr>
          <w:rFonts w:hint="eastAsia" w:ascii="宋体" w:hAnsi="宋体" w:cs="Times New Roman"/>
          <w:color w:val="000000" w:themeColor="text1"/>
          <w:kern w:val="2"/>
          <w:sz w:val="28"/>
          <w:szCs w:val="28"/>
          <w:lang w:val="en-US" w:eastAsia="zh-CN" w:bidi="ar-SA"/>
          <w14:textFill>
            <w14:solidFill>
              <w14:schemeClr w14:val="tx1"/>
            </w14:solidFill>
          </w14:textFill>
        </w:rPr>
        <w:t>升压站的相关设施</w:t>
      </w:r>
      <w:r>
        <w:rPr>
          <w:rFonts w:hint="eastAsia" w:ascii="宋体" w:hAnsi="宋体" w:cs="Times New Roman"/>
          <w:color w:val="000000" w:themeColor="text1"/>
          <w:kern w:val="2"/>
          <w:sz w:val="28"/>
          <w:szCs w:val="28"/>
          <w:lang w:val="zh-CN" w:eastAsia="zh-CN" w:bidi="ar-SA"/>
          <w14:textFill>
            <w14:solidFill>
              <w14:schemeClr w14:val="tx1"/>
            </w14:solidFill>
          </w14:textFill>
        </w:rPr>
        <w:t>不在本次安全设施验收评价范围内，但在报告内容中</w:t>
      </w:r>
      <w:r>
        <w:rPr>
          <w:rFonts w:hint="eastAsia" w:ascii="宋体" w:hAnsi="宋体" w:cs="Times New Roman"/>
          <w:color w:val="000000" w:themeColor="text1"/>
          <w:kern w:val="2"/>
          <w:sz w:val="28"/>
          <w:szCs w:val="28"/>
          <w:lang w:val="en-US" w:eastAsia="zh-CN" w:bidi="ar-SA"/>
          <w14:textFill>
            <w14:solidFill>
              <w14:schemeClr w14:val="tx1"/>
            </w14:solidFill>
          </w14:textFill>
        </w:rPr>
        <w:t>可能</w:t>
      </w:r>
      <w:r>
        <w:rPr>
          <w:rFonts w:hint="eastAsia" w:ascii="宋体" w:hAnsi="宋体" w:cs="Times New Roman"/>
          <w:color w:val="000000" w:themeColor="text1"/>
          <w:kern w:val="2"/>
          <w:sz w:val="28"/>
          <w:szCs w:val="28"/>
          <w:lang w:val="zh-CN" w:eastAsia="zh-CN" w:bidi="ar-SA"/>
          <w14:textFill>
            <w14:solidFill>
              <w14:schemeClr w14:val="tx1"/>
            </w14:solidFill>
          </w14:textFill>
        </w:rPr>
        <w:t>会有所提及。</w:t>
      </w:r>
    </w:p>
    <w:p w14:paraId="2E992C8A">
      <w:pPr>
        <w:rPr>
          <w:color w:val="000000" w:themeColor="text1"/>
          <w:lang w:val="en-US" w:eastAsia="zh-CN"/>
          <w14:textFill>
            <w14:solidFill>
              <w14:schemeClr w14:val="tx1"/>
            </w14:solidFill>
          </w14:textFill>
        </w:rPr>
      </w:pPr>
      <w:r>
        <w:rPr>
          <w:rFonts w:hint="eastAsia" w:ascii="宋体" w:hAnsi="宋体" w:cs="Times New Roman"/>
          <w:color w:val="000000" w:themeColor="text1"/>
          <w:kern w:val="2"/>
          <w:sz w:val="28"/>
          <w:szCs w:val="28"/>
          <w:lang w:val="zh-CN" w:eastAsia="zh-CN" w:bidi="ar-SA"/>
          <w14:textFill>
            <w14:solidFill>
              <w14:schemeClr w14:val="tx1"/>
            </w14:solidFill>
          </w14:textFill>
        </w:rPr>
        <w:t>如果该项目周边条件、主要技术、工艺路线、产品方案、装置规模等发生重大变化，或变更了生产地址，本报告的评价结论将不再适用。</w:t>
      </w:r>
    </w:p>
    <w:p w14:paraId="300826BC">
      <w:pPr>
        <w:pStyle w:val="4"/>
        <w:keepNext w:val="0"/>
        <w:keepLines w:val="0"/>
        <w:pageBreakBefore w:val="0"/>
        <w:widowControl w:val="0"/>
        <w:kinsoku/>
        <w:wordWrap/>
        <w:overflowPunct/>
        <w:topLinePunct w:val="0"/>
        <w:autoSpaceDE/>
        <w:autoSpaceDN/>
        <w:bidi w:val="0"/>
        <w:adjustRightInd/>
        <w:snapToGrid w:val="0"/>
        <w:spacing w:before="160" w:beforeLines="50" w:after="0" w:afterLines="0" w:line="360" w:lineRule="auto"/>
        <w:textAlignment w:val="auto"/>
        <w:rPr>
          <w:color w:val="000000" w:themeColor="text1"/>
          <w:lang w:val="en-US" w:eastAsia="zh-CN"/>
          <w14:textFill>
            <w14:solidFill>
              <w14:schemeClr w14:val="tx1"/>
            </w14:solidFill>
          </w14:textFill>
        </w:rPr>
      </w:pPr>
      <w:r>
        <w:rPr>
          <w:rFonts w:ascii="Times New Roman" w:hAnsi="Times New Roman" w:eastAsia="宋体" w:cs="Times New Roman"/>
          <w:b/>
          <w:bCs/>
          <w:color w:val="000000" w:themeColor="text1"/>
          <w:sz w:val="30"/>
          <w:szCs w:val="30"/>
          <w14:textFill>
            <w14:solidFill>
              <w14:schemeClr w14:val="tx1"/>
            </w14:solidFill>
          </w14:textFill>
        </w:rPr>
        <w:t>评价</w:t>
      </w:r>
      <w:r>
        <w:rPr>
          <w:rFonts w:hint="eastAsia" w:ascii="Times New Roman" w:hAnsi="Times New Roman" w:cs="Times New Roman"/>
          <w:b/>
          <w:bCs/>
          <w:color w:val="000000" w:themeColor="text1"/>
          <w:sz w:val="30"/>
          <w:szCs w:val="30"/>
          <w:lang w:val="en-US" w:eastAsia="zh-CN"/>
          <w14:textFill>
            <w14:solidFill>
              <w14:schemeClr w14:val="tx1"/>
            </w14:solidFill>
          </w14:textFill>
        </w:rPr>
        <w:t>目的</w:t>
      </w:r>
    </w:p>
    <w:p w14:paraId="3E3A9002">
      <w:pPr>
        <w:keepNext w:val="0"/>
        <w:keepLines w:val="0"/>
        <w:pageBreakBefore w:val="0"/>
        <w:widowControl w:val="0"/>
        <w:numPr>
          <w:ilvl w:val="0"/>
          <w:numId w:val="2"/>
        </w:numPr>
        <w:kinsoku/>
        <w:wordWrap/>
        <w:overflowPunct/>
        <w:topLinePunct/>
        <w:autoSpaceDE/>
        <w:autoSpaceDN/>
        <w:bidi w:val="0"/>
        <w:adjustRightInd/>
        <w:snapToGrid/>
        <w:ind w:left="0" w:leftChars="0" w:firstLine="560" w:firstLineChars="200"/>
        <w:jc w:val="lef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根据国家相关</w:t>
      </w:r>
      <w:r>
        <w:rPr>
          <w:rFonts w:hint="eastAsia" w:ascii="宋体" w:hAnsi="宋体" w:eastAsia="宋体" w:cs="宋体"/>
          <w:color w:val="000000" w:themeColor="text1"/>
          <w:lang w:eastAsia="zh-CN"/>
          <w14:textFill>
            <w14:solidFill>
              <w14:schemeClr w14:val="tx1"/>
            </w14:solidFill>
          </w14:textFill>
        </w:rPr>
        <w:t>法律法规</w:t>
      </w:r>
      <w:r>
        <w:rPr>
          <w:rFonts w:hint="eastAsia" w:ascii="宋体" w:hAnsi="宋体" w:eastAsia="宋体" w:cs="宋体"/>
          <w:color w:val="000000" w:themeColor="text1"/>
          <w14:textFill>
            <w14:solidFill>
              <w14:schemeClr w14:val="tx1"/>
            </w14:solidFill>
          </w14:textFill>
        </w:rPr>
        <w:t>的规定和要求，依据项目的安全设施设计内容，对项目的安全设施建设情况进行符合性评价，为</w:t>
      </w:r>
      <w:r>
        <w:rPr>
          <w:rFonts w:hint="eastAsia" w:ascii="宋体" w:hAnsi="宋体" w:cs="宋体"/>
          <w:color w:val="000000" w:themeColor="text1"/>
          <w:lang w:eastAsia="zh-CN"/>
          <w14:textFill>
            <w14:solidFill>
              <w14:schemeClr w14:val="tx1"/>
            </w14:solidFill>
          </w14:textFill>
        </w:rPr>
        <w:t>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eastAsia="宋体" w:cs="宋体"/>
          <w:color w:val="000000" w:themeColor="text1"/>
          <w14:textFill>
            <w14:solidFill>
              <w14:schemeClr w14:val="tx1"/>
            </w14:solidFill>
          </w14:textFill>
        </w:rPr>
        <w:t>完善政府行政审批手续提供安全设施验收评价报告，是本次安全评价工作的主要目的之一。</w:t>
      </w:r>
    </w:p>
    <w:p w14:paraId="7CA74E85">
      <w:pPr>
        <w:keepNext w:val="0"/>
        <w:keepLines w:val="0"/>
        <w:pageBreakBefore w:val="0"/>
        <w:widowControl w:val="0"/>
        <w:numPr>
          <w:ilvl w:val="0"/>
          <w:numId w:val="2"/>
        </w:numPr>
        <w:kinsoku/>
        <w:wordWrap/>
        <w:overflowPunct/>
        <w:topLinePunct/>
        <w:autoSpaceDE/>
        <w:autoSpaceDN/>
        <w:bidi w:val="0"/>
        <w:adjustRightInd/>
        <w:snapToGrid/>
        <w:ind w:left="0" w:leftChars="0" w:firstLine="560" w:firstLineChars="200"/>
        <w:jc w:val="lef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为建设项目的安全验收提供科学依据，指导危险源监控和事故预防，以实现最低的事故率、最少的损失和最优的安全投资效益，以保证建设项目正常投入生产或使用后的安全性和可靠性。</w:t>
      </w:r>
    </w:p>
    <w:p w14:paraId="5F2E9F18">
      <w:pPr>
        <w:keepNext w:val="0"/>
        <w:keepLines w:val="0"/>
        <w:pageBreakBefore w:val="0"/>
        <w:widowControl w:val="0"/>
        <w:numPr>
          <w:ilvl w:val="0"/>
          <w:numId w:val="2"/>
        </w:numPr>
        <w:kinsoku/>
        <w:wordWrap/>
        <w:overflowPunct/>
        <w:topLinePunct/>
        <w:autoSpaceDE/>
        <w:autoSpaceDN/>
        <w:bidi w:val="0"/>
        <w:adjustRightInd/>
        <w:snapToGrid/>
        <w:ind w:left="0" w:leftChars="0" w:firstLine="560" w:firstLineChars="200"/>
        <w:jc w:val="lef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通过对建设项目“三同时”落实情况及设施、设备、装置实际运行状况的检查，对未达到安全目标的系统或单元提出具有针对性、可操作性和经济合理性的安全对策措施建议，以利于提高建设项目本质安全程度，满足安全生产要求。</w:t>
      </w:r>
    </w:p>
    <w:p w14:paraId="369B4FE2">
      <w:pPr>
        <w:keepNext w:val="0"/>
        <w:keepLines w:val="0"/>
        <w:pageBreakBefore w:val="0"/>
        <w:widowControl w:val="0"/>
        <w:numPr>
          <w:ilvl w:val="0"/>
          <w:numId w:val="2"/>
        </w:numPr>
        <w:kinsoku/>
        <w:wordWrap/>
        <w:overflowPunct/>
        <w:topLinePunct/>
        <w:autoSpaceDE/>
        <w:autoSpaceDN/>
        <w:bidi w:val="0"/>
        <w:adjustRightInd/>
        <w:snapToGrid/>
        <w:ind w:left="0" w:leftChars="0" w:firstLine="560" w:firstLineChars="200"/>
        <w:jc w:val="left"/>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通过安全设施验收评价，可进一步</w:t>
      </w:r>
      <w:r>
        <w:rPr>
          <w:rFonts w:hint="eastAsia" w:ascii="宋体" w:hAnsi="宋体" w:eastAsia="宋体" w:cs="宋体"/>
          <w:color w:val="000000" w:themeColor="text1"/>
          <w:lang w:eastAsia="zh-CN"/>
          <w14:textFill>
            <w14:solidFill>
              <w14:schemeClr w14:val="tx1"/>
            </w14:solidFill>
          </w14:textFill>
        </w:rPr>
        <w:t>全面</w:t>
      </w:r>
      <w:r>
        <w:rPr>
          <w:rFonts w:hint="eastAsia" w:ascii="宋体" w:hAnsi="宋体" w:eastAsia="宋体" w:cs="宋体"/>
          <w:color w:val="000000" w:themeColor="text1"/>
          <w14:textFill>
            <w14:solidFill>
              <w14:schemeClr w14:val="tx1"/>
            </w14:solidFill>
          </w14:textFill>
        </w:rPr>
        <w:t>了解和掌握其安全生产条件和安全管理状况；并通过完善安全措施，保障作业人员的生命安全和财产安全。</w:t>
      </w:r>
    </w:p>
    <w:p w14:paraId="1D9E7E97">
      <w:pPr>
        <w:keepNext w:val="0"/>
        <w:keepLines w:val="0"/>
        <w:pageBreakBefore w:val="0"/>
        <w:widowControl w:val="0"/>
        <w:numPr>
          <w:ilvl w:val="0"/>
          <w:numId w:val="2"/>
        </w:numPr>
        <w:kinsoku/>
        <w:wordWrap/>
        <w:overflowPunct/>
        <w:topLinePunct/>
        <w:autoSpaceDE/>
        <w:autoSpaceDN/>
        <w:bidi w:val="0"/>
        <w:adjustRightInd/>
        <w:snapToGrid/>
        <w:ind w:left="0" w:leftChars="0" w:firstLine="560" w:firstLineChars="200"/>
        <w:jc w:val="left"/>
        <w:textAlignment w:val="auto"/>
        <w:rPr>
          <w:rFonts w:ascii="Times New Roman" w:hAnsi="Times New Roman" w:eastAsia="宋体" w:cs="Times New Roman"/>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为实现该项目安全技术、安全管理的标准化和科学化创造条件，并为应急管理部门提供安全监管依据。</w:t>
      </w:r>
    </w:p>
    <w:bookmarkEnd w:id="8"/>
    <w:bookmarkEnd w:id="9"/>
    <w:p w14:paraId="55BE7308">
      <w:pPr>
        <w:pStyle w:val="3"/>
        <w:keepNext w:val="0"/>
        <w:keepLines w:val="0"/>
        <w:pageBreakBefore w:val="0"/>
        <w:widowControl w:val="0"/>
        <w:kinsoku/>
        <w:bidi w:val="0"/>
        <w:rPr>
          <w:color w:val="000000" w:themeColor="text1"/>
          <w:lang w:val="en-US" w:eastAsia="zh-CN"/>
          <w14:textFill>
            <w14:solidFill>
              <w14:schemeClr w14:val="tx1"/>
            </w14:solidFill>
          </w14:textFill>
        </w:rPr>
      </w:pPr>
      <w:bookmarkStart w:id="15" w:name="_Toc55945217"/>
      <w:bookmarkStart w:id="16" w:name="_Toc20311"/>
      <w:bookmarkStart w:id="17" w:name="_Toc60925323"/>
      <w:bookmarkStart w:id="18" w:name="_Toc26343"/>
      <w:bookmarkStart w:id="19" w:name="_Toc4593"/>
      <w:bookmarkStart w:id="20" w:name="_Toc4230"/>
      <w:bookmarkStart w:id="21" w:name="_Toc28952"/>
      <w:r>
        <w:rPr>
          <w:rFonts w:hint="eastAsia"/>
          <w:color w:val="000000" w:themeColor="text1"/>
          <w:lang w:val="en-US" w:eastAsia="zh-CN"/>
          <w14:textFill>
            <w14:solidFill>
              <w14:schemeClr w14:val="tx1"/>
            </w14:solidFill>
          </w14:textFill>
        </w:rPr>
        <w:t>评价依据</w:t>
      </w:r>
      <w:bookmarkEnd w:id="15"/>
      <w:bookmarkEnd w:id="16"/>
      <w:bookmarkEnd w:id="17"/>
      <w:bookmarkEnd w:id="18"/>
      <w:bookmarkEnd w:id="19"/>
      <w:bookmarkEnd w:id="20"/>
      <w:bookmarkEnd w:id="21"/>
    </w:p>
    <w:p w14:paraId="60D2E6F9">
      <w:pPr>
        <w:pStyle w:val="4"/>
        <w:keepNext w:val="0"/>
        <w:keepLines w:val="0"/>
        <w:pageBreakBefore w:val="0"/>
        <w:widowControl w:val="0"/>
        <w:kinsoku/>
        <w:bidi w:val="0"/>
        <w:rPr>
          <w:color w:val="000000" w:themeColor="text1"/>
          <w:lang w:val="en-US" w:eastAsia="zh-CN"/>
          <w14:textFill>
            <w14:solidFill>
              <w14:schemeClr w14:val="tx1"/>
            </w14:solidFill>
          </w14:textFill>
        </w:rPr>
      </w:pPr>
      <w:bookmarkStart w:id="22" w:name="_Toc477116082"/>
      <w:bookmarkStart w:id="23" w:name="_Toc55033268"/>
      <w:bookmarkStart w:id="24" w:name="_Toc531271025"/>
      <w:bookmarkStart w:id="25" w:name="_Toc55567333"/>
      <w:bookmarkStart w:id="26" w:name="_Toc19159"/>
      <w:bookmarkStart w:id="27" w:name="_Toc27811"/>
      <w:bookmarkStart w:id="28" w:name="_Toc60925324"/>
      <w:bookmarkStart w:id="29" w:name="_Toc55945218"/>
      <w:bookmarkStart w:id="30" w:name="_Toc20385"/>
      <w:bookmarkStart w:id="31" w:name="_Toc15108"/>
      <w:r>
        <w:rPr>
          <w:rFonts w:hint="eastAsia"/>
          <w:color w:val="000000" w:themeColor="text1"/>
          <w:lang w:val="en-US" w:eastAsia="zh-CN"/>
          <w14:textFill>
            <w14:solidFill>
              <w14:schemeClr w14:val="tx1"/>
            </w14:solidFill>
          </w14:textFill>
        </w:rPr>
        <w:t>法律</w:t>
      </w:r>
      <w:bookmarkEnd w:id="22"/>
      <w:bookmarkEnd w:id="23"/>
      <w:bookmarkEnd w:id="24"/>
      <w:bookmarkEnd w:id="25"/>
      <w:bookmarkEnd w:id="26"/>
      <w:bookmarkEnd w:id="27"/>
    </w:p>
    <w:bookmarkEnd w:id="28"/>
    <w:bookmarkEnd w:id="29"/>
    <w:bookmarkEnd w:id="30"/>
    <w:bookmarkEnd w:id="31"/>
    <w:p w14:paraId="55CF4B84">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bookmarkStart w:id="32" w:name="_Toc531271026"/>
      <w:bookmarkStart w:id="33" w:name="_Toc335926127"/>
      <w:bookmarkStart w:id="34" w:name="_Toc376246553"/>
      <w:bookmarkStart w:id="35" w:name="_Toc477116083"/>
      <w:bookmarkStart w:id="36" w:name="_Toc369097748"/>
      <w:r>
        <w:rPr>
          <w:rFonts w:hint="eastAsia" w:ascii="宋体" w:hAnsi="宋体" w:eastAsia="宋体" w:cs="宋体"/>
          <w:color w:val="000000" w:themeColor="text1"/>
          <w:szCs w:val="28"/>
          <w14:textFill>
            <w14:solidFill>
              <w14:schemeClr w14:val="tx1"/>
            </w14:solidFill>
          </w14:textFill>
        </w:rPr>
        <w:t>《中华人民共和国安全生产法》（中华人民共和国主席令〔20</w:t>
      </w:r>
      <w:r>
        <w:rPr>
          <w:rFonts w:hint="eastAsia" w:ascii="宋体" w:hAnsi="宋体" w:cs="宋体"/>
          <w:color w:val="000000" w:themeColor="text1"/>
          <w:szCs w:val="28"/>
          <w:lang w:val="en-US" w:eastAsia="zh-CN"/>
          <w14:textFill>
            <w14:solidFill>
              <w14:schemeClr w14:val="tx1"/>
            </w14:solidFill>
          </w14:textFill>
        </w:rPr>
        <w:t>21</w:t>
      </w:r>
      <w:r>
        <w:rPr>
          <w:rFonts w:hint="eastAsia" w:ascii="宋体" w:hAnsi="宋体" w:eastAsia="宋体" w:cs="宋体"/>
          <w:color w:val="000000" w:themeColor="text1"/>
          <w:szCs w:val="28"/>
          <w14:textFill>
            <w14:solidFill>
              <w14:schemeClr w14:val="tx1"/>
            </w14:solidFill>
          </w14:textFill>
        </w:rPr>
        <w:t>〕第</w:t>
      </w:r>
      <w:r>
        <w:rPr>
          <w:rFonts w:hint="eastAsia" w:ascii="宋体" w:hAnsi="宋体" w:eastAsia="宋体" w:cs="宋体"/>
          <w:color w:val="000000" w:themeColor="text1"/>
          <w:szCs w:val="28"/>
          <w:lang w:val="en-US" w:eastAsia="zh-CN"/>
          <w14:textFill>
            <w14:solidFill>
              <w14:schemeClr w14:val="tx1"/>
            </w14:solidFill>
          </w14:textFill>
        </w:rPr>
        <w:t>88</w:t>
      </w:r>
      <w:r>
        <w:rPr>
          <w:rFonts w:hint="eastAsia" w:ascii="宋体" w:hAnsi="宋体" w:eastAsia="宋体" w:cs="宋体"/>
          <w:color w:val="000000" w:themeColor="text1"/>
          <w:szCs w:val="28"/>
          <w14:textFill>
            <w14:solidFill>
              <w14:schemeClr w14:val="tx1"/>
            </w14:solidFill>
          </w14:textFill>
        </w:rPr>
        <w:t>号，2021年</w:t>
      </w:r>
      <w:r>
        <w:rPr>
          <w:rFonts w:hint="eastAsia" w:ascii="宋体" w:hAnsi="宋体" w:cs="宋体"/>
          <w:color w:val="000000" w:themeColor="text1"/>
          <w:szCs w:val="28"/>
          <w:lang w:val="en-US" w:eastAsia="zh-CN"/>
          <w14:textFill>
            <w14:solidFill>
              <w14:schemeClr w14:val="tx1"/>
            </w14:solidFill>
          </w14:textFill>
        </w:rPr>
        <w:t>4</w:t>
      </w:r>
      <w:r>
        <w:rPr>
          <w:rFonts w:hint="eastAsia" w:ascii="宋体" w:hAnsi="宋体" w:eastAsia="宋体" w:cs="宋体"/>
          <w:color w:val="000000" w:themeColor="text1"/>
          <w:szCs w:val="28"/>
          <w14:textFill>
            <w14:solidFill>
              <w14:schemeClr w14:val="tx1"/>
            </w14:solidFill>
          </w14:textFill>
        </w:rPr>
        <w:t>月</w:t>
      </w:r>
      <w:r>
        <w:rPr>
          <w:rFonts w:hint="eastAsia" w:ascii="宋体" w:hAnsi="宋体" w:cs="宋体"/>
          <w:color w:val="000000" w:themeColor="text1"/>
          <w:szCs w:val="28"/>
          <w:lang w:val="en-US" w:eastAsia="zh-CN"/>
          <w14:textFill>
            <w14:solidFill>
              <w14:schemeClr w14:val="tx1"/>
            </w14:solidFill>
          </w14:textFill>
        </w:rPr>
        <w:t>29</w:t>
      </w:r>
      <w:r>
        <w:rPr>
          <w:rFonts w:hint="eastAsia" w:ascii="宋体" w:hAnsi="宋体" w:eastAsia="宋体" w:cs="宋体"/>
          <w:color w:val="000000" w:themeColor="text1"/>
          <w:szCs w:val="28"/>
          <w14:textFill>
            <w14:solidFill>
              <w14:schemeClr w14:val="tx1"/>
            </w14:solidFill>
          </w14:textFill>
        </w:rPr>
        <w:t>日起施行）；</w:t>
      </w:r>
    </w:p>
    <w:p w14:paraId="19580FD2">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《中华人民共和国消防法》中华人民共和国主席令〔20</w:t>
      </w:r>
      <w:r>
        <w:rPr>
          <w:rFonts w:hint="eastAsia" w:ascii="宋体" w:hAnsi="宋体" w:cs="宋体"/>
          <w:color w:val="000000" w:themeColor="text1"/>
          <w:szCs w:val="28"/>
          <w:lang w:val="en-US" w:eastAsia="zh-CN"/>
          <w14:textFill>
            <w14:solidFill>
              <w14:schemeClr w14:val="tx1"/>
            </w14:solidFill>
          </w14:textFill>
        </w:rPr>
        <w:t>21</w:t>
      </w:r>
      <w:r>
        <w:rPr>
          <w:rFonts w:hint="eastAsia" w:ascii="宋体" w:hAnsi="宋体" w:eastAsia="宋体" w:cs="宋体"/>
          <w:color w:val="000000" w:themeColor="text1"/>
          <w:szCs w:val="28"/>
          <w14:textFill>
            <w14:solidFill>
              <w14:schemeClr w14:val="tx1"/>
            </w14:solidFill>
          </w14:textFill>
        </w:rPr>
        <w:t>〕第</w:t>
      </w:r>
      <w:r>
        <w:rPr>
          <w:rFonts w:hint="eastAsia" w:ascii="宋体" w:hAnsi="宋体" w:eastAsia="宋体" w:cs="宋体"/>
          <w:color w:val="000000" w:themeColor="text1"/>
          <w:szCs w:val="28"/>
          <w:lang w:val="en-US" w:eastAsia="zh-CN"/>
          <w14:textFill>
            <w14:solidFill>
              <w14:schemeClr w14:val="tx1"/>
            </w14:solidFill>
          </w14:textFill>
        </w:rPr>
        <w:t>8</w:t>
      </w:r>
      <w:r>
        <w:rPr>
          <w:rFonts w:hint="eastAsia" w:ascii="宋体" w:hAnsi="宋体" w:cs="宋体"/>
          <w:color w:val="000000" w:themeColor="text1"/>
          <w:szCs w:val="28"/>
          <w:lang w:val="en-US" w:eastAsia="zh-CN"/>
          <w14:textFill>
            <w14:solidFill>
              <w14:schemeClr w14:val="tx1"/>
            </w14:solidFill>
          </w14:textFill>
        </w:rPr>
        <w:t>1</w:t>
      </w:r>
      <w:r>
        <w:rPr>
          <w:rFonts w:hint="eastAsia" w:ascii="宋体" w:hAnsi="宋体" w:eastAsia="宋体" w:cs="宋体"/>
          <w:color w:val="000000" w:themeColor="text1"/>
          <w:szCs w:val="28"/>
          <w14:textFill>
            <w14:solidFill>
              <w14:schemeClr w14:val="tx1"/>
            </w14:solidFill>
          </w14:textFill>
        </w:rPr>
        <w:t>号</w:t>
      </w:r>
      <w:r>
        <w:rPr>
          <w:rFonts w:hint="eastAsia" w:ascii="宋体" w:hAnsi="宋体" w:cs="宋体"/>
          <w:color w:val="000000" w:themeColor="text1"/>
          <w:szCs w:val="28"/>
          <w:lang w:eastAsia="zh-CN"/>
          <w14:textFill>
            <w14:solidFill>
              <w14:schemeClr w14:val="tx1"/>
            </w14:solidFill>
          </w14:textFill>
        </w:rPr>
        <w:t>修改</w:t>
      </w:r>
      <w:r>
        <w:rPr>
          <w:rFonts w:hint="eastAsia" w:ascii="宋体" w:hAnsi="宋体" w:eastAsia="宋体" w:cs="宋体"/>
          <w:color w:val="000000" w:themeColor="text1"/>
          <w:szCs w:val="28"/>
          <w14:textFill>
            <w14:solidFill>
              <w14:schemeClr w14:val="tx1"/>
            </w14:solidFill>
          </w14:textFill>
        </w:rPr>
        <w:t>，2021年9月1日起施行）；</w:t>
      </w:r>
    </w:p>
    <w:p w14:paraId="7CCB357B">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《中华人民共和国劳动法》（中华人民共和国主席令〔20</w:t>
      </w:r>
      <w:r>
        <w:rPr>
          <w:rFonts w:hint="eastAsia" w:ascii="宋体" w:hAnsi="宋体" w:cs="宋体"/>
          <w:color w:val="000000" w:themeColor="text1"/>
          <w:szCs w:val="28"/>
          <w:lang w:val="en-US" w:eastAsia="zh-CN"/>
          <w14:textFill>
            <w14:solidFill>
              <w14:schemeClr w14:val="tx1"/>
            </w14:solidFill>
          </w14:textFill>
        </w:rPr>
        <w:t>18</w:t>
      </w:r>
      <w:r>
        <w:rPr>
          <w:rFonts w:hint="eastAsia" w:ascii="宋体" w:hAnsi="宋体" w:eastAsia="宋体" w:cs="宋体"/>
          <w:color w:val="000000" w:themeColor="text1"/>
          <w:szCs w:val="28"/>
          <w14:textFill>
            <w14:solidFill>
              <w14:schemeClr w14:val="tx1"/>
            </w14:solidFill>
          </w14:textFill>
        </w:rPr>
        <w:t>〕第28号修改，2018年12月29日</w:t>
      </w:r>
      <w:r>
        <w:rPr>
          <w:rFonts w:hint="eastAsia" w:ascii="宋体" w:hAnsi="宋体" w:cs="宋体"/>
          <w:color w:val="000000" w:themeColor="text1"/>
          <w:szCs w:val="28"/>
          <w:lang w:eastAsia="zh-CN"/>
          <w14:textFill>
            <w14:solidFill>
              <w14:schemeClr w14:val="tx1"/>
            </w14:solidFill>
          </w14:textFill>
        </w:rPr>
        <w:t>起施行</w:t>
      </w:r>
      <w:r>
        <w:rPr>
          <w:rFonts w:hint="eastAsia" w:ascii="宋体" w:hAnsi="宋体" w:eastAsia="宋体" w:cs="宋体"/>
          <w:color w:val="000000" w:themeColor="text1"/>
          <w:szCs w:val="28"/>
          <w14:textFill>
            <w14:solidFill>
              <w14:schemeClr w14:val="tx1"/>
            </w14:solidFill>
          </w14:textFill>
        </w:rPr>
        <w:t>）；</w:t>
      </w:r>
    </w:p>
    <w:p w14:paraId="1BC6316A">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《中华人民共和国职业病防治法》（中华人民共和国主席令〔20</w:t>
      </w:r>
      <w:r>
        <w:rPr>
          <w:rFonts w:hint="eastAsia" w:ascii="宋体" w:hAnsi="宋体" w:cs="宋体"/>
          <w:color w:val="000000" w:themeColor="text1"/>
          <w:szCs w:val="28"/>
          <w:lang w:val="en-US" w:eastAsia="zh-CN"/>
          <w14:textFill>
            <w14:solidFill>
              <w14:schemeClr w14:val="tx1"/>
            </w14:solidFill>
          </w14:textFill>
        </w:rPr>
        <w:t>18</w:t>
      </w:r>
      <w:r>
        <w:rPr>
          <w:rFonts w:hint="eastAsia" w:ascii="宋体" w:hAnsi="宋体" w:eastAsia="宋体" w:cs="宋体"/>
          <w:color w:val="000000" w:themeColor="text1"/>
          <w:szCs w:val="28"/>
          <w14:textFill>
            <w14:solidFill>
              <w14:schemeClr w14:val="tx1"/>
            </w14:solidFill>
          </w14:textFill>
        </w:rPr>
        <w:t>〕第2</w:t>
      </w:r>
      <w:r>
        <w:rPr>
          <w:rFonts w:hint="eastAsia" w:ascii="宋体" w:hAnsi="宋体" w:cs="宋体"/>
          <w:color w:val="000000" w:themeColor="text1"/>
          <w:szCs w:val="28"/>
          <w:lang w:val="en-US" w:eastAsia="zh-CN"/>
          <w14:textFill>
            <w14:solidFill>
              <w14:schemeClr w14:val="tx1"/>
            </w14:solidFill>
          </w14:textFill>
        </w:rPr>
        <w:t>4</w:t>
      </w:r>
      <w:r>
        <w:rPr>
          <w:rFonts w:hint="eastAsia" w:ascii="宋体" w:hAnsi="宋体" w:eastAsia="宋体" w:cs="宋体"/>
          <w:color w:val="000000" w:themeColor="text1"/>
          <w:szCs w:val="28"/>
          <w14:textFill>
            <w14:solidFill>
              <w14:schemeClr w14:val="tx1"/>
            </w14:solidFill>
          </w14:textFill>
        </w:rPr>
        <w:t>号修改，201</w:t>
      </w:r>
      <w:r>
        <w:rPr>
          <w:rFonts w:hint="eastAsia" w:ascii="宋体" w:hAnsi="宋体" w:cs="宋体"/>
          <w:color w:val="000000" w:themeColor="text1"/>
          <w:szCs w:val="28"/>
          <w:lang w:val="en-US" w:eastAsia="zh-CN"/>
          <w14:textFill>
            <w14:solidFill>
              <w14:schemeClr w14:val="tx1"/>
            </w14:solidFill>
          </w14:textFill>
        </w:rPr>
        <w:t>8</w:t>
      </w:r>
      <w:r>
        <w:rPr>
          <w:rFonts w:hint="eastAsia" w:ascii="宋体" w:hAnsi="宋体" w:eastAsia="宋体" w:cs="宋体"/>
          <w:color w:val="000000" w:themeColor="text1"/>
          <w:szCs w:val="28"/>
          <w14:textFill>
            <w14:solidFill>
              <w14:schemeClr w14:val="tx1"/>
            </w14:solidFill>
          </w14:textFill>
        </w:rPr>
        <w:t>年</w:t>
      </w:r>
      <w:r>
        <w:rPr>
          <w:rFonts w:hint="eastAsia" w:ascii="宋体" w:hAnsi="宋体" w:cs="宋体"/>
          <w:color w:val="000000" w:themeColor="text1"/>
          <w:szCs w:val="28"/>
          <w:lang w:val="en-US" w:eastAsia="zh-CN"/>
          <w14:textFill>
            <w14:solidFill>
              <w14:schemeClr w14:val="tx1"/>
            </w14:solidFill>
          </w14:textFill>
        </w:rPr>
        <w:t>12</w:t>
      </w:r>
      <w:r>
        <w:rPr>
          <w:rFonts w:hint="eastAsia" w:ascii="宋体" w:hAnsi="宋体" w:eastAsia="宋体" w:cs="宋体"/>
          <w:color w:val="000000" w:themeColor="text1"/>
          <w:szCs w:val="28"/>
          <w14:textFill>
            <w14:solidFill>
              <w14:schemeClr w14:val="tx1"/>
            </w14:solidFill>
          </w14:textFill>
        </w:rPr>
        <w:t>月</w:t>
      </w:r>
      <w:r>
        <w:rPr>
          <w:rFonts w:hint="eastAsia" w:ascii="宋体" w:hAnsi="宋体" w:cs="宋体"/>
          <w:color w:val="000000" w:themeColor="text1"/>
          <w:szCs w:val="28"/>
          <w:lang w:val="en-US" w:eastAsia="zh-CN"/>
          <w14:textFill>
            <w14:solidFill>
              <w14:schemeClr w14:val="tx1"/>
            </w14:solidFill>
          </w14:textFill>
        </w:rPr>
        <w:t>29</w:t>
      </w:r>
      <w:r>
        <w:rPr>
          <w:rFonts w:hint="eastAsia" w:ascii="宋体" w:hAnsi="宋体" w:eastAsia="宋体" w:cs="宋体"/>
          <w:color w:val="000000" w:themeColor="text1"/>
          <w:szCs w:val="28"/>
          <w14:textFill>
            <w14:solidFill>
              <w14:schemeClr w14:val="tx1"/>
            </w14:solidFill>
          </w14:textFill>
        </w:rPr>
        <w:t>日</w:t>
      </w:r>
      <w:r>
        <w:rPr>
          <w:rFonts w:hint="eastAsia" w:ascii="宋体" w:hAnsi="宋体" w:cs="宋体"/>
          <w:color w:val="000000" w:themeColor="text1"/>
          <w:szCs w:val="28"/>
          <w:lang w:eastAsia="zh-CN"/>
          <w14:textFill>
            <w14:solidFill>
              <w14:schemeClr w14:val="tx1"/>
            </w14:solidFill>
          </w14:textFill>
        </w:rPr>
        <w:t>起施行</w:t>
      </w:r>
      <w:r>
        <w:rPr>
          <w:rFonts w:hint="eastAsia" w:ascii="宋体" w:hAnsi="宋体" w:eastAsia="宋体" w:cs="宋体"/>
          <w:color w:val="000000" w:themeColor="text1"/>
          <w:szCs w:val="28"/>
          <w14:textFill>
            <w14:solidFill>
              <w14:schemeClr w14:val="tx1"/>
            </w14:solidFill>
          </w14:textFill>
        </w:rPr>
        <w:t>）；</w:t>
      </w:r>
    </w:p>
    <w:p w14:paraId="4720881F">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《中华人民共和国特种设备安全法》（中华人民共和国主席令〔2013〕第4号，</w:t>
      </w:r>
      <w:r>
        <w:rPr>
          <w:rFonts w:hint="eastAsia" w:ascii="宋体" w:hAnsi="宋体" w:eastAsia="宋体" w:cs="宋体"/>
          <w:color w:val="000000" w:themeColor="text1"/>
          <w:szCs w:val="28"/>
          <w:lang w:val="en-US" w:eastAsia="zh-CN"/>
          <w14:textFill>
            <w14:solidFill>
              <w14:schemeClr w14:val="tx1"/>
            </w14:solidFill>
          </w14:textFill>
        </w:rPr>
        <w:t>自</w:t>
      </w:r>
      <w:r>
        <w:rPr>
          <w:rFonts w:hint="eastAsia" w:ascii="宋体" w:hAnsi="宋体" w:eastAsia="宋体" w:cs="宋体"/>
          <w:color w:val="000000" w:themeColor="text1"/>
          <w:szCs w:val="28"/>
          <w:lang w:eastAsia="zh-CN"/>
          <w14:textFill>
            <w14:solidFill>
              <w14:schemeClr w14:val="tx1"/>
            </w14:solidFill>
          </w14:textFill>
        </w:rPr>
        <w:t>2014年1月1日起施行</w:t>
      </w:r>
      <w:r>
        <w:rPr>
          <w:rFonts w:hint="eastAsia" w:ascii="宋体" w:hAnsi="宋体" w:eastAsia="宋体" w:cs="宋体"/>
          <w:color w:val="000000" w:themeColor="text1"/>
          <w:szCs w:val="28"/>
          <w14:textFill>
            <w14:solidFill>
              <w14:schemeClr w14:val="tx1"/>
            </w14:solidFill>
          </w14:textFill>
        </w:rPr>
        <w:t>）；</w:t>
      </w:r>
    </w:p>
    <w:p w14:paraId="6A61231D">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《中华人民共和国环境保护法》（中华人民共和国主席令〔20</w:t>
      </w:r>
      <w:r>
        <w:rPr>
          <w:rFonts w:hint="eastAsia" w:ascii="宋体" w:hAnsi="宋体" w:cs="宋体"/>
          <w:color w:val="000000" w:themeColor="text1"/>
          <w:szCs w:val="28"/>
          <w:lang w:val="en-US" w:eastAsia="zh-CN"/>
          <w14:textFill>
            <w14:solidFill>
              <w14:schemeClr w14:val="tx1"/>
            </w14:solidFill>
          </w14:textFill>
        </w:rPr>
        <w:t>14</w:t>
      </w:r>
      <w:r>
        <w:rPr>
          <w:rFonts w:hint="eastAsia" w:ascii="宋体" w:hAnsi="宋体" w:eastAsia="宋体" w:cs="宋体"/>
          <w:color w:val="000000" w:themeColor="text1"/>
          <w:szCs w:val="28"/>
          <w14:textFill>
            <w14:solidFill>
              <w14:schemeClr w14:val="tx1"/>
            </w14:solidFill>
          </w14:textFill>
        </w:rPr>
        <w:t>〕第</w:t>
      </w:r>
      <w:r>
        <w:rPr>
          <w:rFonts w:hint="eastAsia" w:ascii="宋体" w:hAnsi="宋体" w:cs="宋体"/>
          <w:color w:val="000000" w:themeColor="text1"/>
          <w:szCs w:val="28"/>
          <w:lang w:val="en-US" w:eastAsia="zh-CN"/>
          <w14:textFill>
            <w14:solidFill>
              <w14:schemeClr w14:val="tx1"/>
            </w14:solidFill>
          </w14:textFill>
        </w:rPr>
        <w:t>9</w:t>
      </w:r>
      <w:r>
        <w:rPr>
          <w:rFonts w:hint="eastAsia" w:ascii="宋体" w:hAnsi="宋体" w:eastAsia="宋体" w:cs="宋体"/>
          <w:color w:val="000000" w:themeColor="text1"/>
          <w:szCs w:val="28"/>
          <w14:textFill>
            <w14:solidFill>
              <w14:schemeClr w14:val="tx1"/>
            </w14:solidFill>
          </w14:textFill>
        </w:rPr>
        <w:t>号</w:t>
      </w:r>
      <w:r>
        <w:rPr>
          <w:rFonts w:hint="eastAsia" w:ascii="宋体" w:hAnsi="宋体" w:cs="宋体"/>
          <w:color w:val="000000" w:themeColor="text1"/>
          <w:szCs w:val="28"/>
          <w:lang w:eastAsia="zh-CN"/>
          <w14:textFill>
            <w14:solidFill>
              <w14:schemeClr w14:val="tx1"/>
            </w14:solidFill>
          </w14:textFill>
        </w:rPr>
        <w:t>修改</w:t>
      </w:r>
      <w:r>
        <w:rPr>
          <w:rFonts w:hint="eastAsia" w:ascii="宋体" w:hAnsi="宋体" w:eastAsia="宋体" w:cs="宋体"/>
          <w:color w:val="000000" w:themeColor="text1"/>
          <w:szCs w:val="28"/>
          <w14:textFill>
            <w14:solidFill>
              <w14:schemeClr w14:val="tx1"/>
            </w14:solidFill>
          </w14:textFill>
        </w:rPr>
        <w:t>，自2015年1月1日起施行）；</w:t>
      </w:r>
    </w:p>
    <w:p w14:paraId="7B1B6C6B">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szCs w:val="28"/>
          <w:lang w:val="zh-CN"/>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《中华人民共和国劳动合同法》（中华人民共和国主席令〔20</w:t>
      </w:r>
      <w:r>
        <w:rPr>
          <w:rFonts w:hint="eastAsia" w:ascii="宋体" w:hAnsi="宋体" w:cs="宋体"/>
          <w:color w:val="000000" w:themeColor="text1"/>
          <w:szCs w:val="28"/>
          <w:lang w:val="en-US" w:eastAsia="zh-CN"/>
          <w14:textFill>
            <w14:solidFill>
              <w14:schemeClr w14:val="tx1"/>
            </w14:solidFill>
          </w14:textFill>
        </w:rPr>
        <w:t>12</w:t>
      </w:r>
      <w:r>
        <w:rPr>
          <w:rFonts w:hint="eastAsia" w:ascii="宋体" w:hAnsi="宋体" w:eastAsia="宋体" w:cs="宋体"/>
          <w:color w:val="000000" w:themeColor="text1"/>
          <w:szCs w:val="28"/>
          <w14:textFill>
            <w14:solidFill>
              <w14:schemeClr w14:val="tx1"/>
            </w14:solidFill>
          </w14:textFill>
        </w:rPr>
        <w:t>〕第</w:t>
      </w:r>
      <w:r>
        <w:rPr>
          <w:rFonts w:hint="eastAsia" w:ascii="宋体" w:hAnsi="宋体" w:eastAsia="宋体" w:cs="宋体"/>
          <w:color w:val="000000" w:themeColor="text1"/>
          <w:szCs w:val="28"/>
          <w:lang w:val="en-US" w:eastAsia="zh-CN"/>
          <w14:textFill>
            <w14:solidFill>
              <w14:schemeClr w14:val="tx1"/>
            </w14:solidFill>
          </w14:textFill>
        </w:rPr>
        <w:t>73</w:t>
      </w:r>
      <w:r>
        <w:rPr>
          <w:rFonts w:hint="eastAsia" w:ascii="宋体" w:hAnsi="宋体" w:eastAsia="宋体" w:cs="宋体"/>
          <w:color w:val="000000" w:themeColor="text1"/>
          <w:szCs w:val="28"/>
          <w14:textFill>
            <w14:solidFill>
              <w14:schemeClr w14:val="tx1"/>
            </w14:solidFill>
          </w14:textFill>
        </w:rPr>
        <w:t>号，2013年7月1日起施行）</w:t>
      </w:r>
      <w:bookmarkEnd w:id="32"/>
      <w:bookmarkEnd w:id="33"/>
      <w:bookmarkEnd w:id="34"/>
      <w:bookmarkEnd w:id="35"/>
      <w:bookmarkEnd w:id="36"/>
      <w:r>
        <w:rPr>
          <w:rFonts w:hint="eastAsia" w:ascii="宋体" w:hAnsi="宋体" w:eastAsia="宋体" w:cs="宋体"/>
          <w:color w:val="000000" w:themeColor="text1"/>
          <w:szCs w:val="28"/>
          <w14:textFill>
            <w14:solidFill>
              <w14:schemeClr w14:val="tx1"/>
            </w14:solidFill>
          </w14:textFill>
        </w:rPr>
        <w:t>；</w:t>
      </w:r>
    </w:p>
    <w:p w14:paraId="2A810AB6">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ascii="Times New Roman" w:hAnsi="Times New Roman" w:eastAsia="宋体" w:cs="Times New Roman"/>
          <w:color w:val="000000" w:themeColor="text1"/>
          <w:szCs w:val="28"/>
          <w:lang w:val="zh-CN"/>
          <w14:textFill>
            <w14:solidFill>
              <w14:schemeClr w14:val="tx1"/>
            </w14:solidFill>
          </w14:textFill>
        </w:rPr>
      </w:pPr>
      <w:r>
        <w:rPr>
          <w:color w:val="000000" w:themeColor="text1"/>
          <w:szCs w:val="28"/>
          <w:lang w:val="zh-CN"/>
          <w14:textFill>
            <w14:solidFill>
              <w14:schemeClr w14:val="tx1"/>
            </w14:solidFill>
          </w14:textFill>
        </w:rPr>
        <w:t>《中华人民共和国防震减灾法》（中华人民共和国主席令</w:t>
      </w:r>
      <w:r>
        <w:rPr>
          <w:rFonts w:hint="eastAsia" w:ascii="宋体" w:hAnsi="宋体" w:eastAsia="宋体" w:cs="宋体"/>
          <w:color w:val="000000" w:themeColor="text1"/>
          <w:szCs w:val="28"/>
          <w14:textFill>
            <w14:solidFill>
              <w14:schemeClr w14:val="tx1"/>
            </w14:solidFill>
          </w14:textFill>
        </w:rPr>
        <w:t>〔20</w:t>
      </w:r>
      <w:r>
        <w:rPr>
          <w:rFonts w:hint="eastAsia" w:ascii="宋体" w:hAnsi="宋体" w:cs="宋体"/>
          <w:color w:val="000000" w:themeColor="text1"/>
          <w:szCs w:val="28"/>
          <w:lang w:val="en-US" w:eastAsia="zh-CN"/>
          <w14:textFill>
            <w14:solidFill>
              <w14:schemeClr w14:val="tx1"/>
            </w14:solidFill>
          </w14:textFill>
        </w:rPr>
        <w:t>09</w:t>
      </w:r>
      <w:r>
        <w:rPr>
          <w:rFonts w:hint="eastAsia" w:ascii="宋体" w:hAnsi="宋体" w:eastAsia="宋体" w:cs="宋体"/>
          <w:color w:val="000000" w:themeColor="text1"/>
          <w:szCs w:val="28"/>
          <w14:textFill>
            <w14:solidFill>
              <w14:schemeClr w14:val="tx1"/>
            </w14:solidFill>
          </w14:textFill>
        </w:rPr>
        <w:t>〕</w:t>
      </w:r>
      <w:r>
        <w:rPr>
          <w:color w:val="000000" w:themeColor="text1"/>
          <w:szCs w:val="28"/>
          <w:lang w:val="zh-CN"/>
          <w14:textFill>
            <w14:solidFill>
              <w14:schemeClr w14:val="tx1"/>
            </w14:solidFill>
          </w14:textFill>
        </w:rPr>
        <w:t>第7号</w:t>
      </w:r>
      <w:r>
        <w:rPr>
          <w:rFonts w:hint="eastAsia"/>
          <w:color w:val="000000" w:themeColor="text1"/>
          <w:szCs w:val="28"/>
          <w:lang w:val="zh-CN"/>
          <w14:textFill>
            <w14:solidFill>
              <w14:schemeClr w14:val="tx1"/>
            </w14:solidFill>
          </w14:textFill>
        </w:rPr>
        <w:t>，</w:t>
      </w:r>
      <w:r>
        <w:rPr>
          <w:rFonts w:hint="eastAsia"/>
          <w:color w:val="000000" w:themeColor="text1"/>
          <w:szCs w:val="28"/>
          <w:lang w:val="en-US" w:eastAsia="zh-CN"/>
          <w14:textFill>
            <w14:solidFill>
              <w14:schemeClr w14:val="tx1"/>
            </w14:solidFill>
          </w14:textFill>
        </w:rPr>
        <w:t>2009年5月1日起施行</w:t>
      </w:r>
      <w:r>
        <w:rPr>
          <w:color w:val="000000" w:themeColor="text1"/>
          <w:szCs w:val="28"/>
          <w:lang w:val="zh-CN"/>
          <w14:textFill>
            <w14:solidFill>
              <w14:schemeClr w14:val="tx1"/>
            </w14:solidFill>
          </w14:textFill>
        </w:rPr>
        <w:t>）；</w:t>
      </w:r>
    </w:p>
    <w:p w14:paraId="6941B29B">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ascii="Times New Roman" w:hAnsi="Times New Roman" w:eastAsia="宋体" w:cs="Times New Roman"/>
          <w:color w:val="000000" w:themeColor="text1"/>
          <w:szCs w:val="28"/>
          <w:lang w:val="zh-CN"/>
          <w14:textFill>
            <w14:solidFill>
              <w14:schemeClr w14:val="tx1"/>
            </w14:solidFill>
          </w14:textFill>
        </w:rPr>
      </w:pPr>
      <w:r>
        <w:rPr>
          <w:color w:val="000000" w:themeColor="text1"/>
          <w:szCs w:val="28"/>
          <w:lang w:val="zh-CN"/>
          <w14:textFill>
            <w14:solidFill>
              <w14:schemeClr w14:val="tx1"/>
            </w14:solidFill>
          </w14:textFill>
        </w:rPr>
        <w:t>《中华人</w:t>
      </w:r>
      <w:r>
        <w:rPr>
          <w:rFonts w:ascii="Times New Roman" w:hAnsi="Times New Roman" w:eastAsia="宋体" w:cs="Times New Roman"/>
          <w:color w:val="000000" w:themeColor="text1"/>
          <w:szCs w:val="28"/>
          <w:lang w:val="zh-CN"/>
          <w14:textFill>
            <w14:solidFill>
              <w14:schemeClr w14:val="tx1"/>
            </w14:solidFill>
          </w14:textFill>
        </w:rPr>
        <w:t>民共和国可再生能源法》（中华人民共和国主席令</w:t>
      </w:r>
      <w:r>
        <w:rPr>
          <w:rFonts w:hint="eastAsia" w:ascii="宋体" w:hAnsi="宋体" w:eastAsia="宋体" w:cs="宋体"/>
          <w:color w:val="000000" w:themeColor="text1"/>
          <w:szCs w:val="28"/>
          <w14:textFill>
            <w14:solidFill>
              <w14:schemeClr w14:val="tx1"/>
            </w14:solidFill>
          </w14:textFill>
        </w:rPr>
        <w:t>〔20</w:t>
      </w:r>
      <w:r>
        <w:rPr>
          <w:rFonts w:hint="eastAsia" w:ascii="宋体" w:hAnsi="宋体" w:cs="宋体"/>
          <w:color w:val="000000" w:themeColor="text1"/>
          <w:szCs w:val="28"/>
          <w:lang w:val="en-US" w:eastAsia="zh-CN"/>
          <w14:textFill>
            <w14:solidFill>
              <w14:schemeClr w14:val="tx1"/>
            </w14:solidFill>
          </w14:textFill>
        </w:rPr>
        <w:t>09</w:t>
      </w:r>
      <w:r>
        <w:rPr>
          <w:rFonts w:hint="eastAsia" w:ascii="宋体" w:hAnsi="宋体" w:eastAsia="宋体" w:cs="宋体"/>
          <w:color w:val="000000" w:themeColor="text1"/>
          <w:szCs w:val="28"/>
          <w14:textFill>
            <w14:solidFill>
              <w14:schemeClr w14:val="tx1"/>
            </w14:solidFill>
          </w14:textFill>
        </w:rPr>
        <w:t>〕</w:t>
      </w:r>
      <w:r>
        <w:rPr>
          <w:rFonts w:ascii="Times New Roman" w:hAnsi="Times New Roman" w:eastAsia="宋体" w:cs="Times New Roman"/>
          <w:color w:val="000000" w:themeColor="text1"/>
          <w:szCs w:val="28"/>
          <w:lang w:val="zh-CN"/>
          <w14:textFill>
            <w14:solidFill>
              <w14:schemeClr w14:val="tx1"/>
            </w14:solidFill>
          </w14:textFill>
        </w:rPr>
        <w:t>第23号修改</w:t>
      </w:r>
      <w:r>
        <w:rPr>
          <w:rFonts w:hint="eastAsia" w:ascii="Times New Roman" w:hAnsi="Times New Roman" w:eastAsia="宋体" w:cs="Times New Roman"/>
          <w:color w:val="000000" w:themeColor="text1"/>
          <w:szCs w:val="28"/>
          <w:lang w:val="zh-CN"/>
          <w14:textFill>
            <w14:solidFill>
              <w14:schemeClr w14:val="tx1"/>
            </w14:solidFill>
          </w14:textFill>
        </w:rPr>
        <w:t>，</w:t>
      </w:r>
      <w:r>
        <w:rPr>
          <w:rFonts w:hint="eastAsia" w:ascii="Times New Roman" w:hAnsi="Times New Roman" w:eastAsia="宋体" w:cs="Times New Roman"/>
          <w:color w:val="000000" w:themeColor="text1"/>
          <w:szCs w:val="28"/>
          <w:lang w:val="en-US" w:eastAsia="zh-CN"/>
          <w14:textFill>
            <w14:solidFill>
              <w14:schemeClr w14:val="tx1"/>
            </w14:solidFill>
          </w14:textFill>
        </w:rPr>
        <w:t>2010</w:t>
      </w:r>
      <w:r>
        <w:rPr>
          <w:rFonts w:hint="eastAsia" w:ascii="Times New Roman" w:hAnsi="Times New Roman" w:eastAsia="宋体" w:cs="Times New Roman"/>
          <w:color w:val="000000" w:themeColor="text1"/>
          <w:szCs w:val="28"/>
          <w:lang w:val="zh-CN"/>
          <w14:textFill>
            <w14:solidFill>
              <w14:schemeClr w14:val="tx1"/>
            </w14:solidFill>
          </w14:textFill>
        </w:rPr>
        <w:t>年４月１日起施行</w:t>
      </w:r>
      <w:r>
        <w:rPr>
          <w:rFonts w:ascii="Times New Roman" w:hAnsi="Times New Roman" w:eastAsia="宋体" w:cs="Times New Roman"/>
          <w:color w:val="000000" w:themeColor="text1"/>
          <w:szCs w:val="28"/>
          <w:lang w:val="zh-CN"/>
          <w14:textFill>
            <w14:solidFill>
              <w14:schemeClr w14:val="tx1"/>
            </w14:solidFill>
          </w14:textFill>
        </w:rPr>
        <w:t>）；</w:t>
      </w:r>
    </w:p>
    <w:p w14:paraId="6B9B5794">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ascii="Times New Roman" w:hAnsi="Times New Roman" w:eastAsia="宋体" w:cs="Times New Roman"/>
          <w:color w:val="000000" w:themeColor="text1"/>
          <w:szCs w:val="28"/>
          <w:lang w:val="zh-CN"/>
          <w14:textFill>
            <w14:solidFill>
              <w14:schemeClr w14:val="tx1"/>
            </w14:solidFill>
          </w14:textFill>
        </w:rPr>
      </w:pPr>
      <w:r>
        <w:rPr>
          <w:rFonts w:ascii="Times New Roman" w:hAnsi="Times New Roman" w:eastAsia="宋体" w:cs="Times New Roman"/>
          <w:color w:val="000000" w:themeColor="text1"/>
          <w:szCs w:val="28"/>
          <w:lang w:val="zh-CN"/>
          <w14:textFill>
            <w14:solidFill>
              <w14:schemeClr w14:val="tx1"/>
            </w14:solidFill>
          </w14:textFill>
        </w:rPr>
        <w:t>《中华人民共和国水土保持法》（中华人民共和国主席令</w:t>
      </w:r>
      <w:r>
        <w:rPr>
          <w:rFonts w:hint="eastAsia" w:ascii="宋体" w:hAnsi="宋体" w:eastAsia="宋体" w:cs="宋体"/>
          <w:color w:val="000000" w:themeColor="text1"/>
          <w:szCs w:val="28"/>
          <w14:textFill>
            <w14:solidFill>
              <w14:schemeClr w14:val="tx1"/>
            </w14:solidFill>
          </w14:textFill>
        </w:rPr>
        <w:t>〔20</w:t>
      </w:r>
      <w:r>
        <w:rPr>
          <w:rFonts w:hint="eastAsia" w:ascii="宋体" w:hAnsi="宋体" w:cs="宋体"/>
          <w:color w:val="000000" w:themeColor="text1"/>
          <w:szCs w:val="28"/>
          <w:lang w:val="en-US" w:eastAsia="zh-CN"/>
          <w14:textFill>
            <w14:solidFill>
              <w14:schemeClr w14:val="tx1"/>
            </w14:solidFill>
          </w14:textFill>
        </w:rPr>
        <w:t>10</w:t>
      </w:r>
      <w:r>
        <w:rPr>
          <w:rFonts w:hint="eastAsia" w:ascii="宋体" w:hAnsi="宋体" w:eastAsia="宋体" w:cs="宋体"/>
          <w:color w:val="000000" w:themeColor="text1"/>
          <w:szCs w:val="28"/>
          <w14:textFill>
            <w14:solidFill>
              <w14:schemeClr w14:val="tx1"/>
            </w14:solidFill>
          </w14:textFill>
        </w:rPr>
        <w:t>〕</w:t>
      </w:r>
      <w:r>
        <w:rPr>
          <w:rFonts w:ascii="Times New Roman" w:hAnsi="Times New Roman" w:eastAsia="宋体" w:cs="Times New Roman"/>
          <w:color w:val="000000" w:themeColor="text1"/>
          <w:szCs w:val="28"/>
          <w:lang w:val="zh-CN"/>
          <w14:textFill>
            <w14:solidFill>
              <w14:schemeClr w14:val="tx1"/>
            </w14:solidFill>
          </w14:textFill>
        </w:rPr>
        <w:t>第39号</w:t>
      </w:r>
      <w:r>
        <w:rPr>
          <w:rFonts w:hint="eastAsia" w:ascii="Times New Roman" w:hAnsi="Times New Roman" w:eastAsia="宋体" w:cs="Times New Roman"/>
          <w:color w:val="000000" w:themeColor="text1"/>
          <w:szCs w:val="28"/>
          <w:lang w:val="zh-CN"/>
          <w14:textFill>
            <w14:solidFill>
              <w14:schemeClr w14:val="tx1"/>
            </w14:solidFill>
          </w14:textFill>
        </w:rPr>
        <w:t>，2011年3月1日起施行</w:t>
      </w:r>
      <w:r>
        <w:rPr>
          <w:rFonts w:ascii="Times New Roman" w:hAnsi="Times New Roman" w:eastAsia="宋体" w:cs="Times New Roman"/>
          <w:color w:val="000000" w:themeColor="text1"/>
          <w:szCs w:val="28"/>
          <w:lang w:val="zh-CN"/>
          <w14:textFill>
            <w14:solidFill>
              <w14:schemeClr w14:val="tx1"/>
            </w14:solidFill>
          </w14:textFill>
        </w:rPr>
        <w:t>）；</w:t>
      </w:r>
    </w:p>
    <w:p w14:paraId="6D4D5E7C">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szCs w:val="28"/>
          <w:lang w:val="zh-CN"/>
          <w14:textFill>
            <w14:solidFill>
              <w14:schemeClr w14:val="tx1"/>
            </w14:solidFill>
          </w14:textFill>
        </w:rPr>
      </w:pPr>
      <w:r>
        <w:rPr>
          <w:rFonts w:ascii="Times New Roman" w:hAnsi="Times New Roman" w:eastAsia="宋体" w:cs="Times New Roman"/>
          <w:color w:val="000000" w:themeColor="text1"/>
          <w:szCs w:val="28"/>
          <w:lang w:val="zh-CN"/>
          <w14:textFill>
            <w14:solidFill>
              <w14:schemeClr w14:val="tx1"/>
            </w14:solidFill>
          </w14:textFill>
        </w:rPr>
        <w:t>《中华人民共和国道路交通安全法》（中华人民共和国主席令</w:t>
      </w:r>
      <w:r>
        <w:rPr>
          <w:rFonts w:hint="eastAsia" w:ascii="宋体" w:hAnsi="宋体" w:eastAsia="宋体" w:cs="宋体"/>
          <w:color w:val="000000" w:themeColor="text1"/>
          <w:szCs w:val="28"/>
          <w14:textFill>
            <w14:solidFill>
              <w14:schemeClr w14:val="tx1"/>
            </w14:solidFill>
          </w14:textFill>
        </w:rPr>
        <w:t>〔20</w:t>
      </w:r>
      <w:r>
        <w:rPr>
          <w:rFonts w:hint="eastAsia" w:ascii="宋体" w:hAnsi="宋体" w:cs="宋体"/>
          <w:color w:val="000000" w:themeColor="text1"/>
          <w:szCs w:val="28"/>
          <w:lang w:val="en-US" w:eastAsia="zh-CN"/>
          <w14:textFill>
            <w14:solidFill>
              <w14:schemeClr w14:val="tx1"/>
            </w14:solidFill>
          </w14:textFill>
        </w:rPr>
        <w:t>21</w:t>
      </w:r>
      <w:r>
        <w:rPr>
          <w:rFonts w:hint="eastAsia" w:ascii="宋体" w:hAnsi="宋体" w:eastAsia="宋体" w:cs="宋体"/>
          <w:color w:val="000000" w:themeColor="text1"/>
          <w:szCs w:val="28"/>
          <w14:textFill>
            <w14:solidFill>
              <w14:schemeClr w14:val="tx1"/>
            </w14:solidFill>
          </w14:textFill>
        </w:rPr>
        <w:t>〕</w:t>
      </w:r>
      <w:r>
        <w:rPr>
          <w:rFonts w:ascii="Times New Roman" w:hAnsi="Times New Roman" w:eastAsia="宋体" w:cs="Times New Roman"/>
          <w:color w:val="000000" w:themeColor="text1"/>
          <w:szCs w:val="28"/>
          <w:lang w:val="zh-CN"/>
          <w14:textFill>
            <w14:solidFill>
              <w14:schemeClr w14:val="tx1"/>
            </w14:solidFill>
          </w14:textFill>
        </w:rPr>
        <w:t>第</w:t>
      </w:r>
      <w:r>
        <w:rPr>
          <w:rFonts w:hint="eastAsia" w:cs="Times New Roman"/>
          <w:color w:val="000000" w:themeColor="text1"/>
          <w:szCs w:val="28"/>
          <w:lang w:val="en-US" w:eastAsia="zh-CN"/>
          <w14:textFill>
            <w14:solidFill>
              <w14:schemeClr w14:val="tx1"/>
            </w14:solidFill>
          </w14:textFill>
        </w:rPr>
        <w:t>81</w:t>
      </w:r>
      <w:r>
        <w:rPr>
          <w:rFonts w:ascii="Times New Roman" w:hAnsi="Times New Roman" w:eastAsia="宋体" w:cs="Times New Roman"/>
          <w:color w:val="000000" w:themeColor="text1"/>
          <w:szCs w:val="28"/>
          <w:lang w:val="zh-CN"/>
          <w14:textFill>
            <w14:solidFill>
              <w14:schemeClr w14:val="tx1"/>
            </w14:solidFill>
          </w14:textFill>
        </w:rPr>
        <w:t>号</w:t>
      </w:r>
      <w:r>
        <w:rPr>
          <w:rFonts w:hint="eastAsia" w:cs="Times New Roman"/>
          <w:color w:val="000000" w:themeColor="text1"/>
          <w:szCs w:val="28"/>
          <w:lang w:val="zh-CN"/>
          <w14:textFill>
            <w14:solidFill>
              <w14:schemeClr w14:val="tx1"/>
            </w14:solidFill>
          </w14:textFill>
        </w:rPr>
        <w:t>修改</w:t>
      </w:r>
      <w:r>
        <w:rPr>
          <w:rFonts w:hint="eastAsia" w:ascii="Times New Roman" w:hAnsi="Times New Roman" w:eastAsia="宋体" w:cs="Times New Roman"/>
          <w:color w:val="000000" w:themeColor="text1"/>
          <w:szCs w:val="28"/>
          <w:lang w:val="zh-CN"/>
          <w14:textFill>
            <w14:solidFill>
              <w14:schemeClr w14:val="tx1"/>
            </w14:solidFill>
          </w14:textFill>
        </w:rPr>
        <w:t>，</w:t>
      </w:r>
      <w:r>
        <w:rPr>
          <w:rFonts w:hint="eastAsia" w:ascii="Times New Roman" w:hAnsi="Times New Roman" w:eastAsia="宋体" w:cs="Times New Roman"/>
          <w:color w:val="000000" w:themeColor="text1"/>
          <w:szCs w:val="28"/>
          <w:lang w:val="en-US" w:eastAsia="zh-CN"/>
          <w14:textFill>
            <w14:solidFill>
              <w14:schemeClr w14:val="tx1"/>
            </w14:solidFill>
          </w14:textFill>
        </w:rPr>
        <w:t>2021年4月29日</w:t>
      </w:r>
      <w:r>
        <w:rPr>
          <w:rFonts w:hint="eastAsia" w:ascii="Times New Roman" w:hAnsi="Times New Roman" w:eastAsia="宋体" w:cs="Times New Roman"/>
          <w:color w:val="000000" w:themeColor="text1"/>
          <w:szCs w:val="28"/>
          <w:lang w:val="zh-CN"/>
          <w14:textFill>
            <w14:solidFill>
              <w14:schemeClr w14:val="tx1"/>
            </w14:solidFill>
          </w14:textFill>
        </w:rPr>
        <w:t>起施行</w:t>
      </w:r>
      <w:r>
        <w:rPr>
          <w:rFonts w:ascii="Times New Roman" w:hAnsi="Times New Roman" w:eastAsia="宋体" w:cs="Times New Roman"/>
          <w:color w:val="000000" w:themeColor="text1"/>
          <w:szCs w:val="28"/>
          <w:lang w:val="zh-CN"/>
          <w14:textFill>
            <w14:solidFill>
              <w14:schemeClr w14:val="tx1"/>
            </w14:solidFill>
          </w14:textFill>
        </w:rPr>
        <w:t>）；</w:t>
      </w:r>
    </w:p>
    <w:p w14:paraId="09CAAD79">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hint="eastAsia" w:ascii="Times New Roman" w:hAnsi="Times New Roman" w:eastAsia="宋体" w:cs="Times New Roman"/>
          <w:color w:val="000000" w:themeColor="text1"/>
          <w:szCs w:val="28"/>
          <w:lang w:val="zh-CN"/>
          <w14:textFill>
            <w14:solidFill>
              <w14:schemeClr w14:val="tx1"/>
            </w14:solidFill>
          </w14:textFill>
        </w:rPr>
      </w:pPr>
      <w:r>
        <w:rPr>
          <w:rFonts w:ascii="Times New Roman" w:hAnsi="Times New Roman" w:eastAsia="宋体" w:cs="Times New Roman"/>
          <w:color w:val="000000" w:themeColor="text1"/>
          <w:szCs w:val="28"/>
          <w:lang w:val="zh-CN"/>
          <w14:textFill>
            <w14:solidFill>
              <w14:schemeClr w14:val="tx1"/>
            </w14:solidFill>
          </w14:textFill>
        </w:rPr>
        <w:t>《中华人民共和国电力法》（中华人民共和国主席令</w:t>
      </w:r>
      <w:r>
        <w:rPr>
          <w:rFonts w:hint="eastAsia" w:ascii="Times New Roman" w:hAnsi="Times New Roman" w:eastAsia="宋体" w:cs="Times New Roman"/>
          <w:color w:val="000000" w:themeColor="text1"/>
          <w:szCs w:val="28"/>
          <w:lang w:val="zh-CN"/>
          <w14:textFill>
            <w14:solidFill>
              <w14:schemeClr w14:val="tx1"/>
            </w14:solidFill>
          </w14:textFill>
        </w:rPr>
        <w:t>〔20</w:t>
      </w:r>
      <w:r>
        <w:rPr>
          <w:rFonts w:hint="eastAsia" w:ascii="Times New Roman" w:hAnsi="Times New Roman" w:eastAsia="宋体" w:cs="Times New Roman"/>
          <w:color w:val="000000" w:themeColor="text1"/>
          <w:szCs w:val="28"/>
          <w:lang w:val="en-US" w:eastAsia="zh-CN"/>
          <w14:textFill>
            <w14:solidFill>
              <w14:schemeClr w14:val="tx1"/>
            </w14:solidFill>
          </w14:textFill>
        </w:rPr>
        <w:t>18</w:t>
      </w:r>
      <w:r>
        <w:rPr>
          <w:rFonts w:hint="eastAsia" w:ascii="Times New Roman" w:hAnsi="Times New Roman" w:eastAsia="宋体" w:cs="Times New Roman"/>
          <w:color w:val="000000" w:themeColor="text1"/>
          <w:szCs w:val="28"/>
          <w:lang w:val="zh-CN"/>
          <w14:textFill>
            <w14:solidFill>
              <w14:schemeClr w14:val="tx1"/>
            </w14:solidFill>
          </w14:textFill>
        </w:rPr>
        <w:t>〕</w:t>
      </w:r>
      <w:r>
        <w:rPr>
          <w:rFonts w:ascii="Times New Roman" w:hAnsi="Times New Roman" w:eastAsia="宋体" w:cs="Times New Roman"/>
          <w:color w:val="000000" w:themeColor="text1"/>
          <w:szCs w:val="28"/>
          <w:lang w:val="zh-CN"/>
          <w14:textFill>
            <w14:solidFill>
              <w14:schemeClr w14:val="tx1"/>
            </w14:solidFill>
          </w14:textFill>
        </w:rPr>
        <w:t>第23号</w:t>
      </w:r>
      <w:r>
        <w:rPr>
          <w:rFonts w:hint="eastAsia" w:ascii="Times New Roman" w:hAnsi="Times New Roman" w:eastAsia="宋体" w:cs="Times New Roman"/>
          <w:color w:val="000000" w:themeColor="text1"/>
          <w:szCs w:val="28"/>
          <w:lang w:val="zh-CN"/>
          <w14:textFill>
            <w14:solidFill>
              <w14:schemeClr w14:val="tx1"/>
            </w14:solidFill>
          </w14:textFill>
        </w:rPr>
        <w:t>，</w:t>
      </w:r>
      <w:r>
        <w:rPr>
          <w:rFonts w:ascii="Times New Roman" w:hAnsi="Times New Roman" w:eastAsia="宋体" w:cs="Times New Roman"/>
          <w:color w:val="000000" w:themeColor="text1"/>
          <w:szCs w:val="28"/>
          <w:lang w:val="zh-CN"/>
          <w14:textFill>
            <w14:solidFill>
              <w14:schemeClr w14:val="tx1"/>
            </w14:solidFill>
          </w14:textFill>
        </w:rPr>
        <w:t>2018年12月29日）</w:t>
      </w:r>
      <w:r>
        <w:rPr>
          <w:rFonts w:hint="eastAsia" w:cs="Times New Roman"/>
          <w:color w:val="000000" w:themeColor="text1"/>
          <w:szCs w:val="28"/>
          <w:lang w:val="zh-CN"/>
          <w14:textFill>
            <w14:solidFill>
              <w14:schemeClr w14:val="tx1"/>
            </w14:solidFill>
          </w14:textFill>
        </w:rPr>
        <w:t>；</w:t>
      </w:r>
    </w:p>
    <w:p w14:paraId="2DCC8A93">
      <w:pPr>
        <w:keepNext w:val="0"/>
        <w:keepLines w:val="0"/>
        <w:pageBreakBefore w:val="0"/>
        <w:widowControl w:val="0"/>
        <w:numPr>
          <w:ilvl w:val="0"/>
          <w:numId w:val="3"/>
        </w:numPr>
        <w:tabs>
          <w:tab w:val="left" w:pos="0"/>
          <w:tab w:val="left" w:pos="630"/>
          <w:tab w:val="left" w:pos="735"/>
          <w:tab w:val="left" w:pos="840"/>
          <w:tab w:val="left" w:pos="988"/>
        </w:tabs>
        <w:kinsoku/>
        <w:wordWrap/>
        <w:topLinePunct/>
        <w:bidi w:val="0"/>
        <w:ind w:left="0" w:leftChars="0" w:firstLine="560" w:firstLineChars="200"/>
        <w:jc w:val="left"/>
        <w:rPr>
          <w:rFonts w:ascii="Times New Roman" w:hAnsi="Times New Roman" w:eastAsia="宋体" w:cs="Times New Roman"/>
          <w:color w:val="000000" w:themeColor="text1"/>
          <w:szCs w:val="28"/>
          <w:lang w:val="zh-CN"/>
          <w14:textFill>
            <w14:solidFill>
              <w14:schemeClr w14:val="tx1"/>
            </w14:solidFill>
          </w14:textFill>
        </w:rPr>
      </w:pPr>
      <w:r>
        <w:rPr>
          <w:rFonts w:hint="eastAsia" w:ascii="Times New Roman" w:hAnsi="Times New Roman" w:eastAsia="宋体" w:cs="Times New Roman"/>
          <w:color w:val="000000" w:themeColor="text1"/>
          <w:szCs w:val="28"/>
          <w:lang w:val="zh-CN" w:eastAsia="zh-CN"/>
          <w14:textFill>
            <w14:solidFill>
              <w14:schemeClr w14:val="tx1"/>
            </w14:solidFill>
          </w14:textFill>
        </w:rPr>
        <w:t>《中华人民共和国突发事件应对法》（中华人民共和国主席令第</w:t>
      </w:r>
      <w:r>
        <w:rPr>
          <w:rFonts w:hint="eastAsia" w:ascii="Times New Roman" w:hAnsi="Times New Roman" w:eastAsia="宋体" w:cs="Times New Roman"/>
          <w:color w:val="000000" w:themeColor="text1"/>
          <w:szCs w:val="28"/>
          <w:lang w:val="en-US" w:eastAsia="zh-CN"/>
          <w14:textFill>
            <w14:solidFill>
              <w14:schemeClr w14:val="tx1"/>
            </w14:solidFill>
          </w14:textFill>
        </w:rPr>
        <w:t>25</w:t>
      </w:r>
      <w:r>
        <w:rPr>
          <w:rFonts w:hint="eastAsia" w:ascii="Times New Roman" w:hAnsi="Times New Roman" w:eastAsia="宋体" w:cs="Times New Roman"/>
          <w:color w:val="000000" w:themeColor="text1"/>
          <w:szCs w:val="28"/>
          <w:lang w:val="zh-CN" w:eastAsia="zh-CN"/>
          <w14:textFill>
            <w14:solidFill>
              <w14:schemeClr w14:val="tx1"/>
            </w14:solidFill>
          </w14:textFill>
        </w:rPr>
        <w:t>号，自20</w:t>
      </w:r>
      <w:r>
        <w:rPr>
          <w:rFonts w:hint="eastAsia" w:ascii="Times New Roman" w:hAnsi="Times New Roman" w:eastAsia="宋体" w:cs="Times New Roman"/>
          <w:color w:val="000000" w:themeColor="text1"/>
          <w:szCs w:val="28"/>
          <w:lang w:val="en-US" w:eastAsia="zh-CN"/>
          <w14:textFill>
            <w14:solidFill>
              <w14:schemeClr w14:val="tx1"/>
            </w14:solidFill>
          </w14:textFill>
        </w:rPr>
        <w:t>24</w:t>
      </w:r>
      <w:r>
        <w:rPr>
          <w:rFonts w:hint="eastAsia" w:ascii="Times New Roman" w:hAnsi="Times New Roman" w:eastAsia="宋体" w:cs="Times New Roman"/>
          <w:color w:val="000000" w:themeColor="text1"/>
          <w:szCs w:val="28"/>
          <w:lang w:val="zh-CN" w:eastAsia="zh-CN"/>
          <w14:textFill>
            <w14:solidFill>
              <w14:schemeClr w14:val="tx1"/>
            </w14:solidFill>
          </w14:textFill>
        </w:rPr>
        <w:t>年11月1日起施行）。</w:t>
      </w:r>
    </w:p>
    <w:p w14:paraId="52074457">
      <w:pPr>
        <w:pStyle w:val="44"/>
        <w:rPr>
          <w:rFonts w:hint="eastAsia"/>
          <w:color w:val="000000" w:themeColor="text1"/>
          <w:lang w:val="zh-CN"/>
          <w14:textFill>
            <w14:solidFill>
              <w14:schemeClr w14:val="tx1"/>
            </w14:solidFill>
          </w14:textFill>
        </w:rPr>
      </w:pPr>
    </w:p>
    <w:p w14:paraId="2BF47C78">
      <w:pPr>
        <w:pStyle w:val="4"/>
        <w:keepNext w:val="0"/>
        <w:keepLines w:val="0"/>
        <w:pageBreakBefore w:val="0"/>
        <w:widowControl w:val="0"/>
        <w:kinsoku/>
        <w:bidi w:val="0"/>
        <w:rPr>
          <w:rFonts w:hint="eastAsia"/>
          <w:color w:val="000000" w:themeColor="text1"/>
          <w14:textFill>
            <w14:solidFill>
              <w14:schemeClr w14:val="tx1"/>
            </w14:solidFill>
          </w14:textFill>
        </w:rPr>
      </w:pPr>
      <w:bookmarkStart w:id="37" w:name="_Toc12163"/>
      <w:bookmarkStart w:id="38" w:name="_Toc1334"/>
      <w:r>
        <w:rPr>
          <w:rFonts w:hint="eastAsia"/>
          <w:color w:val="000000" w:themeColor="text1"/>
          <w:lang w:val="en-US" w:eastAsia="zh-CN"/>
          <w14:textFill>
            <w14:solidFill>
              <w14:schemeClr w14:val="tx1"/>
            </w14:solidFill>
          </w14:textFill>
        </w:rPr>
        <w:t>行政法规</w:t>
      </w:r>
      <w:bookmarkEnd w:id="37"/>
      <w:bookmarkEnd w:id="38"/>
    </w:p>
    <w:p w14:paraId="5AA9CC9D">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bookmarkStart w:id="39" w:name="_Toc369097749"/>
      <w:bookmarkStart w:id="40" w:name="_Toc531271027"/>
      <w:bookmarkStart w:id="41" w:name="_Toc477116084"/>
      <w:bookmarkStart w:id="42" w:name="_Toc376246554"/>
      <w:r>
        <w:rPr>
          <w:rFonts w:hint="eastAsia" w:ascii="宋体" w:hAnsi="宋体" w:eastAsia="宋体" w:cs="宋体"/>
          <w:color w:val="000000" w:themeColor="text1"/>
          <w:szCs w:val="28"/>
          <w14:textFill>
            <w14:solidFill>
              <w14:schemeClr w14:val="tx1"/>
            </w14:solidFill>
          </w14:textFill>
        </w:rPr>
        <w:t>《生产安全事故应急条例》（中华人民共和国国务院令第708号，2019年4月1日实施）；</w:t>
      </w:r>
    </w:p>
    <w:p w14:paraId="2951CA10">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《生产安全事故报告和调查处理条例》（中华人民共和国国务院令第493号，2007年6月1日起施行）；</w:t>
      </w:r>
    </w:p>
    <w:p w14:paraId="15AD2305">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《特种设备安全监察条例》（2003年3月11日中华人民共和国国务院令第373号公布，国务院令第549号修订，自2009年5月1日起施行）；</w:t>
      </w:r>
    </w:p>
    <w:p w14:paraId="7E594BAB">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《工伤保险条例》（2003年4月27日中华人民共和国国务院令第375号公布，根据2010年12月20日《国务院关于修改〈工伤保险条例〉的决定》（中华人民共和国国务院令第586号）修订）；</w:t>
      </w:r>
    </w:p>
    <w:p w14:paraId="615F13C6">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《危险化学品安全管理条例》（中华人民共和国国务院令第591号，根据中华人民共和国国务院令第645号修订，2013年12月7日施行）；</w:t>
      </w:r>
    </w:p>
    <w:p w14:paraId="5345B73D">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《易制毒化学品管理条例》（中华人民共和国国务院令第445号公布，根据2018年9月18日《国务院关于修改部分行政法规的决定》第三次修订）；</w:t>
      </w:r>
    </w:p>
    <w:p w14:paraId="06DD0637">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《中华人民共和国监控化学品管理条例》（中华人民共和国国务院令第190号发布，根据2011年1月8日《国务院关于废止和修改部分行政法规的决定》修订）；</w:t>
      </w:r>
    </w:p>
    <w:p w14:paraId="56EFDA87">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szCs w:val="28"/>
          <w:lang w:val="zh-CN"/>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《中华人民共和国劳动合同法实施条例》（2008年9月3日国务院第25次常务会议通过，2008年9月18日中华人民共和国国务院令第535号公布自公布之日起施行）</w:t>
      </w:r>
      <w:bookmarkEnd w:id="39"/>
      <w:bookmarkEnd w:id="40"/>
      <w:bookmarkEnd w:id="41"/>
      <w:bookmarkEnd w:id="42"/>
      <w:r>
        <w:rPr>
          <w:rFonts w:hint="eastAsia" w:ascii="宋体" w:hAnsi="宋体" w:eastAsia="宋体" w:cs="宋体"/>
          <w:color w:val="000000" w:themeColor="text1"/>
          <w:szCs w:val="28"/>
          <w14:textFill>
            <w14:solidFill>
              <w14:schemeClr w14:val="tx1"/>
            </w14:solidFill>
          </w14:textFill>
        </w:rPr>
        <w:t>。</w:t>
      </w:r>
    </w:p>
    <w:p w14:paraId="7108B052">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szCs w:val="28"/>
          <w:lang w:val="zh-CN"/>
          <w14:textFill>
            <w14:solidFill>
              <w14:schemeClr w14:val="tx1"/>
            </w14:solidFill>
          </w14:textFill>
        </w:rPr>
      </w:pPr>
      <w:r>
        <w:rPr>
          <w:color w:val="000000" w:themeColor="text1"/>
          <w:kern w:val="0"/>
          <w:szCs w:val="28"/>
          <w:lang w:bidi="ar"/>
          <w14:textFill>
            <w14:solidFill>
              <w14:schemeClr w14:val="tx1"/>
            </w14:solidFill>
          </w14:textFill>
        </w:rPr>
        <w:t>《建设工程质量管理条例</w:t>
      </w:r>
      <w:r>
        <w:rPr>
          <w:color w:val="000000" w:themeColor="text1"/>
          <w:szCs w:val="28"/>
          <w:lang w:val="zh-CN"/>
          <w14:textFill>
            <w14:solidFill>
              <w14:schemeClr w14:val="tx1"/>
            </w14:solidFill>
          </w14:textFill>
        </w:rPr>
        <w:t>》（</w:t>
      </w:r>
      <w:r>
        <w:rPr>
          <w:color w:val="000000" w:themeColor="text1"/>
          <w:kern w:val="0"/>
          <w:szCs w:val="28"/>
          <w:lang w:bidi="ar"/>
          <w14:textFill>
            <w14:solidFill>
              <w14:schemeClr w14:val="tx1"/>
            </w14:solidFill>
          </w14:textFill>
        </w:rPr>
        <w:t>国务院令第279号</w:t>
      </w:r>
      <w:r>
        <w:rPr>
          <w:rFonts w:hint="eastAsia"/>
          <w:color w:val="000000" w:themeColor="text1"/>
          <w:kern w:val="0"/>
          <w:szCs w:val="28"/>
          <w:lang w:eastAsia="zh-CN" w:bidi="ar"/>
          <w14:textFill>
            <w14:solidFill>
              <w14:schemeClr w14:val="tx1"/>
            </w14:solidFill>
          </w14:textFill>
        </w:rPr>
        <w:t>，</w:t>
      </w:r>
      <w:r>
        <w:rPr>
          <w:color w:val="000000" w:themeColor="text1"/>
          <w:szCs w:val="28"/>
          <w:lang w:val="zh-CN"/>
          <w14:textFill>
            <w14:solidFill>
              <w14:schemeClr w14:val="tx1"/>
            </w14:solidFill>
          </w14:textFill>
        </w:rPr>
        <w:t>200</w:t>
      </w:r>
      <w:r>
        <w:rPr>
          <w:rFonts w:hint="eastAsia"/>
          <w:color w:val="000000" w:themeColor="text1"/>
          <w:szCs w:val="28"/>
          <w:lang w:val="en-US" w:eastAsia="zh-CN"/>
          <w14:textFill>
            <w14:solidFill>
              <w14:schemeClr w14:val="tx1"/>
            </w14:solidFill>
          </w14:textFill>
        </w:rPr>
        <w:t>0</w:t>
      </w:r>
      <w:r>
        <w:rPr>
          <w:color w:val="000000" w:themeColor="text1"/>
          <w:szCs w:val="28"/>
          <w:lang w:val="zh-CN"/>
          <w14:textFill>
            <w14:solidFill>
              <w14:schemeClr w14:val="tx1"/>
            </w14:solidFill>
          </w14:textFill>
        </w:rPr>
        <w:t>年</w:t>
      </w:r>
      <w:r>
        <w:rPr>
          <w:rFonts w:hint="eastAsia"/>
          <w:color w:val="000000" w:themeColor="text1"/>
          <w:szCs w:val="28"/>
          <w:lang w:val="en-US" w:eastAsia="zh-CN"/>
          <w14:textFill>
            <w14:solidFill>
              <w14:schemeClr w14:val="tx1"/>
            </w14:solidFill>
          </w14:textFill>
        </w:rPr>
        <w:t>1</w:t>
      </w:r>
      <w:r>
        <w:rPr>
          <w:color w:val="000000" w:themeColor="text1"/>
          <w:szCs w:val="28"/>
          <w:lang w:val="zh-CN"/>
          <w14:textFill>
            <w14:solidFill>
              <w14:schemeClr w14:val="tx1"/>
            </w14:solidFill>
          </w14:textFill>
        </w:rPr>
        <w:t>月</w:t>
      </w:r>
      <w:r>
        <w:rPr>
          <w:rFonts w:hint="eastAsia"/>
          <w:color w:val="000000" w:themeColor="text1"/>
          <w:szCs w:val="28"/>
          <w:lang w:val="en-US" w:eastAsia="zh-CN"/>
          <w14:textFill>
            <w14:solidFill>
              <w14:schemeClr w14:val="tx1"/>
            </w14:solidFill>
          </w14:textFill>
        </w:rPr>
        <w:t>30</w:t>
      </w:r>
      <w:r>
        <w:rPr>
          <w:color w:val="000000" w:themeColor="text1"/>
          <w:szCs w:val="28"/>
          <w:lang w:val="zh-CN"/>
          <w14:textFill>
            <w14:solidFill>
              <w14:schemeClr w14:val="tx1"/>
            </w14:solidFill>
          </w14:textFill>
        </w:rPr>
        <w:t>日施行）；</w:t>
      </w:r>
    </w:p>
    <w:p w14:paraId="6168D5EC">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szCs w:val="28"/>
          <w:lang w:val="zh-CN"/>
          <w14:textFill>
            <w14:solidFill>
              <w14:schemeClr w14:val="tx1"/>
            </w14:solidFill>
          </w14:textFill>
        </w:rPr>
      </w:pPr>
      <w:r>
        <w:rPr>
          <w:color w:val="000000" w:themeColor="text1"/>
          <w:szCs w:val="28"/>
          <w:lang w:val="zh-CN"/>
          <w14:textFill>
            <w14:solidFill>
              <w14:schemeClr w14:val="tx1"/>
            </w14:solidFill>
          </w14:textFill>
        </w:rPr>
        <w:t>《建设工程安全生产管理条例》（国务院令393号，2004年2月1日施行）；</w:t>
      </w:r>
    </w:p>
    <w:p w14:paraId="55668DF0">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ascii="Times New Roman" w:hAnsi="Times New Roman" w:eastAsia="宋体" w:cs="Times New Roman"/>
          <w:color w:val="000000" w:themeColor="text1"/>
          <w:kern w:val="0"/>
          <w:szCs w:val="28"/>
          <w:lang w:bidi="ar"/>
          <w14:textFill>
            <w14:solidFill>
              <w14:schemeClr w14:val="tx1"/>
            </w14:solidFill>
          </w14:textFill>
        </w:rPr>
      </w:pPr>
      <w:r>
        <w:rPr>
          <w:color w:val="000000" w:themeColor="text1"/>
          <w:kern w:val="0"/>
          <w:szCs w:val="28"/>
          <w:lang w:bidi="ar"/>
          <w14:textFill>
            <w14:solidFill>
              <w14:schemeClr w14:val="tx1"/>
            </w14:solidFill>
          </w14:textFill>
        </w:rPr>
        <w:t>《电力</w:t>
      </w:r>
      <w:r>
        <w:rPr>
          <w:rFonts w:ascii="Times New Roman" w:hAnsi="Times New Roman" w:eastAsia="宋体" w:cs="Times New Roman"/>
          <w:color w:val="000000" w:themeColor="text1"/>
          <w:kern w:val="0"/>
          <w:szCs w:val="28"/>
          <w:lang w:bidi="ar"/>
          <w14:textFill>
            <w14:solidFill>
              <w14:schemeClr w14:val="tx1"/>
            </w14:solidFill>
          </w14:textFill>
        </w:rPr>
        <w:t>监管条例</w:t>
      </w:r>
      <w:r>
        <w:rPr>
          <w:rFonts w:ascii="Times New Roman" w:hAnsi="Times New Roman" w:eastAsia="宋体" w:cs="Times New Roman"/>
          <w:color w:val="000000" w:themeColor="text1"/>
          <w:kern w:val="0"/>
          <w:szCs w:val="28"/>
          <w:lang w:val="zh-CN" w:bidi="ar"/>
          <w14:textFill>
            <w14:solidFill>
              <w14:schemeClr w14:val="tx1"/>
            </w14:solidFill>
          </w14:textFill>
        </w:rPr>
        <w:t>》（</w:t>
      </w:r>
      <w:r>
        <w:rPr>
          <w:rFonts w:ascii="Times New Roman" w:hAnsi="Times New Roman" w:eastAsia="宋体" w:cs="Times New Roman"/>
          <w:color w:val="000000" w:themeColor="text1"/>
          <w:kern w:val="0"/>
          <w:szCs w:val="28"/>
          <w:lang w:bidi="ar"/>
          <w14:textFill>
            <w14:solidFill>
              <w14:schemeClr w14:val="tx1"/>
            </w14:solidFill>
          </w14:textFill>
        </w:rPr>
        <w:t>国务院</w:t>
      </w:r>
      <w:r>
        <w:rPr>
          <w:rFonts w:hint="eastAsia" w:ascii="Times New Roman" w:hAnsi="Times New Roman" w:eastAsia="宋体" w:cs="Times New Roman"/>
          <w:color w:val="000000" w:themeColor="text1"/>
          <w:kern w:val="0"/>
          <w:szCs w:val="28"/>
          <w:lang w:val="en-US" w:eastAsia="zh-CN" w:bidi="ar"/>
          <w14:textFill>
            <w14:solidFill>
              <w14:schemeClr w14:val="tx1"/>
            </w14:solidFill>
          </w14:textFill>
        </w:rPr>
        <w:t>令</w:t>
      </w:r>
      <w:r>
        <w:rPr>
          <w:rFonts w:ascii="Times New Roman" w:hAnsi="Times New Roman" w:eastAsia="宋体" w:cs="Times New Roman"/>
          <w:color w:val="000000" w:themeColor="text1"/>
          <w:kern w:val="0"/>
          <w:szCs w:val="28"/>
          <w:lang w:bidi="ar"/>
          <w14:textFill>
            <w14:solidFill>
              <w14:schemeClr w14:val="tx1"/>
            </w14:solidFill>
          </w14:textFill>
        </w:rPr>
        <w:t>第43</w:t>
      </w:r>
      <w:r>
        <w:rPr>
          <w:rFonts w:hint="eastAsia" w:ascii="Times New Roman" w:hAnsi="Times New Roman" w:eastAsia="宋体" w:cs="Times New Roman"/>
          <w:color w:val="000000" w:themeColor="text1"/>
          <w:kern w:val="0"/>
          <w:szCs w:val="28"/>
          <w:lang w:val="en-US" w:eastAsia="zh-CN" w:bidi="ar"/>
          <w14:textFill>
            <w14:solidFill>
              <w14:schemeClr w14:val="tx1"/>
            </w14:solidFill>
          </w14:textFill>
        </w:rPr>
        <w:t>2</w:t>
      </w:r>
      <w:r>
        <w:rPr>
          <w:rFonts w:ascii="Times New Roman" w:hAnsi="Times New Roman" w:eastAsia="宋体" w:cs="Times New Roman"/>
          <w:color w:val="000000" w:themeColor="text1"/>
          <w:kern w:val="0"/>
          <w:szCs w:val="28"/>
          <w:lang w:bidi="ar"/>
          <w14:textFill>
            <w14:solidFill>
              <w14:schemeClr w14:val="tx1"/>
            </w14:solidFill>
          </w14:textFill>
        </w:rPr>
        <w:t>号</w:t>
      </w:r>
      <w:r>
        <w:rPr>
          <w:rFonts w:hint="eastAsia" w:ascii="Times New Roman" w:hAnsi="Times New Roman" w:eastAsia="宋体" w:cs="Times New Roman"/>
          <w:color w:val="000000" w:themeColor="text1"/>
          <w:kern w:val="0"/>
          <w:szCs w:val="28"/>
          <w:lang w:eastAsia="zh-CN" w:bidi="ar"/>
          <w14:textFill>
            <w14:solidFill>
              <w14:schemeClr w14:val="tx1"/>
            </w14:solidFill>
          </w14:textFill>
        </w:rPr>
        <w:t>，</w:t>
      </w:r>
      <w:r>
        <w:rPr>
          <w:rFonts w:ascii="Times New Roman" w:hAnsi="Times New Roman" w:eastAsia="宋体" w:cs="Times New Roman"/>
          <w:color w:val="000000" w:themeColor="text1"/>
          <w:kern w:val="0"/>
          <w:szCs w:val="28"/>
          <w:lang w:bidi="ar"/>
          <w14:textFill>
            <w14:solidFill>
              <w14:schemeClr w14:val="tx1"/>
            </w14:solidFill>
          </w14:textFill>
        </w:rPr>
        <w:t>2005年5月1日起施行</w:t>
      </w:r>
      <w:r>
        <w:rPr>
          <w:rFonts w:ascii="Times New Roman" w:hAnsi="Times New Roman" w:eastAsia="宋体" w:cs="Times New Roman"/>
          <w:color w:val="000000" w:themeColor="text1"/>
          <w:kern w:val="0"/>
          <w:szCs w:val="28"/>
          <w:lang w:val="zh-CN" w:bidi="ar"/>
          <w14:textFill>
            <w14:solidFill>
              <w14:schemeClr w14:val="tx1"/>
            </w14:solidFill>
          </w14:textFill>
        </w:rPr>
        <w:t>）；</w:t>
      </w:r>
    </w:p>
    <w:p w14:paraId="40F89BA6">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szCs w:val="28"/>
          <w14:textFill>
            <w14:solidFill>
              <w14:schemeClr w14:val="tx1"/>
            </w14:solidFill>
          </w14:textFill>
        </w:rPr>
      </w:pPr>
      <w:r>
        <w:rPr>
          <w:color w:val="000000" w:themeColor="text1"/>
          <w:kern w:val="0"/>
          <w:szCs w:val="28"/>
          <w:lang w:bidi="ar"/>
          <w14:textFill>
            <w14:solidFill>
              <w14:schemeClr w14:val="tx1"/>
            </w14:solidFill>
          </w14:textFill>
        </w:rPr>
        <w:t>《电力设施保护条例</w:t>
      </w:r>
      <w:r>
        <w:rPr>
          <w:color w:val="000000" w:themeColor="text1"/>
          <w:szCs w:val="28"/>
          <w:lang w:val="zh-CN"/>
          <w14:textFill>
            <w14:solidFill>
              <w14:schemeClr w14:val="tx1"/>
            </w14:solidFill>
          </w14:textFill>
        </w:rPr>
        <w:t>》（</w:t>
      </w:r>
      <w:r>
        <w:rPr>
          <w:color w:val="000000" w:themeColor="text1"/>
          <w:kern w:val="0"/>
          <w:szCs w:val="28"/>
          <w:lang w:bidi="ar"/>
          <w14:textFill>
            <w14:solidFill>
              <w14:schemeClr w14:val="tx1"/>
            </w14:solidFill>
          </w14:textFill>
        </w:rPr>
        <w:t>国务院令第239号</w:t>
      </w:r>
      <w:r>
        <w:rPr>
          <w:rFonts w:hint="eastAsia"/>
          <w:color w:val="000000" w:themeColor="text1"/>
          <w:kern w:val="0"/>
          <w:szCs w:val="28"/>
          <w:lang w:eastAsia="zh-CN" w:bidi="ar"/>
          <w14:textFill>
            <w14:solidFill>
              <w14:schemeClr w14:val="tx1"/>
            </w14:solidFill>
          </w14:textFill>
        </w:rPr>
        <w:t>，1998年1月7日</w:t>
      </w:r>
      <w:r>
        <w:rPr>
          <w:rFonts w:ascii="Times New Roman" w:hAnsi="Times New Roman" w:eastAsia="宋体" w:cs="Times New Roman"/>
          <w:color w:val="000000" w:themeColor="text1"/>
          <w:kern w:val="0"/>
          <w:szCs w:val="28"/>
          <w:lang w:bidi="ar"/>
          <w14:textFill>
            <w14:solidFill>
              <w14:schemeClr w14:val="tx1"/>
            </w14:solidFill>
          </w14:textFill>
        </w:rPr>
        <w:t>起施行</w:t>
      </w:r>
      <w:r>
        <w:rPr>
          <w:color w:val="000000" w:themeColor="text1"/>
          <w:szCs w:val="28"/>
          <w:lang w:val="zh-CN"/>
          <w14:textFill>
            <w14:solidFill>
              <w14:schemeClr w14:val="tx1"/>
            </w14:solidFill>
          </w14:textFill>
        </w:rPr>
        <w:t>）；</w:t>
      </w:r>
    </w:p>
    <w:p w14:paraId="44412F73">
      <w:pPr>
        <w:keepNext w:val="0"/>
        <w:keepLines w:val="0"/>
        <w:pageBreakBefore w:val="0"/>
        <w:widowControl w:val="0"/>
        <w:numPr>
          <w:ilvl w:val="0"/>
          <w:numId w:val="4"/>
        </w:numPr>
        <w:tabs>
          <w:tab w:val="left" w:pos="0"/>
          <w:tab w:val="left" w:pos="630"/>
          <w:tab w:val="left" w:pos="735"/>
          <w:tab w:val="left" w:pos="840"/>
          <w:tab w:val="left" w:pos="988"/>
        </w:tabs>
        <w:kinsoku/>
        <w:wordWrap/>
        <w:topLinePunct/>
        <w:bidi w:val="0"/>
        <w:ind w:left="0" w:leftChars="0" w:firstLine="560" w:firstLineChars="200"/>
        <w:jc w:val="left"/>
        <w:rPr>
          <w:rFonts w:hint="eastAsia"/>
          <w:color w:val="000000" w:themeColor="text1"/>
          <w14:textFill>
            <w14:solidFill>
              <w14:schemeClr w14:val="tx1"/>
            </w14:solidFill>
          </w14:textFill>
        </w:rPr>
      </w:pPr>
      <w:r>
        <w:rPr>
          <w:color w:val="000000" w:themeColor="text1"/>
          <w:kern w:val="0"/>
          <w:szCs w:val="28"/>
          <w:lang w:bidi="ar"/>
          <w14:textFill>
            <w14:solidFill>
              <w14:schemeClr w14:val="tx1"/>
            </w14:solidFill>
          </w14:textFill>
        </w:rPr>
        <w:t>《电网调度管理条例</w:t>
      </w:r>
      <w:r>
        <w:rPr>
          <w:rFonts w:hint="eastAsia"/>
          <w:color w:val="000000" w:themeColor="text1"/>
          <w:kern w:val="0"/>
          <w:szCs w:val="28"/>
          <w:lang w:eastAsia="zh-CN" w:bidi="ar"/>
          <w14:textFill>
            <w14:solidFill>
              <w14:schemeClr w14:val="tx1"/>
            </w14:solidFill>
          </w14:textFill>
        </w:rPr>
        <w:t>》</w:t>
      </w:r>
      <w:r>
        <w:rPr>
          <w:color w:val="000000" w:themeColor="text1"/>
          <w:szCs w:val="28"/>
          <w:lang w:val="zh-CN"/>
          <w14:textFill>
            <w14:solidFill>
              <w14:schemeClr w14:val="tx1"/>
            </w14:solidFill>
          </w14:textFill>
        </w:rPr>
        <w:t>（</w:t>
      </w:r>
      <w:r>
        <w:rPr>
          <w:rFonts w:hint="eastAsia"/>
          <w:color w:val="000000" w:themeColor="text1"/>
          <w:kern w:val="0"/>
          <w:szCs w:val="28"/>
          <w:lang w:eastAsia="zh-CN" w:bidi="ar"/>
          <w14:textFill>
            <w14:solidFill>
              <w14:schemeClr w14:val="tx1"/>
            </w14:solidFill>
          </w14:textFill>
        </w:rPr>
        <w:t>国务院令第115号</w:t>
      </w:r>
      <w:r>
        <w:rPr>
          <w:rFonts w:hint="eastAsia"/>
          <w:color w:val="000000" w:themeColor="text1"/>
          <w:kern w:val="0"/>
          <w:szCs w:val="28"/>
          <w:lang w:val="en-US" w:eastAsia="zh-CN" w:bidi="ar"/>
          <w14:textFill>
            <w14:solidFill>
              <w14:schemeClr w14:val="tx1"/>
            </w14:solidFill>
          </w14:textFill>
        </w:rPr>
        <w:t>发布，</w:t>
      </w:r>
      <w:r>
        <w:rPr>
          <w:color w:val="000000" w:themeColor="text1"/>
          <w:kern w:val="0"/>
          <w:szCs w:val="28"/>
          <w:lang w:bidi="ar"/>
          <w14:textFill>
            <w14:solidFill>
              <w14:schemeClr w14:val="tx1"/>
            </w14:solidFill>
          </w14:textFill>
        </w:rPr>
        <w:t>第</w:t>
      </w:r>
      <w:r>
        <w:rPr>
          <w:rFonts w:hint="eastAsia"/>
          <w:color w:val="000000" w:themeColor="text1"/>
          <w:kern w:val="0"/>
          <w:szCs w:val="28"/>
          <w:lang w:val="en-US" w:eastAsia="zh-CN" w:bidi="ar"/>
          <w14:textFill>
            <w14:solidFill>
              <w14:schemeClr w14:val="tx1"/>
            </w14:solidFill>
          </w14:textFill>
        </w:rPr>
        <w:t>588</w:t>
      </w:r>
      <w:r>
        <w:rPr>
          <w:color w:val="000000" w:themeColor="text1"/>
          <w:kern w:val="0"/>
          <w:szCs w:val="28"/>
          <w:lang w:bidi="ar"/>
          <w14:textFill>
            <w14:solidFill>
              <w14:schemeClr w14:val="tx1"/>
            </w14:solidFill>
          </w14:textFill>
        </w:rPr>
        <w:t>号</w:t>
      </w:r>
      <w:r>
        <w:rPr>
          <w:rFonts w:hint="eastAsia"/>
          <w:color w:val="000000" w:themeColor="text1"/>
          <w:kern w:val="0"/>
          <w:szCs w:val="28"/>
          <w:lang w:val="en-US" w:eastAsia="zh-CN" w:bidi="ar"/>
          <w14:textFill>
            <w14:solidFill>
              <w14:schemeClr w14:val="tx1"/>
            </w14:solidFill>
          </w14:textFill>
        </w:rPr>
        <w:t>修改</w:t>
      </w:r>
      <w:r>
        <w:rPr>
          <w:rFonts w:hint="eastAsia"/>
          <w:color w:val="000000" w:themeColor="text1"/>
          <w:kern w:val="0"/>
          <w:szCs w:val="28"/>
          <w:lang w:eastAsia="zh-CN" w:bidi="ar"/>
          <w14:textFill>
            <w14:solidFill>
              <w14:schemeClr w14:val="tx1"/>
            </w14:solidFill>
          </w14:textFill>
        </w:rPr>
        <w:t>，2011</w:t>
      </w:r>
      <w:r>
        <w:rPr>
          <w:rFonts w:hint="eastAsia"/>
          <w:color w:val="000000" w:themeColor="text1"/>
          <w:kern w:val="0"/>
          <w:szCs w:val="28"/>
          <w:lang w:val="en-US" w:eastAsia="zh-CN" w:bidi="ar"/>
          <w14:textFill>
            <w14:solidFill>
              <w14:schemeClr w14:val="tx1"/>
            </w14:solidFill>
          </w14:textFill>
        </w:rPr>
        <w:t>年</w:t>
      </w:r>
      <w:r>
        <w:rPr>
          <w:rFonts w:hint="eastAsia"/>
          <w:color w:val="000000" w:themeColor="text1"/>
          <w:kern w:val="0"/>
          <w:szCs w:val="28"/>
          <w:lang w:eastAsia="zh-CN" w:bidi="ar"/>
          <w14:textFill>
            <w14:solidFill>
              <w14:schemeClr w14:val="tx1"/>
            </w14:solidFill>
          </w14:textFill>
        </w:rPr>
        <w:t>1</w:t>
      </w:r>
      <w:r>
        <w:rPr>
          <w:rFonts w:hint="eastAsia"/>
          <w:color w:val="000000" w:themeColor="text1"/>
          <w:kern w:val="0"/>
          <w:szCs w:val="28"/>
          <w:lang w:val="en-US" w:eastAsia="zh-CN" w:bidi="ar"/>
          <w14:textFill>
            <w14:solidFill>
              <w14:schemeClr w14:val="tx1"/>
            </w14:solidFill>
          </w14:textFill>
        </w:rPr>
        <w:t>月</w:t>
      </w:r>
      <w:r>
        <w:rPr>
          <w:rFonts w:hint="eastAsia"/>
          <w:color w:val="000000" w:themeColor="text1"/>
          <w:kern w:val="0"/>
          <w:szCs w:val="28"/>
          <w:lang w:eastAsia="zh-CN" w:bidi="ar"/>
          <w14:textFill>
            <w14:solidFill>
              <w14:schemeClr w14:val="tx1"/>
            </w14:solidFill>
          </w14:textFill>
        </w:rPr>
        <w:t>8</w:t>
      </w:r>
      <w:r>
        <w:rPr>
          <w:rFonts w:hint="eastAsia"/>
          <w:color w:val="000000" w:themeColor="text1"/>
          <w:kern w:val="0"/>
          <w:szCs w:val="28"/>
          <w:lang w:val="en-US" w:eastAsia="zh-CN" w:bidi="ar"/>
          <w14:textFill>
            <w14:solidFill>
              <w14:schemeClr w14:val="tx1"/>
            </w14:solidFill>
          </w14:textFill>
        </w:rPr>
        <w:t>日实施</w:t>
      </w:r>
      <w:r>
        <w:rPr>
          <w:color w:val="000000" w:themeColor="text1"/>
          <w:szCs w:val="28"/>
          <w:lang w:val="zh-CN"/>
          <w14:textFill>
            <w14:solidFill>
              <w14:schemeClr w14:val="tx1"/>
            </w14:solidFill>
          </w14:textFill>
        </w:rPr>
        <w:t>）</w:t>
      </w:r>
      <w:r>
        <w:rPr>
          <w:rFonts w:hint="eastAsia"/>
          <w:color w:val="000000" w:themeColor="text1"/>
          <w:szCs w:val="28"/>
          <w:lang w:val="zh-CN"/>
          <w14:textFill>
            <w14:solidFill>
              <w14:schemeClr w14:val="tx1"/>
            </w14:solidFill>
          </w14:textFill>
        </w:rPr>
        <w:t>。</w:t>
      </w:r>
    </w:p>
    <w:p w14:paraId="40929C76">
      <w:pPr>
        <w:pStyle w:val="4"/>
        <w:keepNext w:val="0"/>
        <w:keepLines w:val="0"/>
        <w:pageBreakBefore w:val="0"/>
        <w:widowControl w:val="0"/>
        <w:kinsoku/>
        <w:bidi w:val="0"/>
        <w:rPr>
          <w:color w:val="000000" w:themeColor="text1"/>
          <w:lang w:val="en-US" w:eastAsia="zh-CN"/>
          <w14:textFill>
            <w14:solidFill>
              <w14:schemeClr w14:val="tx1"/>
            </w14:solidFill>
          </w14:textFill>
        </w:rPr>
      </w:pPr>
      <w:bookmarkStart w:id="43" w:name="_Toc6989"/>
      <w:bookmarkStart w:id="44" w:name="_Toc26529"/>
      <w:bookmarkStart w:id="45" w:name="_Toc26745"/>
      <w:bookmarkStart w:id="46" w:name="_Toc22349"/>
      <w:r>
        <w:rPr>
          <w:rFonts w:hint="eastAsia"/>
          <w:color w:val="000000" w:themeColor="text1"/>
          <w:lang w:val="en-US" w:eastAsia="zh-CN"/>
          <w14:textFill>
            <w14:solidFill>
              <w14:schemeClr w14:val="tx1"/>
            </w14:solidFill>
          </w14:textFill>
        </w:rPr>
        <w:t>部门规章及规范性文件</w:t>
      </w:r>
      <w:bookmarkEnd w:id="43"/>
      <w:bookmarkEnd w:id="44"/>
      <w:bookmarkEnd w:id="45"/>
      <w:bookmarkEnd w:id="46"/>
    </w:p>
    <w:p w14:paraId="69BB1734">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《质检总局关于修订&lt;特种设备目录&gt;的公告》（2014年第114号）；</w:t>
      </w:r>
    </w:p>
    <w:p w14:paraId="3C686264">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《安全生产事故隐患排查治理暂行规定》（国家安全生产监督管理总局令第16号）</w:t>
      </w:r>
    </w:p>
    <w:p w14:paraId="651CD80C">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《国家安全监管总局办公厅关于修改用人单位劳动防护用品管理规范的通知》（安监总厅安健〔2018〕3号）；</w:t>
      </w:r>
    </w:p>
    <w:p w14:paraId="4B430DF1">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《特种作业人员安全技术培训考核管理规定》（国家安全生产监督管理总局30号令，80号令修订）；</w:t>
      </w:r>
    </w:p>
    <w:p w14:paraId="28E44ACE">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《建设项目安全设施“三同时”监督管理办法》（国家安全生产监督管理总局令第36号，77号令修订）；</w:t>
      </w:r>
    </w:p>
    <w:p w14:paraId="32378163">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《安全生产培训管理办法》（安监总局令第44号，80号令修订）；</w:t>
      </w:r>
    </w:p>
    <w:p w14:paraId="43D67469">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《生产安全事故应急预案管理办法》（国家安全生产监督管理总局令第88号，应急管理部2号令修正）；</w:t>
      </w:r>
    </w:p>
    <w:p w14:paraId="1A630FF9">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《危险化学品目录（</w:t>
      </w:r>
      <w:r>
        <w:rPr>
          <w:rFonts w:hint="eastAsia" w:ascii="宋体" w:hAnsi="宋体" w:eastAsia="宋体" w:cs="宋体"/>
          <w:color w:val="000000" w:themeColor="text1"/>
          <w:szCs w:val="28"/>
          <w:lang w:val="en-US" w:eastAsia="zh-CN"/>
          <w14:textFill>
            <w14:solidFill>
              <w14:schemeClr w14:val="tx1"/>
            </w14:solidFill>
          </w14:textFill>
        </w:rPr>
        <w:t>2022调整</w:t>
      </w:r>
      <w:r>
        <w:rPr>
          <w:rFonts w:hint="eastAsia" w:ascii="宋体" w:hAnsi="宋体" w:eastAsia="宋体" w:cs="宋体"/>
          <w:color w:val="000000" w:themeColor="text1"/>
          <w:szCs w:val="28"/>
          <w14:textFill>
            <w14:solidFill>
              <w14:schemeClr w14:val="tx1"/>
            </w14:solidFill>
          </w14:textFill>
        </w:rPr>
        <w:t>版）》；</w:t>
      </w:r>
    </w:p>
    <w:p w14:paraId="3323A96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《建设工程消防设计审查验收管理暂行规定》（中华人民共和国住房和城乡建设部令第51号，2020年6月1日起施行）；</w:t>
      </w:r>
    </w:p>
    <w:p w14:paraId="0D36027A">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《消防监督检查规定》（中华人民共和国公安部令第120号）；</w:t>
      </w:r>
    </w:p>
    <w:p w14:paraId="2897D909">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《机关、团体、企业、事业单位消防安全管理规定》（公安部令第61号）；</w:t>
      </w:r>
    </w:p>
    <w:p w14:paraId="1BE3EF09">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《中国气象局关于修改&lt;防雷减灾管理办法&gt;的决定》（中国气象局第24号）；</w:t>
      </w:r>
    </w:p>
    <w:p w14:paraId="43F75AA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《国家安全监管总局关于公布首批重点监管的危险化学品名录的通知》（安监总管三〔2011〕95号）；</w:t>
      </w:r>
    </w:p>
    <w:p w14:paraId="6163C515">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《国家安全监管总局关于公布第二批重点监管危险化学品名录的通知》（安监总管三〔2013〕12号）；</w:t>
      </w:r>
    </w:p>
    <w:p w14:paraId="592682B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《淘汰落后安全技术装备目录（2016年第一批）》；</w:t>
      </w:r>
    </w:p>
    <w:p w14:paraId="30A5C50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《国家安全监管总局关于公布第二批重点监管的危险化学品名录的通知》（安监总管三〔2013〕12号）；</w:t>
      </w:r>
    </w:p>
    <w:p w14:paraId="17A374B8">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szCs w:val="28"/>
          <w14:textFill>
            <w14:solidFill>
              <w14:schemeClr w14:val="tx1"/>
            </w14:solidFill>
          </w14:textFill>
        </w:rPr>
        <w:t>特种设备作业人员监督管理办法</w:t>
      </w: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szCs w:val="28"/>
          <w14:textFill>
            <w14:solidFill>
              <w14:schemeClr w14:val="tx1"/>
            </w14:solidFill>
          </w14:textFill>
        </w:rPr>
        <w:t>（国家质量监督检验检疫总局令第140号）</w:t>
      </w:r>
      <w:r>
        <w:rPr>
          <w:rFonts w:hint="eastAsia" w:ascii="宋体" w:hAnsi="宋体" w:eastAsia="宋体" w:cs="宋体"/>
          <w:color w:val="000000" w:themeColor="text1"/>
          <w:szCs w:val="28"/>
          <w:lang w:eastAsia="zh-CN"/>
          <w14:textFill>
            <w14:solidFill>
              <w14:schemeClr w14:val="tx1"/>
            </w14:solidFill>
          </w14:textFill>
        </w:rPr>
        <w:t>；</w:t>
      </w:r>
    </w:p>
    <w:p w14:paraId="19DB936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《特别管</w:t>
      </w:r>
      <w:r>
        <w:rPr>
          <w:rFonts w:hint="eastAsia" w:ascii="宋体" w:hAnsi="宋体" w:eastAsia="宋体" w:cs="宋体"/>
          <w:color w:val="000000" w:themeColor="text1"/>
          <w:szCs w:val="28"/>
          <w:lang w:eastAsia="zh-CN"/>
          <w14:textFill>
            <w14:solidFill>
              <w14:schemeClr w14:val="tx1"/>
            </w14:solidFill>
          </w14:textFill>
        </w:rPr>
        <w:t>控危险化学品目录（第一版）》（应急管理部、工业和信息化部、公安部、交通运输部公告，2020年第1号）；</w:t>
      </w:r>
    </w:p>
    <w:p w14:paraId="66DC95E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应急管理部办公厅关于印发《工贸企业有限空间重点监管目录》的通知（应急厅〔2023〕37号）；</w:t>
      </w:r>
    </w:p>
    <w:p w14:paraId="4121B0BD">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eastAsia="zh-CN"/>
          <w14:textFill>
            <w14:solidFill>
              <w14:schemeClr w14:val="tx1"/>
            </w14:solidFill>
          </w14:textFill>
        </w:rPr>
        <w:t>《生产安全事故罚款处罚规定》</w:t>
      </w:r>
      <w:r>
        <w:rPr>
          <w:rFonts w:hint="eastAsia" w:ascii="宋体" w:hAnsi="宋体" w:eastAsia="宋体" w:cs="宋体"/>
          <w:color w:val="000000" w:themeColor="text1"/>
          <w:szCs w:val="28"/>
          <w14:textFill>
            <w14:solidFill>
              <w14:schemeClr w14:val="tx1"/>
            </w14:solidFill>
          </w14:textFill>
        </w:rPr>
        <w:t>（中华人民共和国应急管理部令第1</w:t>
      </w:r>
      <w:r>
        <w:rPr>
          <w:rFonts w:hint="eastAsia" w:ascii="宋体" w:hAnsi="宋体" w:eastAsia="宋体" w:cs="宋体"/>
          <w:color w:val="000000" w:themeColor="text1"/>
          <w:szCs w:val="28"/>
          <w:lang w:val="en-US" w:eastAsia="zh-CN"/>
          <w14:textFill>
            <w14:solidFill>
              <w14:schemeClr w14:val="tx1"/>
            </w14:solidFill>
          </w14:textFill>
        </w:rPr>
        <w:t>4</w:t>
      </w:r>
      <w:r>
        <w:rPr>
          <w:rFonts w:hint="eastAsia" w:ascii="宋体" w:hAnsi="宋体" w:eastAsia="宋体" w:cs="宋体"/>
          <w:color w:val="000000" w:themeColor="text1"/>
          <w:szCs w:val="28"/>
          <w14:textFill>
            <w14:solidFill>
              <w14:schemeClr w14:val="tx1"/>
            </w14:solidFill>
          </w14:textFill>
        </w:rPr>
        <w:t>号）</w:t>
      </w:r>
      <w:r>
        <w:rPr>
          <w:rFonts w:hint="eastAsia" w:ascii="宋体" w:hAnsi="宋体" w:eastAsia="宋体" w:cs="宋体"/>
          <w:color w:val="000000" w:themeColor="text1"/>
          <w:szCs w:val="28"/>
          <w:lang w:eastAsia="zh-CN"/>
          <w14:textFill>
            <w14:solidFill>
              <w14:schemeClr w14:val="tx1"/>
            </w14:solidFill>
          </w14:textFill>
        </w:rPr>
        <w:t>。</w:t>
      </w:r>
    </w:p>
    <w:p w14:paraId="7233D93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电力设施保护条例实施细则</w:t>
      </w:r>
      <w:r>
        <w:rPr>
          <w:rFonts w:hint="eastAsia" w:ascii="宋体" w:hAnsi="宋体" w:eastAsia="宋体" w:cs="宋体"/>
          <w:color w:val="000000" w:themeColor="text1"/>
          <w:kern w:val="0"/>
          <w:szCs w:val="28"/>
          <w:lang w:eastAsia="zh-CN" w:bidi="ar"/>
          <w14:textFill>
            <w14:solidFill>
              <w14:schemeClr w14:val="tx1"/>
            </w14:solidFill>
          </w14:textFill>
        </w:rPr>
        <w:t>》（1999年3月18日国家经贸委、公安部令第8号公布 自1999年3月18日起施行 根据2011年6月30日国家发展改革委令第10号修订</w:t>
      </w:r>
      <w:r>
        <w:rPr>
          <w:rFonts w:hint="eastAsia" w:ascii="宋体" w:hAnsi="宋体" w:eastAsia="宋体" w:cs="宋体"/>
          <w:color w:val="000000" w:themeColor="text1"/>
          <w:szCs w:val="28"/>
          <w:lang w:val="zh-CN"/>
          <w14:textFill>
            <w14:solidFill>
              <w14:schemeClr w14:val="tx1"/>
            </w14:solidFill>
          </w14:textFill>
        </w:rPr>
        <w:t>）；</w:t>
      </w:r>
    </w:p>
    <w:p w14:paraId="6F9499ED">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kern w:val="0"/>
          <w:szCs w:val="28"/>
          <w:lang w:bidi="ar"/>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国家电力监管委员会安全生产令</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国家电力监管委员会令第1号</w:t>
      </w:r>
      <w:r>
        <w:rPr>
          <w:rFonts w:hint="eastAsia" w:ascii="宋体" w:hAnsi="宋体" w:eastAsia="宋体" w:cs="宋体"/>
          <w:color w:val="000000" w:themeColor="text1"/>
          <w:szCs w:val="28"/>
          <w:lang w:val="zh-CN"/>
          <w14:textFill>
            <w14:solidFill>
              <w14:schemeClr w14:val="tx1"/>
            </w14:solidFill>
          </w14:textFill>
        </w:rPr>
        <w:t>）；</w:t>
      </w:r>
    </w:p>
    <w:p w14:paraId="7C12E2C1">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电力安全生产监管办法</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国家电力监管委员会令第2号</w:t>
      </w:r>
      <w:r>
        <w:rPr>
          <w:rFonts w:hint="eastAsia" w:ascii="宋体" w:hAnsi="宋体" w:eastAsia="宋体" w:cs="宋体"/>
          <w:color w:val="000000" w:themeColor="text1"/>
          <w:szCs w:val="28"/>
          <w:lang w:val="zh-CN"/>
          <w14:textFill>
            <w14:solidFill>
              <w14:schemeClr w14:val="tx1"/>
            </w14:solidFill>
          </w14:textFill>
        </w:rPr>
        <w:t>）；</w:t>
      </w:r>
    </w:p>
    <w:p w14:paraId="5F13BA2F">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电网运行规则(试行)</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国家电力监管委员会令第22号</w:t>
      </w:r>
      <w:r>
        <w:rPr>
          <w:rFonts w:hint="eastAsia" w:ascii="宋体" w:hAnsi="宋体" w:eastAsia="宋体" w:cs="宋体"/>
          <w:color w:val="000000" w:themeColor="text1"/>
          <w:szCs w:val="28"/>
          <w:lang w:val="zh-CN"/>
          <w14:textFill>
            <w14:solidFill>
              <w14:schemeClr w14:val="tx1"/>
            </w14:solidFill>
          </w14:textFill>
        </w:rPr>
        <w:t>）；</w:t>
      </w:r>
    </w:p>
    <w:p w14:paraId="6FFE022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中央企业安全生产监督管理暂行办法</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国资委令第21号</w:t>
      </w:r>
      <w:r>
        <w:rPr>
          <w:rFonts w:hint="eastAsia" w:ascii="宋体" w:hAnsi="宋体" w:eastAsia="宋体" w:cs="宋体"/>
          <w:color w:val="000000" w:themeColor="text1"/>
          <w:szCs w:val="28"/>
          <w:lang w:val="zh-CN"/>
          <w14:textFill>
            <w14:solidFill>
              <w14:schemeClr w14:val="tx1"/>
            </w14:solidFill>
          </w14:textFill>
        </w:rPr>
        <w:t>）；</w:t>
      </w:r>
    </w:p>
    <w:p w14:paraId="7FF2B001">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火灾事故调查规定</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中华人民共和国公安部令第108号</w:t>
      </w:r>
      <w:r>
        <w:rPr>
          <w:rFonts w:hint="eastAsia" w:ascii="宋体" w:hAnsi="宋体" w:eastAsia="宋体" w:cs="宋体"/>
          <w:color w:val="000000" w:themeColor="text1"/>
          <w:szCs w:val="28"/>
          <w:lang w:val="zh-CN"/>
          <w14:textFill>
            <w14:solidFill>
              <w14:schemeClr w14:val="tx1"/>
            </w14:solidFill>
          </w14:textFill>
        </w:rPr>
        <w:t>）；</w:t>
      </w:r>
    </w:p>
    <w:p w14:paraId="1098322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生产安全事故信息报告和处置办法</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原国家安全生产监督管理总局令第21号</w:t>
      </w:r>
      <w:r>
        <w:rPr>
          <w:rFonts w:hint="eastAsia" w:ascii="宋体" w:hAnsi="宋体" w:eastAsia="宋体" w:cs="宋体"/>
          <w:color w:val="000000" w:themeColor="text1"/>
          <w:szCs w:val="28"/>
          <w:lang w:val="zh-CN"/>
          <w14:textFill>
            <w14:solidFill>
              <w14:schemeClr w14:val="tx1"/>
            </w14:solidFill>
          </w14:textFill>
        </w:rPr>
        <w:t>）；</w:t>
      </w:r>
    </w:p>
    <w:p w14:paraId="54D1261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中央企业安全生产禁令</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国资委令第24号</w:t>
      </w:r>
      <w:r>
        <w:rPr>
          <w:rFonts w:hint="eastAsia" w:ascii="宋体" w:hAnsi="宋体" w:eastAsia="宋体" w:cs="宋体"/>
          <w:color w:val="000000" w:themeColor="text1"/>
          <w:szCs w:val="28"/>
          <w:lang w:val="zh-CN"/>
          <w14:textFill>
            <w14:solidFill>
              <w14:schemeClr w14:val="tx1"/>
            </w14:solidFill>
          </w14:textFill>
        </w:rPr>
        <w:t>）；</w:t>
      </w:r>
    </w:p>
    <w:p w14:paraId="5537EC7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kern w:val="0"/>
          <w:szCs w:val="28"/>
          <w:lang w:val="zh-CN" w:bidi="ar"/>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关于深入开展电力安全生产标准化工作的指导意见</w:t>
      </w:r>
      <w:r>
        <w:rPr>
          <w:rFonts w:hint="eastAsia" w:ascii="宋体" w:hAnsi="宋体" w:eastAsia="宋体" w:cs="宋体"/>
          <w:color w:val="000000" w:themeColor="text1"/>
          <w:kern w:val="0"/>
          <w:szCs w:val="28"/>
          <w:lang w:val="zh-CN" w:bidi="ar"/>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电监安全〔</w:t>
      </w:r>
      <w:r>
        <w:rPr>
          <w:rFonts w:hint="eastAsia" w:ascii="宋体" w:hAnsi="宋体" w:eastAsia="宋体" w:cs="宋体"/>
          <w:color w:val="000000" w:themeColor="text1"/>
          <w:kern w:val="0"/>
          <w:szCs w:val="28"/>
          <w:lang w:val="en-US" w:bidi="ar"/>
          <w14:textFill>
            <w14:solidFill>
              <w14:schemeClr w14:val="tx1"/>
            </w14:solidFill>
          </w14:textFill>
        </w:rPr>
        <w:t>2011</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kern w:val="0"/>
          <w:szCs w:val="28"/>
          <w:lang w:val="en-US" w:bidi="ar"/>
          <w14:textFill>
            <w14:solidFill>
              <w14:schemeClr w14:val="tx1"/>
            </w14:solidFill>
          </w14:textFill>
        </w:rPr>
        <w:t>21</w:t>
      </w:r>
      <w:r>
        <w:rPr>
          <w:rFonts w:hint="eastAsia" w:ascii="宋体" w:hAnsi="宋体" w:eastAsia="宋体" w:cs="宋体"/>
          <w:color w:val="000000" w:themeColor="text1"/>
          <w:kern w:val="0"/>
          <w:szCs w:val="28"/>
          <w:lang w:bidi="ar"/>
          <w14:textFill>
            <w14:solidFill>
              <w14:schemeClr w14:val="tx1"/>
            </w14:solidFill>
          </w14:textFill>
        </w:rPr>
        <w:t>号</w:t>
      </w:r>
      <w:r>
        <w:rPr>
          <w:rFonts w:hint="eastAsia" w:ascii="宋体" w:hAnsi="宋体" w:eastAsia="宋体" w:cs="宋体"/>
          <w:color w:val="000000" w:themeColor="text1"/>
          <w:kern w:val="0"/>
          <w:szCs w:val="28"/>
          <w:lang w:val="zh-CN" w:bidi="ar"/>
          <w14:textFill>
            <w14:solidFill>
              <w14:schemeClr w14:val="tx1"/>
            </w14:solidFill>
          </w14:textFill>
        </w:rPr>
        <w:t>）；</w:t>
      </w:r>
    </w:p>
    <w:p w14:paraId="0EB4638C">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kern w:val="0"/>
          <w:szCs w:val="28"/>
          <w:lang w:bidi="ar"/>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关于印发&lt;发电企业安全生产标准化规范及达标评级标准&gt;的通知</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电监安全〔</w:t>
      </w:r>
      <w:r>
        <w:rPr>
          <w:rFonts w:hint="eastAsia" w:ascii="宋体" w:hAnsi="宋体" w:eastAsia="宋体" w:cs="宋体"/>
          <w:color w:val="000000" w:themeColor="text1"/>
          <w:kern w:val="0"/>
          <w:szCs w:val="28"/>
          <w:lang w:val="en-US" w:bidi="ar"/>
          <w14:textFill>
            <w14:solidFill>
              <w14:schemeClr w14:val="tx1"/>
            </w14:solidFill>
          </w14:textFill>
        </w:rPr>
        <w:t>2011</w:t>
      </w:r>
      <w:r>
        <w:rPr>
          <w:rFonts w:hint="eastAsia" w:ascii="宋体" w:hAnsi="宋体" w:eastAsia="宋体" w:cs="宋体"/>
          <w:color w:val="000000" w:themeColor="text1"/>
          <w:kern w:val="0"/>
          <w:szCs w:val="28"/>
          <w:lang w:bidi="ar"/>
          <w14:textFill>
            <w14:solidFill>
              <w14:schemeClr w14:val="tx1"/>
            </w14:solidFill>
          </w14:textFill>
        </w:rPr>
        <w:t>〕23号</w:t>
      </w:r>
      <w:r>
        <w:rPr>
          <w:rFonts w:hint="eastAsia" w:ascii="宋体" w:hAnsi="宋体" w:eastAsia="宋体" w:cs="宋体"/>
          <w:color w:val="000000" w:themeColor="text1"/>
          <w:szCs w:val="28"/>
          <w:lang w:val="zh-CN"/>
          <w14:textFill>
            <w14:solidFill>
              <w14:schemeClr w14:val="tx1"/>
            </w14:solidFill>
          </w14:textFill>
        </w:rPr>
        <w:t>）；</w:t>
      </w:r>
    </w:p>
    <w:p w14:paraId="680C77EB">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关于印发&lt;电力工程建设项目安全生产标准化规范及达标评级</w:t>
      </w:r>
      <w:r>
        <w:rPr>
          <w:rFonts w:hint="eastAsia" w:ascii="宋体" w:hAnsi="宋体" w:cs="宋体"/>
          <w:color w:val="000000" w:themeColor="text1"/>
          <w:kern w:val="0"/>
          <w:szCs w:val="28"/>
          <w:lang w:val="en-US" w:eastAsia="zh-CN" w:bidi="ar"/>
          <w14:textFill>
            <w14:solidFill>
              <w14:schemeClr w14:val="tx1"/>
            </w14:solidFill>
          </w14:textFill>
        </w:rPr>
        <w:t>标</w:t>
      </w:r>
      <w:r>
        <w:rPr>
          <w:rFonts w:hint="eastAsia" w:ascii="宋体" w:hAnsi="宋体" w:eastAsia="宋体" w:cs="宋体"/>
          <w:color w:val="000000" w:themeColor="text1"/>
          <w:kern w:val="0"/>
          <w:szCs w:val="28"/>
          <w:lang w:bidi="ar"/>
          <w14:textFill>
            <w14:solidFill>
              <w14:schemeClr w14:val="tx1"/>
            </w14:solidFill>
          </w14:textFill>
        </w:rPr>
        <w:t>准（试行）&gt;的通知</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电监安全〔</w:t>
      </w:r>
      <w:r>
        <w:rPr>
          <w:rFonts w:hint="eastAsia" w:ascii="宋体" w:hAnsi="宋体" w:eastAsia="宋体" w:cs="宋体"/>
          <w:color w:val="000000" w:themeColor="text1"/>
          <w:kern w:val="0"/>
          <w:szCs w:val="28"/>
          <w:lang w:val="en-US" w:bidi="ar"/>
          <w14:textFill>
            <w14:solidFill>
              <w14:schemeClr w14:val="tx1"/>
            </w14:solidFill>
          </w14:textFill>
        </w:rPr>
        <w:t>201</w:t>
      </w:r>
      <w:r>
        <w:rPr>
          <w:rFonts w:hint="eastAsia" w:ascii="宋体" w:hAnsi="宋体" w:eastAsia="宋体" w:cs="宋体"/>
          <w:color w:val="000000" w:themeColor="text1"/>
          <w:kern w:val="0"/>
          <w:szCs w:val="28"/>
          <w:lang w:val="en-US" w:eastAsia="zh-CN" w:bidi="ar"/>
          <w14:textFill>
            <w14:solidFill>
              <w14:schemeClr w14:val="tx1"/>
            </w14:solidFill>
          </w14:textFill>
        </w:rPr>
        <w:t>2</w:t>
      </w:r>
      <w:r>
        <w:rPr>
          <w:rFonts w:hint="eastAsia" w:ascii="宋体" w:hAnsi="宋体" w:eastAsia="宋体" w:cs="宋体"/>
          <w:color w:val="000000" w:themeColor="text1"/>
          <w:kern w:val="0"/>
          <w:szCs w:val="28"/>
          <w:lang w:bidi="ar"/>
          <w14:textFill>
            <w14:solidFill>
              <w14:schemeClr w14:val="tx1"/>
            </w14:solidFill>
          </w14:textFill>
        </w:rPr>
        <w:t>〕39号</w:t>
      </w:r>
      <w:r>
        <w:rPr>
          <w:rFonts w:hint="eastAsia" w:ascii="宋体" w:hAnsi="宋体" w:eastAsia="宋体" w:cs="宋体"/>
          <w:color w:val="000000" w:themeColor="text1"/>
          <w:szCs w:val="28"/>
          <w:lang w:val="zh-CN"/>
          <w14:textFill>
            <w14:solidFill>
              <w14:schemeClr w14:val="tx1"/>
            </w14:solidFill>
          </w14:textFill>
        </w:rPr>
        <w:t>）；</w:t>
      </w:r>
    </w:p>
    <w:p w14:paraId="20FD82B7">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公安部消防局</w:t>
      </w:r>
      <w:r>
        <w:rPr>
          <w:rFonts w:hint="eastAsia" w:ascii="宋体" w:hAnsi="宋体" w:cs="宋体"/>
          <w:color w:val="000000" w:themeColor="text1"/>
          <w:kern w:val="0"/>
          <w:szCs w:val="28"/>
          <w:lang w:val="en-US" w:eastAsia="zh-CN" w:bidi="ar"/>
          <w14:textFill>
            <w14:solidFill>
              <w14:schemeClr w14:val="tx1"/>
            </w14:solidFill>
          </w14:textFill>
        </w:rPr>
        <w:t>&lt;</w:t>
      </w:r>
      <w:r>
        <w:rPr>
          <w:rFonts w:hint="eastAsia" w:ascii="宋体" w:hAnsi="宋体" w:eastAsia="宋体" w:cs="宋体"/>
          <w:color w:val="000000" w:themeColor="text1"/>
          <w:kern w:val="0"/>
          <w:szCs w:val="28"/>
          <w:lang w:bidi="ar"/>
          <w14:textFill>
            <w14:solidFill>
              <w14:schemeClr w14:val="tx1"/>
            </w14:solidFill>
          </w14:textFill>
        </w:rPr>
        <w:t>关于明确适用消防设计审核和消防验收的发电、变配电工程规模的答复意见</w:t>
      </w:r>
      <w:r>
        <w:rPr>
          <w:rFonts w:hint="eastAsia" w:ascii="宋体" w:hAnsi="宋体" w:cs="宋体"/>
          <w:color w:val="000000" w:themeColor="text1"/>
          <w:kern w:val="0"/>
          <w:szCs w:val="28"/>
          <w:lang w:val="en-US" w:eastAsia="zh-CN" w:bidi="ar"/>
          <w14:textFill>
            <w14:solidFill>
              <w14:schemeClr w14:val="tx1"/>
            </w14:solidFill>
          </w14:textFill>
        </w:rPr>
        <w:t>&gt;</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公消〔2013〕259号</w:t>
      </w:r>
      <w:r>
        <w:rPr>
          <w:rFonts w:hint="eastAsia" w:ascii="宋体" w:hAnsi="宋体" w:eastAsia="宋体" w:cs="宋体"/>
          <w:color w:val="000000" w:themeColor="text1"/>
          <w:szCs w:val="28"/>
          <w:lang w:val="zh-CN"/>
          <w14:textFill>
            <w14:solidFill>
              <w14:schemeClr w14:val="tx1"/>
            </w14:solidFill>
          </w14:textFill>
        </w:rPr>
        <w:t>）；</w:t>
      </w:r>
    </w:p>
    <w:p w14:paraId="24728DC0">
      <w:pPr>
        <w:keepNext w:val="0"/>
        <w:keepLines w:val="0"/>
        <w:pageBreakBefore w:val="0"/>
        <w:widowControl w:val="0"/>
        <w:numPr>
          <w:ilvl w:val="0"/>
          <w:numId w:val="5"/>
        </w:numPr>
        <w:tabs>
          <w:tab w:val="left" w:pos="0"/>
          <w:tab w:val="left" w:pos="630"/>
          <w:tab w:val="left" w:pos="735"/>
          <w:tab w:val="left" w:pos="840"/>
          <w:tab w:val="left" w:pos="988"/>
        </w:tabs>
        <w:kinsoku/>
        <w:wordWrap/>
        <w:overflowPunct/>
        <w:topLinePunct/>
        <w:autoSpaceDE/>
        <w:autoSpaceDN/>
        <w:bidi w:val="0"/>
        <w:adjustRightInd/>
        <w:snapToGrid/>
        <w:ind w:left="0" w:leftChars="0" w:firstLine="560" w:firstLineChars="200"/>
        <w:jc w:val="left"/>
        <w:textAlignment w:val="auto"/>
        <w:outlineLvl w:val="9"/>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《国家能源局关于印发《光伏发电运营监管暂行办法》的通知》(国能监管</w:t>
      </w:r>
      <w:r>
        <w:rPr>
          <w:rFonts w:hint="eastAsia" w:ascii="宋体" w:hAnsi="宋体" w:eastAsia="宋体" w:cs="宋体"/>
          <w:color w:val="000000" w:themeColor="text1"/>
          <w:kern w:val="0"/>
          <w:szCs w:val="28"/>
          <w:lang w:bidi="ar"/>
          <w14:textFill>
            <w14:solidFill>
              <w14:schemeClr w14:val="tx1"/>
            </w14:solidFill>
          </w14:textFill>
        </w:rPr>
        <w:t>〔2013〕</w:t>
      </w:r>
      <w:r>
        <w:rPr>
          <w:rFonts w:hint="eastAsia" w:ascii="宋体" w:hAnsi="宋体" w:eastAsia="宋体" w:cs="宋体"/>
          <w:color w:val="000000" w:themeColor="text1"/>
          <w:szCs w:val="28"/>
          <w:lang w:val="zh-CN"/>
          <w14:textFill>
            <w14:solidFill>
              <w14:schemeClr w14:val="tx1"/>
            </w14:solidFill>
          </w14:textFill>
        </w:rPr>
        <w:t>459号)；</w:t>
      </w:r>
    </w:p>
    <w:p w14:paraId="6DDF3443">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kern w:val="0"/>
          <w:szCs w:val="28"/>
          <w:lang w:bidi="ar"/>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《国家能源局关于防范电力人身伤亡事故的指导意见》(国能安全</w:t>
      </w:r>
      <w:r>
        <w:rPr>
          <w:rFonts w:hint="eastAsia" w:ascii="宋体" w:hAnsi="宋体" w:eastAsia="宋体" w:cs="宋体"/>
          <w:color w:val="000000" w:themeColor="text1"/>
          <w:kern w:val="0"/>
          <w:szCs w:val="28"/>
          <w:lang w:bidi="ar"/>
          <w14:textFill>
            <w14:solidFill>
              <w14:schemeClr w14:val="tx1"/>
            </w14:solidFill>
          </w14:textFill>
        </w:rPr>
        <w:t>〔2013〕</w:t>
      </w:r>
      <w:r>
        <w:rPr>
          <w:rFonts w:hint="eastAsia" w:ascii="宋体" w:hAnsi="宋体" w:eastAsia="宋体" w:cs="宋体"/>
          <w:color w:val="000000" w:themeColor="text1"/>
          <w:szCs w:val="28"/>
          <w:lang w:val="zh-CN"/>
          <w14:textFill>
            <w14:solidFill>
              <w14:schemeClr w14:val="tx1"/>
            </w14:solidFill>
          </w14:textFill>
        </w:rPr>
        <w:t>427号)；</w:t>
      </w:r>
    </w:p>
    <w:p w14:paraId="471701D7">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kern w:val="0"/>
          <w:szCs w:val="28"/>
          <w:lang w:bidi="ar"/>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《光伏电站项目管理暂行办法》（国能新能</w:t>
      </w:r>
      <w:r>
        <w:rPr>
          <w:rFonts w:hint="eastAsia" w:ascii="宋体" w:hAnsi="宋体" w:eastAsia="宋体" w:cs="宋体"/>
          <w:color w:val="000000" w:themeColor="text1"/>
          <w:kern w:val="0"/>
          <w:szCs w:val="28"/>
          <w:lang w:bidi="ar"/>
          <w14:textFill>
            <w14:solidFill>
              <w14:schemeClr w14:val="tx1"/>
            </w14:solidFill>
          </w14:textFill>
        </w:rPr>
        <w:t>〔201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329号）；</w:t>
      </w:r>
    </w:p>
    <w:p w14:paraId="08D18337">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防止电力生产事故的二十五项重点要求</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国能安全〔201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〕161号</w:t>
      </w:r>
      <w:r>
        <w:rPr>
          <w:rFonts w:hint="eastAsia" w:ascii="宋体" w:hAnsi="宋体" w:eastAsia="宋体" w:cs="宋体"/>
          <w:color w:val="000000" w:themeColor="text1"/>
          <w:szCs w:val="28"/>
          <w:lang w:val="zh-CN"/>
          <w14:textFill>
            <w14:solidFill>
              <w14:schemeClr w14:val="tx1"/>
            </w14:solidFill>
          </w14:textFill>
        </w:rPr>
        <w:t>）；</w:t>
      </w:r>
    </w:p>
    <w:p w14:paraId="2D865091">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电力监控系统安全防护规定</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国家发展和改革委员会令第14号</w:t>
      </w:r>
      <w:r>
        <w:rPr>
          <w:rFonts w:hint="eastAsia" w:ascii="宋体" w:hAnsi="宋体" w:eastAsia="宋体" w:cs="宋体"/>
          <w:color w:val="000000" w:themeColor="text1"/>
          <w:szCs w:val="28"/>
          <w:lang w:val="zh-CN"/>
          <w14:textFill>
            <w14:solidFill>
              <w14:schemeClr w14:val="tx1"/>
            </w14:solidFill>
          </w14:textFill>
        </w:rPr>
        <w:t>）；</w:t>
      </w:r>
    </w:p>
    <w:p w14:paraId="46CA561F">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《防止电力生产事故的二十五项重点要求》(国能安全</w:t>
      </w:r>
      <w:r>
        <w:rPr>
          <w:rFonts w:hint="eastAsia" w:ascii="宋体" w:hAnsi="宋体" w:eastAsia="宋体" w:cs="宋体"/>
          <w:color w:val="000000" w:themeColor="text1"/>
          <w:kern w:val="0"/>
          <w:szCs w:val="28"/>
          <w:lang w:bidi="ar"/>
          <w14:textFill>
            <w14:solidFill>
              <w14:schemeClr w14:val="tx1"/>
            </w14:solidFill>
          </w14:textFill>
        </w:rPr>
        <w:t>〔201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161号)；</w:t>
      </w:r>
    </w:p>
    <w:p w14:paraId="23E39205">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电力企业应急预案管理办法</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国能安全〔201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〕508号</w:t>
      </w:r>
      <w:r>
        <w:rPr>
          <w:rFonts w:hint="eastAsia" w:ascii="宋体" w:hAnsi="宋体" w:eastAsia="宋体" w:cs="宋体"/>
          <w:color w:val="000000" w:themeColor="text1"/>
          <w:szCs w:val="28"/>
          <w:lang w:val="zh-CN"/>
          <w14:textFill>
            <w14:solidFill>
              <w14:schemeClr w14:val="tx1"/>
            </w14:solidFill>
          </w14:textFill>
        </w:rPr>
        <w:t>）；</w:t>
      </w:r>
    </w:p>
    <w:p w14:paraId="03263601">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《国家能源局关于进一步加强光伏电站建设与运行管理工作的通知》(国能新能</w:t>
      </w:r>
      <w:r>
        <w:rPr>
          <w:rFonts w:hint="eastAsia" w:ascii="宋体" w:hAnsi="宋体" w:eastAsia="宋体" w:cs="宋体"/>
          <w:color w:val="000000" w:themeColor="text1"/>
          <w:kern w:val="0"/>
          <w:szCs w:val="28"/>
          <w:lang w:bidi="ar"/>
          <w14:textFill>
            <w14:solidFill>
              <w14:schemeClr w14:val="tx1"/>
            </w14:solidFill>
          </w14:textFill>
        </w:rPr>
        <w:t>〔201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445号);</w:t>
      </w:r>
    </w:p>
    <w:p w14:paraId="4BDF1735">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电力企业应急预案评审和备案细则</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国能综安全〔201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〕953号</w:t>
      </w:r>
      <w:r>
        <w:rPr>
          <w:rFonts w:hint="eastAsia" w:ascii="宋体" w:hAnsi="宋体" w:eastAsia="宋体" w:cs="宋体"/>
          <w:color w:val="000000" w:themeColor="text1"/>
          <w:szCs w:val="28"/>
          <w:lang w:val="zh-CN"/>
          <w14:textFill>
            <w14:solidFill>
              <w14:schemeClr w14:val="tx1"/>
            </w14:solidFill>
          </w14:textFill>
        </w:rPr>
        <w:t>）；</w:t>
      </w:r>
    </w:p>
    <w:p w14:paraId="2DBFF2A2">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《国家能源局关于开展新建电源项目投资开发秩序专项监管工作的</w:t>
      </w:r>
      <w:bookmarkStart w:id="47" w:name="bookmark54"/>
      <w:bookmarkEnd w:id="47"/>
      <w:bookmarkStart w:id="48" w:name="bookmark52"/>
      <w:bookmarkEnd w:id="48"/>
      <w:bookmarkStart w:id="49" w:name="bookmark53"/>
      <w:bookmarkEnd w:id="49"/>
      <w:bookmarkStart w:id="50" w:name="bookmark55"/>
      <w:bookmarkEnd w:id="50"/>
      <w:r>
        <w:rPr>
          <w:rFonts w:hint="eastAsia" w:ascii="宋体" w:hAnsi="宋体" w:eastAsia="宋体" w:cs="宋体"/>
          <w:color w:val="000000" w:themeColor="text1"/>
          <w:szCs w:val="28"/>
          <w:lang w:val="zh-CN"/>
          <w14:textFill>
            <w14:solidFill>
              <w14:schemeClr w14:val="tx1"/>
            </w14:solidFill>
          </w14:textFill>
        </w:rPr>
        <w:t>通知》(国能监管</w:t>
      </w:r>
      <w:r>
        <w:rPr>
          <w:rFonts w:hint="eastAsia" w:ascii="宋体" w:hAnsi="宋体" w:eastAsia="宋体" w:cs="宋体"/>
          <w:color w:val="000000" w:themeColor="text1"/>
          <w:kern w:val="0"/>
          <w:szCs w:val="28"/>
          <w:lang w:bidi="ar"/>
          <w14:textFill>
            <w14:solidFill>
              <w14:schemeClr w14:val="tx1"/>
            </w14:solidFill>
          </w14:textFill>
        </w:rPr>
        <w:t>〔201</w:t>
      </w:r>
      <w:r>
        <w:rPr>
          <w:rFonts w:hint="eastAsia" w:ascii="宋体" w:hAnsi="宋体" w:eastAsia="宋体" w:cs="宋体"/>
          <w:color w:val="000000" w:themeColor="text1"/>
          <w:kern w:val="0"/>
          <w:szCs w:val="28"/>
          <w:lang w:val="en-US" w:eastAsia="zh-CN" w:bidi="ar"/>
          <w14:textFill>
            <w14:solidFill>
              <w14:schemeClr w14:val="tx1"/>
            </w14:solidFill>
          </w14:textFill>
        </w:rPr>
        <w:t>4</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450号)；</w:t>
      </w:r>
    </w:p>
    <w:p w14:paraId="160D071A">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《国家能源局关于下达2015年光伏发电建设实施方案的通知》（国能新能</w:t>
      </w:r>
      <w:r>
        <w:rPr>
          <w:rFonts w:hint="eastAsia" w:ascii="宋体" w:hAnsi="宋体" w:eastAsia="宋体" w:cs="宋体"/>
          <w:color w:val="000000" w:themeColor="text1"/>
          <w:kern w:val="0"/>
          <w:szCs w:val="28"/>
          <w:lang w:bidi="ar"/>
          <w14:textFill>
            <w14:solidFill>
              <w14:schemeClr w14:val="tx1"/>
            </w14:solidFill>
          </w14:textFill>
        </w:rPr>
        <w:t>〔201</w:t>
      </w:r>
      <w:r>
        <w:rPr>
          <w:rFonts w:hint="eastAsia" w:ascii="宋体" w:hAnsi="宋体" w:eastAsia="宋体" w:cs="宋体"/>
          <w:color w:val="000000" w:themeColor="text1"/>
          <w:kern w:val="0"/>
          <w:szCs w:val="28"/>
          <w:lang w:val="en-US" w:eastAsia="zh-CN" w:bidi="ar"/>
          <w14:textFill>
            <w14:solidFill>
              <w14:schemeClr w14:val="tx1"/>
            </w14:solidFill>
          </w14:textFill>
        </w:rPr>
        <w:t>5</w:t>
      </w:r>
      <w:r>
        <w:rPr>
          <w:rFonts w:hint="eastAsia" w:ascii="宋体" w:hAnsi="宋体" w:eastAsia="宋体" w:cs="宋体"/>
          <w:color w:val="000000" w:themeColor="text1"/>
          <w:kern w:val="0"/>
          <w:szCs w:val="28"/>
          <w:lang w:bidi="ar"/>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73号）</w:t>
      </w:r>
      <w:r>
        <w:rPr>
          <w:rFonts w:hint="eastAsia" w:ascii="宋体" w:hAnsi="宋体" w:cs="宋体"/>
          <w:color w:val="000000" w:themeColor="text1"/>
          <w:szCs w:val="28"/>
          <w:lang w:val="zh-CN"/>
          <w14:textFill>
            <w14:solidFill>
              <w14:schemeClr w14:val="tx1"/>
            </w14:solidFill>
          </w14:textFill>
        </w:rPr>
        <w:t>；</w:t>
      </w:r>
    </w:p>
    <w:p w14:paraId="150415A2">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kern w:val="0"/>
          <w:szCs w:val="28"/>
          <w:lang w:eastAsia="zh-CN" w:bidi="ar"/>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电力安全生产监督管理办法</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国家发展和改革委员会令第21号</w:t>
      </w:r>
      <w:r>
        <w:rPr>
          <w:rFonts w:hint="eastAsia" w:ascii="宋体" w:hAnsi="宋体" w:eastAsia="宋体" w:cs="宋体"/>
          <w:color w:val="000000" w:themeColor="text1"/>
          <w:szCs w:val="28"/>
          <w:lang w:val="zh-CN"/>
          <w14:textFill>
            <w14:solidFill>
              <w14:schemeClr w14:val="tx1"/>
            </w14:solidFill>
          </w14:textFill>
        </w:rPr>
        <w:t>）；</w:t>
      </w:r>
    </w:p>
    <w:p w14:paraId="06290389">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kern w:val="0"/>
          <w:szCs w:val="28"/>
          <w:lang w:eastAsia="zh-CN" w:bidi="ar"/>
          <w14:textFill>
            <w14:solidFill>
              <w14:schemeClr w14:val="tx1"/>
            </w14:solidFill>
          </w14:textFill>
        </w:rPr>
        <w:t>《</w:t>
      </w:r>
      <w:r>
        <w:rPr>
          <w:rFonts w:hint="eastAsia" w:ascii="宋体" w:hAnsi="宋体" w:eastAsia="宋体" w:cs="宋体"/>
          <w:color w:val="000000" w:themeColor="text1"/>
          <w:kern w:val="0"/>
          <w:szCs w:val="28"/>
          <w:lang w:bidi="ar"/>
          <w14:textFill>
            <w14:solidFill>
              <w14:schemeClr w14:val="tx1"/>
            </w14:solidFill>
          </w14:textFill>
        </w:rPr>
        <w:t>电力建</w:t>
      </w:r>
      <w:r>
        <w:rPr>
          <w:rFonts w:hint="eastAsia" w:ascii="宋体" w:hAnsi="宋体" w:eastAsia="宋体" w:cs="宋体"/>
          <w:color w:val="000000" w:themeColor="text1"/>
          <w:szCs w:val="28"/>
          <w:lang w:val="zh-CN"/>
          <w14:textFill>
            <w14:solidFill>
              <w14:schemeClr w14:val="tx1"/>
            </w14:solidFill>
          </w14:textFill>
        </w:rPr>
        <w:t>设工程施工安全监督管理办法》（国家发展和改革委员会令第28号）；</w:t>
      </w:r>
    </w:p>
    <w:p w14:paraId="45070DC6">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《电力可靠性管理办法（暂行）》（国家发展和改革委员会令第50号</w:t>
      </w:r>
      <w:r>
        <w:rPr>
          <w:rFonts w:hint="eastAsia" w:ascii="宋体" w:hAnsi="宋体" w:eastAsia="宋体" w:cs="宋体"/>
          <w:color w:val="000000" w:themeColor="text1"/>
          <w:szCs w:val="28"/>
          <w:lang w:val="zh-CN" w:eastAsia="zh-CN"/>
          <w14:textFill>
            <w14:solidFill>
              <w14:schemeClr w14:val="tx1"/>
            </w14:solidFill>
          </w14:textFill>
        </w:rPr>
        <w:t>）；</w:t>
      </w:r>
    </w:p>
    <w:p w14:paraId="0E119E17">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《关于印发&lt;企业安全生产费用提取和使用管理办法&gt;的通知》（财</w:t>
      </w:r>
      <w:r>
        <w:rPr>
          <w:rFonts w:hint="eastAsia" w:ascii="宋体" w:hAnsi="宋体" w:eastAsia="宋体" w:cs="宋体"/>
          <w:color w:val="000000" w:themeColor="text1"/>
          <w:szCs w:val="28"/>
          <w:lang w:val="en-US" w:eastAsia="zh-CN"/>
          <w14:textFill>
            <w14:solidFill>
              <w14:schemeClr w14:val="tx1"/>
            </w14:solidFill>
          </w14:textFill>
        </w:rPr>
        <w:t>资</w:t>
      </w:r>
      <w:r>
        <w:rPr>
          <w:rFonts w:hint="eastAsia" w:ascii="宋体" w:hAnsi="宋体" w:eastAsia="宋体" w:cs="宋体"/>
          <w:color w:val="000000" w:themeColor="text1"/>
          <w:szCs w:val="28"/>
          <w14:textFill>
            <w14:solidFill>
              <w14:schemeClr w14:val="tx1"/>
            </w14:solidFill>
          </w14:textFill>
        </w:rPr>
        <w:t>〔20</w:t>
      </w:r>
      <w:r>
        <w:rPr>
          <w:rFonts w:hint="eastAsia" w:ascii="宋体" w:hAnsi="宋体" w:eastAsia="宋体" w:cs="宋体"/>
          <w:color w:val="000000" w:themeColor="text1"/>
          <w:szCs w:val="28"/>
          <w:lang w:val="en-US" w:eastAsia="zh-CN"/>
          <w14:textFill>
            <w14:solidFill>
              <w14:schemeClr w14:val="tx1"/>
            </w14:solidFill>
          </w14:textFill>
        </w:rPr>
        <w:t>2</w:t>
      </w:r>
      <w:r>
        <w:rPr>
          <w:rFonts w:hint="eastAsia" w:ascii="宋体" w:hAnsi="宋体" w:eastAsia="宋体" w:cs="宋体"/>
          <w:color w:val="000000" w:themeColor="text1"/>
          <w:szCs w:val="28"/>
          <w14:textFill>
            <w14:solidFill>
              <w14:schemeClr w14:val="tx1"/>
            </w14:solidFill>
          </w14:textFill>
        </w:rPr>
        <w:t>2〕</w:t>
      </w:r>
      <w:r>
        <w:rPr>
          <w:rFonts w:hint="eastAsia" w:ascii="宋体" w:hAnsi="宋体" w:eastAsia="宋体" w:cs="宋体"/>
          <w:color w:val="000000" w:themeColor="text1"/>
          <w:szCs w:val="28"/>
          <w:lang w:val="en-US" w:eastAsia="zh-CN"/>
          <w14:textFill>
            <w14:solidFill>
              <w14:schemeClr w14:val="tx1"/>
            </w14:solidFill>
          </w14:textFill>
        </w:rPr>
        <w:t>136</w:t>
      </w:r>
      <w:r>
        <w:rPr>
          <w:rFonts w:hint="eastAsia" w:ascii="宋体" w:hAnsi="宋体" w:eastAsia="宋体" w:cs="宋体"/>
          <w:color w:val="000000" w:themeColor="text1"/>
          <w:szCs w:val="28"/>
          <w14:textFill>
            <w14:solidFill>
              <w14:schemeClr w14:val="tx1"/>
            </w14:solidFill>
          </w14:textFill>
        </w:rPr>
        <w:t>号）；</w:t>
      </w:r>
    </w:p>
    <w:p w14:paraId="0AA63DF2">
      <w:pPr>
        <w:keepNext w:val="0"/>
        <w:keepLines w:val="0"/>
        <w:pageBreakBefore w:val="0"/>
        <w:widowControl w:val="0"/>
        <w:numPr>
          <w:ilvl w:val="0"/>
          <w:numId w:val="5"/>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《产业结构调整指导目录（20</w:t>
      </w:r>
      <w:r>
        <w:rPr>
          <w:rFonts w:hint="eastAsia" w:ascii="宋体" w:hAnsi="宋体" w:eastAsia="宋体" w:cs="宋体"/>
          <w:color w:val="000000" w:themeColor="text1"/>
          <w:szCs w:val="28"/>
          <w:lang w:val="en-US" w:eastAsia="zh-CN"/>
          <w14:textFill>
            <w14:solidFill>
              <w14:schemeClr w14:val="tx1"/>
            </w14:solidFill>
          </w14:textFill>
        </w:rPr>
        <w:t>24</w:t>
      </w:r>
      <w:r>
        <w:rPr>
          <w:rFonts w:hint="eastAsia" w:ascii="宋体" w:hAnsi="宋体" w:eastAsia="宋体" w:cs="宋体"/>
          <w:color w:val="000000" w:themeColor="text1"/>
          <w:szCs w:val="28"/>
          <w:lang w:val="zh-CN"/>
          <w14:textFill>
            <w14:solidFill>
              <w14:schemeClr w14:val="tx1"/>
            </w14:solidFill>
          </w14:textFill>
        </w:rPr>
        <w:t>年本）》（国家发展改革委令第7号）。</w:t>
      </w:r>
    </w:p>
    <w:p w14:paraId="69910DFB">
      <w:pPr>
        <w:pStyle w:val="4"/>
        <w:keepNext w:val="0"/>
        <w:keepLines w:val="0"/>
        <w:pageBreakBefore w:val="0"/>
        <w:widowControl w:val="0"/>
        <w:kinsoku/>
        <w:bidi w:val="0"/>
        <w:rPr>
          <w:rFonts w:hint="eastAsia"/>
          <w:color w:val="000000" w:themeColor="text1"/>
          <w:lang w:val="en-US"/>
          <w14:textFill>
            <w14:solidFill>
              <w14:schemeClr w14:val="tx1"/>
            </w14:solidFill>
          </w14:textFill>
        </w:rPr>
      </w:pPr>
      <w:bookmarkStart w:id="51" w:name="_Toc4760"/>
      <w:bookmarkStart w:id="52" w:name="_Toc21192"/>
      <w:r>
        <w:rPr>
          <w:rFonts w:hint="eastAsia"/>
          <w:color w:val="000000" w:themeColor="text1"/>
          <w:lang w:val="en-US" w:eastAsia="zh-CN"/>
          <w14:textFill>
            <w14:solidFill>
              <w14:schemeClr w14:val="tx1"/>
            </w14:solidFill>
          </w14:textFill>
        </w:rPr>
        <w:t>云南省地方性法规及规范性文件</w:t>
      </w:r>
      <w:bookmarkEnd w:id="51"/>
      <w:bookmarkEnd w:id="52"/>
    </w:p>
    <w:p w14:paraId="62E3AD34">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FF"/>
          <w:szCs w:val="28"/>
        </w:rPr>
      </w:pPr>
      <w:r>
        <w:rPr>
          <w:rFonts w:hint="eastAsia" w:ascii="宋体" w:hAnsi="宋体" w:eastAsia="宋体" w:cs="宋体"/>
          <w:color w:val="0000FF"/>
          <w:szCs w:val="28"/>
        </w:rPr>
        <w:t>《云南省消防条例》（</w:t>
      </w:r>
      <w:r>
        <w:rPr>
          <w:rFonts w:hint="eastAsia" w:ascii="宋体" w:hAnsi="宋体" w:cs="宋体"/>
          <w:color w:val="0000FF"/>
          <w:szCs w:val="28"/>
          <w:lang w:val="en-US" w:eastAsia="zh-CN"/>
        </w:rPr>
        <w:t>根据2020年</w:t>
      </w:r>
      <w:r>
        <w:rPr>
          <w:rFonts w:ascii="宋体" w:hAnsi="宋体" w:eastAsia="宋体" w:cs="宋体"/>
          <w:i w:val="0"/>
          <w:iCs w:val="0"/>
          <w:caps w:val="0"/>
          <w:color w:val="0000FF"/>
          <w:spacing w:val="0"/>
          <w:sz w:val="25"/>
          <w:szCs w:val="25"/>
          <w:shd w:val="clear" w:fill="FFFFFF"/>
        </w:rPr>
        <w:t>11</w:t>
      </w:r>
      <w:r>
        <w:rPr>
          <w:rFonts w:hint="eastAsia" w:ascii="宋体" w:hAnsi="宋体" w:eastAsia="宋体" w:cs="宋体"/>
          <w:i w:val="0"/>
          <w:iCs w:val="0"/>
          <w:caps w:val="0"/>
          <w:color w:val="0000FF"/>
          <w:spacing w:val="0"/>
          <w:sz w:val="25"/>
          <w:szCs w:val="25"/>
          <w:shd w:val="clear" w:fill="FFFFFF"/>
        </w:rPr>
        <w:t>月</w:t>
      </w:r>
      <w:r>
        <w:rPr>
          <w:rFonts w:hint="default" w:ascii="Times New Roman" w:hAnsi="Times New Roman" w:eastAsia="宋体" w:cs="Times New Roman"/>
          <w:i w:val="0"/>
          <w:iCs w:val="0"/>
          <w:caps w:val="0"/>
          <w:color w:val="0000FF"/>
          <w:spacing w:val="0"/>
          <w:sz w:val="25"/>
          <w:szCs w:val="25"/>
          <w:shd w:val="clear" w:fill="FFFFFF"/>
        </w:rPr>
        <w:t>25</w:t>
      </w:r>
      <w:r>
        <w:rPr>
          <w:rFonts w:hint="eastAsia" w:ascii="宋体" w:hAnsi="宋体" w:eastAsia="宋体" w:cs="宋体"/>
          <w:i w:val="0"/>
          <w:iCs w:val="0"/>
          <w:caps w:val="0"/>
          <w:color w:val="0000FF"/>
          <w:spacing w:val="0"/>
          <w:sz w:val="25"/>
          <w:szCs w:val="25"/>
          <w:shd w:val="clear" w:fill="FFFFFF"/>
        </w:rPr>
        <w:t>日，云南省人大第十三届人民代表大会常委会第二十一次会议审议《云南省人民代表大会常务委员会关于修改部分地方性法规的决定》</w:t>
      </w:r>
      <w:r>
        <w:rPr>
          <w:rFonts w:hint="eastAsia" w:ascii="宋体" w:hAnsi="宋体" w:eastAsia="宋体" w:cs="宋体"/>
          <w:i w:val="0"/>
          <w:iCs w:val="0"/>
          <w:caps w:val="0"/>
          <w:color w:val="0000FF"/>
          <w:spacing w:val="0"/>
          <w:sz w:val="25"/>
          <w:szCs w:val="25"/>
          <w:shd w:val="clear" w:fill="FFFFFF"/>
          <w:lang w:val="en-US" w:eastAsia="zh-CN"/>
        </w:rPr>
        <w:t>修正）</w:t>
      </w:r>
      <w:r>
        <w:rPr>
          <w:rFonts w:hint="eastAsia" w:ascii="宋体" w:hAnsi="宋体" w:eastAsia="宋体" w:cs="宋体"/>
          <w:color w:val="0000FF"/>
          <w:szCs w:val="28"/>
        </w:rPr>
        <w:t>；</w:t>
      </w:r>
    </w:p>
    <w:p w14:paraId="646CE892">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default"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《云南省安全生产监督管理局关于进一步加强工贸行业有限空间作业安全生产工作的通知（云安监管函〔2016〕85号）》</w:t>
      </w:r>
      <w:r>
        <w:rPr>
          <w:rFonts w:hint="eastAsia" w:ascii="宋体" w:hAnsi="宋体" w:eastAsia="宋体" w:cs="宋体"/>
          <w:color w:val="000000" w:themeColor="text1"/>
          <w:szCs w:val="28"/>
          <w:lang w:eastAsia="zh-CN"/>
          <w14:textFill>
            <w14:solidFill>
              <w14:schemeClr w14:val="tx1"/>
            </w14:solidFill>
          </w14:textFill>
        </w:rPr>
        <w:t>；</w:t>
      </w:r>
    </w:p>
    <w:p w14:paraId="43EF03EF">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default" w:ascii="宋体" w:hAnsi="宋体" w:eastAsia="宋体" w:cs="宋体"/>
          <w:color w:val="000000" w:themeColor="text1"/>
          <w:szCs w:val="28"/>
          <w:lang w:val="en-US" w:eastAsia="zh-CN"/>
          <w14:textFill>
            <w14:solidFill>
              <w14:schemeClr w14:val="tx1"/>
            </w14:solidFill>
          </w14:textFill>
        </w:rPr>
      </w:pPr>
      <w:r>
        <w:rPr>
          <w:color w:val="000000" w:themeColor="text1"/>
          <w:szCs w:val="28"/>
          <w:lang w:val="zh-CN"/>
          <w14:textFill>
            <w14:solidFill>
              <w14:schemeClr w14:val="tx1"/>
            </w14:solidFill>
          </w14:textFill>
        </w:rPr>
        <w:t>《</w:t>
      </w:r>
      <w:r>
        <w:rPr>
          <w:color w:val="000000" w:themeColor="text1"/>
          <w:kern w:val="0"/>
          <w:szCs w:val="28"/>
          <w:lang w:bidi="ar"/>
          <w14:textFill>
            <w14:solidFill>
              <w14:schemeClr w14:val="tx1"/>
            </w14:solidFill>
          </w14:textFill>
        </w:rPr>
        <w:t>云南电力调度控制中心关于印发《云南电网并网电厂二次系统复核性试验管理办法（试行）》的通知</w:t>
      </w:r>
      <w:r>
        <w:rPr>
          <w:color w:val="000000" w:themeColor="text1"/>
          <w:szCs w:val="28"/>
          <w:lang w:val="zh-CN"/>
          <w14:textFill>
            <w14:solidFill>
              <w14:schemeClr w14:val="tx1"/>
            </w14:solidFill>
          </w14:textFill>
        </w:rPr>
        <w:t>》（</w:t>
      </w:r>
      <w:r>
        <w:rPr>
          <w:color w:val="000000" w:themeColor="text1"/>
          <w:kern w:val="0"/>
          <w:szCs w:val="28"/>
          <w:lang w:bidi="ar"/>
          <w14:textFill>
            <w14:solidFill>
              <w14:schemeClr w14:val="tx1"/>
            </w14:solidFill>
          </w14:textFill>
        </w:rPr>
        <w:t>调度继电</w:t>
      </w:r>
      <w:r>
        <w:rPr>
          <w:rFonts w:hint="eastAsia"/>
          <w:color w:val="000000" w:themeColor="text1"/>
          <w:kern w:val="0"/>
          <w:szCs w:val="28"/>
          <w:lang w:eastAsia="zh-CN" w:bidi="ar"/>
          <w14:textFill>
            <w14:solidFill>
              <w14:schemeClr w14:val="tx1"/>
            </w14:solidFill>
          </w14:textFill>
        </w:rPr>
        <w:t>〔</w:t>
      </w:r>
      <w:r>
        <w:rPr>
          <w:color w:val="000000" w:themeColor="text1"/>
          <w:kern w:val="0"/>
          <w:szCs w:val="28"/>
          <w:lang w:bidi="ar"/>
          <w14:textFill>
            <w14:solidFill>
              <w14:schemeClr w14:val="tx1"/>
            </w14:solidFill>
          </w14:textFill>
        </w:rPr>
        <w:t>2013</w:t>
      </w:r>
      <w:r>
        <w:rPr>
          <w:rFonts w:hint="eastAsia"/>
          <w:color w:val="000000" w:themeColor="text1"/>
          <w:kern w:val="0"/>
          <w:szCs w:val="28"/>
          <w:lang w:eastAsia="zh-CN" w:bidi="ar"/>
          <w14:textFill>
            <w14:solidFill>
              <w14:schemeClr w14:val="tx1"/>
            </w14:solidFill>
          </w14:textFill>
        </w:rPr>
        <w:t>〕</w:t>
      </w:r>
      <w:r>
        <w:rPr>
          <w:color w:val="000000" w:themeColor="text1"/>
          <w:kern w:val="0"/>
          <w:szCs w:val="28"/>
          <w:lang w:bidi="ar"/>
          <w14:textFill>
            <w14:solidFill>
              <w14:schemeClr w14:val="tx1"/>
            </w14:solidFill>
          </w14:textFill>
        </w:rPr>
        <w:t>19号</w:t>
      </w:r>
      <w:r>
        <w:rPr>
          <w:color w:val="000000" w:themeColor="text1"/>
          <w:szCs w:val="28"/>
          <w:lang w:val="zh-CN"/>
          <w14:textFill>
            <w14:solidFill>
              <w14:schemeClr w14:val="tx1"/>
            </w14:solidFill>
          </w14:textFill>
        </w:rPr>
        <w:t>）。</w:t>
      </w:r>
    </w:p>
    <w:p w14:paraId="7BACBDED">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default"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《云南省安全生产条例》（云南省第十二届人民代表大会常务委员会公告第63号，自2018年1月1日起施行）；</w:t>
      </w:r>
    </w:p>
    <w:p w14:paraId="0103076F">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szCs w:val="28"/>
          <w14:textFill>
            <w14:solidFill>
              <w14:schemeClr w14:val="tx1"/>
            </w14:solidFill>
          </w14:textFill>
        </w:rPr>
        <w:t>云南省安全生产委员会关于建立完善安全风险分级管控和隐患排查治理双重预防机制的指导意见》（云安〔2021〕3号）；</w:t>
      </w:r>
    </w:p>
    <w:p w14:paraId="03A2727A">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szCs w:val="28"/>
          <w14:textFill>
            <w14:solidFill>
              <w14:schemeClr w14:val="tx1"/>
            </w14:solidFill>
          </w14:textFill>
        </w:rPr>
        <w:t>云南省人民政府关于印发云南省生产经营单位安全生产主体责任规定的通知</w:t>
      </w: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szCs w:val="28"/>
          <w:lang w:val="en-US" w:eastAsia="zh-CN"/>
          <w14:textFill>
            <w14:solidFill>
              <w14:schemeClr w14:val="tx1"/>
            </w14:solidFill>
          </w14:textFill>
        </w:rPr>
        <w:t>云政规〔2022〕4号）；</w:t>
      </w:r>
    </w:p>
    <w:p w14:paraId="7503B095">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eastAsia="宋体" w:cs="宋体"/>
          <w:color w:val="000000" w:themeColor="text1"/>
          <w:szCs w:val="28"/>
          <w14:textFill>
            <w14:solidFill>
              <w14:schemeClr w14:val="tx1"/>
            </w14:solidFill>
          </w14:textFill>
        </w:rPr>
        <w:t>《云南省应急管理厅关于印发&lt;云南省工贸企业安全生产主体责任重点事项清单（暂行</w:t>
      </w:r>
      <w:r>
        <w:rPr>
          <w:rFonts w:hint="eastAsia" w:ascii="宋体" w:hAnsi="宋体" w:eastAsia="宋体" w:cs="宋体"/>
          <w:color w:val="000000" w:themeColor="text1"/>
          <w:szCs w:val="28"/>
          <w:lang w:eastAsia="zh-CN"/>
          <w14:textFill>
            <w14:solidFill>
              <w14:schemeClr w14:val="tx1"/>
            </w14:solidFill>
          </w14:textFill>
        </w:rPr>
        <w:t>）</w:t>
      </w:r>
      <w:r>
        <w:rPr>
          <w:rFonts w:hint="eastAsia" w:ascii="宋体" w:hAnsi="宋体" w:eastAsia="宋体" w:cs="宋体"/>
          <w:color w:val="000000" w:themeColor="text1"/>
          <w:szCs w:val="28"/>
          <w14:textFill>
            <w14:solidFill>
              <w14:schemeClr w14:val="tx1"/>
            </w14:solidFill>
          </w14:textFill>
        </w:rPr>
        <w:t>&gt;的通知》（云应急〔2022〕9号）；</w:t>
      </w:r>
    </w:p>
    <w:p w14:paraId="0302E285">
      <w:pPr>
        <w:keepNext w:val="0"/>
        <w:keepLines w:val="0"/>
        <w:pageBreakBefore w:val="0"/>
        <w:widowControl w:val="0"/>
        <w:numPr>
          <w:ilvl w:val="0"/>
          <w:numId w:val="6"/>
        </w:numPr>
        <w:tabs>
          <w:tab w:val="left" w:pos="0"/>
          <w:tab w:val="left" w:pos="630"/>
          <w:tab w:val="left" w:pos="735"/>
          <w:tab w:val="left" w:pos="840"/>
          <w:tab w:val="left" w:pos="988"/>
        </w:tabs>
        <w:kinsoku/>
        <w:wordWrap/>
        <w:topLinePunct/>
        <w:bidi w:val="0"/>
        <w:ind w:left="0" w:leftChars="0" w:firstLine="560" w:firstLineChars="200"/>
        <w:jc w:val="left"/>
        <w:rPr>
          <w:color w:val="000000" w:themeColor="text1"/>
          <w14:textFill>
            <w14:solidFill>
              <w14:schemeClr w14:val="tx1"/>
            </w14:solidFill>
          </w14:textFill>
        </w:rPr>
      </w:pPr>
      <w:r>
        <w:rPr>
          <w:rFonts w:hint="eastAsia" w:ascii="宋体" w:hAnsi="宋体" w:eastAsia="宋体" w:cs="宋体"/>
          <w:color w:val="000000" w:themeColor="text1"/>
          <w:szCs w:val="28"/>
          <w:lang w:val="en-US" w:eastAsia="zh-CN"/>
          <w14:textFill>
            <w14:solidFill>
              <w14:schemeClr w14:val="tx1"/>
            </w14:solidFill>
          </w14:textFill>
        </w:rPr>
        <w:t>《云南省生产安全事故应急办法》（</w:t>
      </w:r>
      <w:r>
        <w:rPr>
          <w:rFonts w:hint="eastAsia" w:cs="宋体"/>
          <w:color w:val="000000" w:themeColor="text1"/>
          <w:szCs w:val="28"/>
          <w:lang w:val="en-US" w:eastAsia="zh-CN"/>
          <w14:textFill>
            <w14:solidFill>
              <w14:schemeClr w14:val="tx1"/>
            </w14:solidFill>
          </w14:textFill>
        </w:rPr>
        <w:t>云南</w:t>
      </w:r>
      <w:r>
        <w:rPr>
          <w:rFonts w:hint="eastAsia" w:ascii="宋体" w:hAnsi="宋体" w:eastAsia="宋体" w:cs="宋体"/>
          <w:color w:val="000000" w:themeColor="text1"/>
          <w:szCs w:val="28"/>
          <w:lang w:val="en-US" w:eastAsia="zh-CN"/>
          <w14:textFill>
            <w14:solidFill>
              <w14:schemeClr w14:val="tx1"/>
            </w14:solidFill>
          </w14:textFill>
        </w:rPr>
        <w:t>省政府令第227号，自2024年2月1日起实施）</w:t>
      </w:r>
      <w:r>
        <w:rPr>
          <w:rFonts w:hint="eastAsia" w:ascii="宋体" w:hAnsi="宋体" w:eastAsia="宋体" w:cs="宋体"/>
          <w:color w:val="000000" w:themeColor="text1"/>
          <w:szCs w:val="28"/>
          <w:lang w:eastAsia="zh-CN"/>
          <w14:textFill>
            <w14:solidFill>
              <w14:schemeClr w14:val="tx1"/>
            </w14:solidFill>
          </w14:textFill>
        </w:rPr>
        <w:t>。</w:t>
      </w:r>
    </w:p>
    <w:p w14:paraId="27001C2B">
      <w:pPr>
        <w:pStyle w:val="4"/>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53" w:name="_Toc14181"/>
      <w:r>
        <w:rPr>
          <w:color w:val="000000" w:themeColor="text1"/>
          <w14:textFill>
            <w14:solidFill>
              <w14:schemeClr w14:val="tx1"/>
            </w14:solidFill>
          </w14:textFill>
        </w:rPr>
        <w:t>国家标准</w:t>
      </w:r>
      <w:bookmarkEnd w:id="53"/>
    </w:p>
    <w:tbl>
      <w:tblPr>
        <w:tblStyle w:val="2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4"/>
        <w:gridCol w:w="5229"/>
        <w:gridCol w:w="2051"/>
        <w:gridCol w:w="1344"/>
      </w:tblGrid>
      <w:tr w14:paraId="4AB5B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689C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序号</w:t>
            </w: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58F8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标准名称</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1CB5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标准编号</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1FA8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实施日期</w:t>
            </w:r>
          </w:p>
        </w:tc>
      </w:tr>
      <w:tr w14:paraId="49E73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4026E">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8290">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3～110kV高压配电装置设计规范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B89A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GB50060-2008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BD90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2009-06-01</w:t>
            </w:r>
          </w:p>
        </w:tc>
      </w:tr>
      <w:tr w14:paraId="37B3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BE13E">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91FEE">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35kV～110kV变电站设计规范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899C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GB50059-2011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4BCC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2012-08-01</w:t>
            </w:r>
          </w:p>
        </w:tc>
      </w:tr>
      <w:tr w14:paraId="6F783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770DB">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44D22">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安全标志及其使用导则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A0350">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GB2894-2008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93FE0">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2009-10-01</w:t>
            </w:r>
          </w:p>
        </w:tc>
      </w:tr>
      <w:tr w14:paraId="0C04B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13A63">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E8D2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安全防范工程技术标准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615F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GB50348-2018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5BE0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2018-12-01</w:t>
            </w:r>
          </w:p>
        </w:tc>
      </w:tr>
      <w:tr w14:paraId="73158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1C7E3">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63B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安全色</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D108E">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GB2893-2008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BEA5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2009-10-01</w:t>
            </w:r>
          </w:p>
        </w:tc>
      </w:tr>
      <w:tr w14:paraId="2541D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00C4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D924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爆炸危险环境电力装置设计规范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D76A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GB50058-2014</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43D1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2014-10-01</w:t>
            </w:r>
          </w:p>
        </w:tc>
      </w:tr>
      <w:tr w14:paraId="5726B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3EC3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8A28E">
            <w:pPr>
              <w:pStyle w:val="43"/>
              <w:keepNext w:val="0"/>
              <w:keepLines w:val="0"/>
              <w:pageBreakBefore w:val="0"/>
              <w:widowControl w:val="0"/>
              <w:kinsoku/>
              <w:wordWrap/>
              <w:overflowPunct/>
              <w:topLinePunct w:val="0"/>
              <w:autoSpaceDE/>
              <w:autoSpaceDN/>
              <w:bidi w:val="0"/>
              <w:spacing w:line="240" w:lineRule="auto"/>
              <w:ind w:firstLine="0" w:firstLineChars="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道路交通标志和标线第1部分：总则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7746B">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GB5768.1-2009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3CDD8">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2009-07-01</w:t>
            </w:r>
          </w:p>
        </w:tc>
      </w:tr>
      <w:tr w14:paraId="15F3D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F924">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E041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道路交通标志和标线第2部分：道路交通标志</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2911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GB5768.2-2022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CD80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2022-10-01</w:t>
            </w:r>
          </w:p>
        </w:tc>
      </w:tr>
      <w:tr w14:paraId="13EF1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4293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00D7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道路交通标志和标线第3部分：道路交通标线</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260D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GB5768.3-2009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C3E5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2009-07-01</w:t>
            </w:r>
          </w:p>
        </w:tc>
      </w:tr>
      <w:tr w14:paraId="57660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8868">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C357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低压配电设计规范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31B8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GB50054-2011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97B55">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2012-06-01</w:t>
            </w:r>
          </w:p>
        </w:tc>
      </w:tr>
      <w:tr w14:paraId="507C0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CE4B2">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C37B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电力安全工作规程发电厂和变电站电气部分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1DBB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GB26860-2011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9D0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2012-06-01</w:t>
            </w:r>
          </w:p>
        </w:tc>
      </w:tr>
      <w:tr w14:paraId="2F9EB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B4E7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61710">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电力工程电缆设计标准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BC47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GB50217-2018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2AFE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2018-09-01</w:t>
            </w:r>
          </w:p>
        </w:tc>
      </w:tr>
      <w:tr w14:paraId="6D7C3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732F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581A1">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电力设施抗震设计规范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4AC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GB50260-2013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0F03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2013-09-01</w:t>
            </w:r>
          </w:p>
        </w:tc>
      </w:tr>
      <w:tr w14:paraId="6AE96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7F2A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4A28">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电力系统二次回路保护及自动化机柜（屏）基本尺寸系列</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0156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GB/T 7267-2015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8B6E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2015-12-01</w:t>
            </w:r>
          </w:p>
        </w:tc>
      </w:tr>
      <w:tr w14:paraId="4979F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3B7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6A3B">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电力装置的继电保护和自动装置设计规范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7E0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GB/T50062-2008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AA3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2009-06-01</w:t>
            </w:r>
          </w:p>
        </w:tc>
      </w:tr>
      <w:tr w14:paraId="4EE0F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F4107">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67A39">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电气装置安装工程电气设备交接试验标准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59D1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GB50150-2016</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E57B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2016-12-01</w:t>
            </w:r>
          </w:p>
        </w:tc>
      </w:tr>
      <w:tr w14:paraId="16CE9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1CDE8">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CB30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防洪标准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1D00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GB50201-2014</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FADE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2015-05-01</w:t>
            </w:r>
          </w:p>
        </w:tc>
      </w:tr>
      <w:tr w14:paraId="76851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C6835">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B878">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防止静电事故通用导则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A227E">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GB12158-2006</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8724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2006-12-01</w:t>
            </w:r>
          </w:p>
        </w:tc>
      </w:tr>
      <w:tr w14:paraId="3B434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76C67">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57470">
            <w:pPr>
              <w:pStyle w:val="43"/>
              <w:keepNext w:val="0"/>
              <w:keepLines w:val="0"/>
              <w:pageBreakBefore w:val="0"/>
              <w:widowControl w:val="0"/>
              <w:kinsoku/>
              <w:wordWrap/>
              <w:overflowPunct/>
              <w:topLinePunct w:val="0"/>
              <w:autoSpaceDE/>
              <w:autoSpaceDN/>
              <w:bidi w:val="0"/>
              <w:spacing w:line="240" w:lineRule="auto"/>
              <w:jc w:val="both"/>
              <w:rPr>
                <w:rFonts w:hint="default" w:ascii="宋体" w:hAnsi="宋体" w:eastAsia="宋体" w:cs="宋体"/>
                <w:b w:val="0"/>
                <w:bCs w:val="0"/>
                <w:color w:val="000000" w:themeColor="text1"/>
                <w:sz w:val="21"/>
                <w:szCs w:val="21"/>
                <w:lang w:val="en-US"/>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钢结构设计</w:t>
            </w:r>
            <w:r>
              <w:rPr>
                <w:rFonts w:hint="eastAsia" w:ascii="宋体" w:hAnsi="宋体" w:cs="宋体"/>
                <w:b w:val="0"/>
                <w:bCs w:val="0"/>
                <w:color w:val="000000" w:themeColor="text1"/>
                <w:sz w:val="21"/>
                <w:szCs w:val="21"/>
                <w:lang w:val="en-US" w:eastAsia="zh-CN"/>
                <w14:textFill>
                  <w14:solidFill>
                    <w14:schemeClr w14:val="tx1"/>
                  </w14:solidFill>
                </w14:textFill>
              </w:rPr>
              <w:t>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A5AF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GB50017-2017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3048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2018-07-01</w:t>
            </w:r>
          </w:p>
        </w:tc>
      </w:tr>
      <w:tr w14:paraId="6F4FB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75C04">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DA28B">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个体防护装备配备规范第1部分：总则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DB26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GB39800.1-2020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3946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2022-01-01</w:t>
            </w:r>
          </w:p>
        </w:tc>
      </w:tr>
      <w:tr w14:paraId="6936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A6F11">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5505">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工业管道的基本识别色、识别符号和安全标识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A66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GB7231-2003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D2A20">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2003-10-01</w:t>
            </w:r>
          </w:p>
        </w:tc>
      </w:tr>
      <w:tr w14:paraId="3C400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B5CAC">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70F9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工业建筑供暖通风与空气调节设计规范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0CA9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GB50019-2015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8BBA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2016-02-01</w:t>
            </w:r>
          </w:p>
        </w:tc>
      </w:tr>
      <w:tr w14:paraId="2E600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D53E7">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D178">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工业企业总平面设计规范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9CD97">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GB50187-2012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286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2012-08-01</w:t>
            </w:r>
          </w:p>
        </w:tc>
      </w:tr>
      <w:tr w14:paraId="3F86F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BFD22">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D69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工作场所有害因素职业接触限值第1部分：化学有害因素</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3BC57">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GBZ2.1-2019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8EF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2020-04-01</w:t>
            </w:r>
          </w:p>
        </w:tc>
      </w:tr>
      <w:tr w14:paraId="487B0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C4817">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FD06E">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工作场所有害因素职业接触限值第2部分</w:t>
            </w:r>
            <w:r>
              <w:rPr>
                <w:rFonts w:hint="eastAsia" w:ascii="宋体" w:hAnsi="宋体" w:cs="宋体"/>
                <w:b w:val="0"/>
                <w:bCs w:val="0"/>
                <w:color w:val="000000" w:themeColor="text1"/>
                <w:sz w:val="21"/>
                <w:szCs w:val="21"/>
                <w:lang w:val="en-US" w:eastAsia="zh-CN"/>
                <w14:textFill>
                  <w14:solidFill>
                    <w14:schemeClr w14:val="tx1"/>
                  </w14:solidFill>
                </w14:textFill>
              </w:rPr>
              <w:t>：</w:t>
            </w:r>
            <w:r>
              <w:rPr>
                <w:rFonts w:hint="eastAsia" w:ascii="宋体" w:hAnsi="宋体" w:eastAsia="宋体" w:cs="宋体"/>
                <w:b w:val="0"/>
                <w:bCs w:val="0"/>
                <w:color w:val="000000" w:themeColor="text1"/>
                <w:sz w:val="21"/>
                <w:szCs w:val="21"/>
                <w:lang w:val="en-US" w:eastAsia="zh-CN"/>
                <w14:textFill>
                  <w14:solidFill>
                    <w14:schemeClr w14:val="tx1"/>
                  </w14:solidFill>
                </w14:textFill>
              </w:rPr>
              <w:t>物理因素</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F7F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GBZ2.2-2007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4E0D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2007-11-01</w:t>
            </w:r>
          </w:p>
        </w:tc>
      </w:tr>
      <w:tr w14:paraId="7C0C4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4584">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C2AD2">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工作场所职业病危害警示标识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1B4D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GBZ158-2003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E7EE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2003-12-01</w:t>
            </w:r>
          </w:p>
        </w:tc>
      </w:tr>
      <w:tr w14:paraId="62641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B97D9">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41F46">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供配电系统设计规范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4F87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GB50052-2009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A7EC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2010-07-01</w:t>
            </w:r>
          </w:p>
        </w:tc>
      </w:tr>
      <w:tr w14:paraId="2A895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59948">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EF780">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构筑物抗震设计规范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D4A0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GB50191-2012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AC06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2012-10-01</w:t>
            </w:r>
          </w:p>
        </w:tc>
      </w:tr>
      <w:tr w14:paraId="4070A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87AC">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E6CF6">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固定式钢梯及平台安全要求第1部分：钢直梯</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5307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GB4053.1-2009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6983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2009-12-01</w:t>
            </w:r>
          </w:p>
        </w:tc>
      </w:tr>
      <w:tr w14:paraId="4FC67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4CA5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521AD">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固定式钢梯及平台安全要求第2部分：钢斜梯</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F8B4E">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GB4053.2-2009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BC11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2009-12-01</w:t>
            </w:r>
          </w:p>
        </w:tc>
      </w:tr>
      <w:tr w14:paraId="45F86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EA057">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F8D99">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固定式钢梯及平台安全要求第3部分：工业防护栏杆及钢平台</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296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GB4053.3-2009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F8505">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2009-12-01</w:t>
            </w:r>
          </w:p>
        </w:tc>
      </w:tr>
      <w:tr w14:paraId="2DB56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76E0A">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E30C">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光伏（PV）系统电网接口特性</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9612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GB/T20046-2006</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1B95">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2006-02-01</w:t>
            </w:r>
          </w:p>
        </w:tc>
      </w:tr>
      <w:tr w14:paraId="25C59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717F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1519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光伏发电工程施工组织设计规范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D0F4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GB/T50795-2012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DDEE">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2012-11-01</w:t>
            </w:r>
          </w:p>
        </w:tc>
      </w:tr>
      <w:tr w14:paraId="5A4B7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6566E">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E4BE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光伏发电工程验收规范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1059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GB/T50796-2012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EF6E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2012-11-01</w:t>
            </w:r>
          </w:p>
        </w:tc>
      </w:tr>
      <w:tr w14:paraId="220A62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B266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B89D8">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光伏发电站安全规程</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2184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GB/T35694-2017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2FB6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2018-07-01</w:t>
            </w:r>
          </w:p>
        </w:tc>
      </w:tr>
      <w:tr w14:paraId="78957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D3388">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FC4B8">
            <w:pPr>
              <w:pStyle w:val="43"/>
              <w:keepNext w:val="0"/>
              <w:keepLines w:val="0"/>
              <w:pageBreakBefore w:val="0"/>
              <w:widowControl w:val="0"/>
              <w:kinsoku/>
              <w:wordWrap/>
              <w:overflowPunct/>
              <w:topLinePunct w:val="0"/>
              <w:autoSpaceDE/>
              <w:autoSpaceDN/>
              <w:bidi w:val="0"/>
              <w:spacing w:line="240" w:lineRule="auto"/>
              <w:ind w:firstLine="0" w:firstLineChars="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光伏发电站接入电力系统技术规定</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57D2E">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 19964-2024</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1A7D7">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2024-03-15</w:t>
            </w:r>
          </w:p>
        </w:tc>
      </w:tr>
      <w:tr w14:paraId="58E43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1D055">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5BA2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光伏发电站设计规范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187D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GB50797-2012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A01B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2012-11-01</w:t>
            </w:r>
          </w:p>
        </w:tc>
      </w:tr>
      <w:tr w14:paraId="782B3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FEC5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D59D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光伏发电站施工规范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6B5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GB50794-2012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2CAF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2012-11-01</w:t>
            </w:r>
          </w:p>
        </w:tc>
      </w:tr>
      <w:tr w14:paraId="041F2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9DCE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1EE7E">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光伏发电站运行规程</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4626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GB/T38335-2019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F17B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2020-07-01</w:t>
            </w:r>
          </w:p>
        </w:tc>
      </w:tr>
      <w:tr w14:paraId="56B7C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F8F43">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3F36C">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焊接与切割安全</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8C44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GB9448-1999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5C38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2000-05-01</w:t>
            </w:r>
          </w:p>
        </w:tc>
      </w:tr>
      <w:tr w14:paraId="3E9FA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CDCD3">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5A505">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混凝土结构设计</w:t>
            </w:r>
            <w:r>
              <w:rPr>
                <w:rFonts w:hint="eastAsia" w:ascii="宋体" w:hAnsi="宋体" w:cs="宋体"/>
                <w:b w:val="0"/>
                <w:bCs w:val="0"/>
                <w:color w:val="000000" w:themeColor="text1"/>
                <w:sz w:val="21"/>
                <w:szCs w:val="21"/>
                <w:lang w:val="en-US" w:eastAsia="zh-CN"/>
                <w14:textFill>
                  <w14:solidFill>
                    <w14:schemeClr w14:val="tx1"/>
                  </w14:solidFill>
                </w14:textFill>
              </w:rPr>
              <w:t>标准</w:t>
            </w:r>
            <w:r>
              <w:rPr>
                <w:rFonts w:hint="eastAsia" w:ascii="宋体" w:hAnsi="宋体" w:eastAsia="宋体" w:cs="宋体"/>
                <w:b w:val="0"/>
                <w:bCs w:val="0"/>
                <w:color w:val="000000" w:themeColor="text1"/>
                <w:sz w:val="21"/>
                <w:szCs w:val="21"/>
                <w:lang w:val="en-US" w:eastAsia="zh-CN"/>
                <w14:textFill>
                  <w14:solidFill>
                    <w14:schemeClr w14:val="tx1"/>
                  </w14:solidFill>
                </w14:textFill>
              </w:rPr>
              <w:t>（20</w:t>
            </w:r>
            <w:r>
              <w:rPr>
                <w:rFonts w:hint="eastAsia" w:ascii="宋体" w:hAnsi="宋体" w:cs="宋体"/>
                <w:b w:val="0"/>
                <w:bCs w:val="0"/>
                <w:color w:val="000000" w:themeColor="text1"/>
                <w:sz w:val="21"/>
                <w:szCs w:val="21"/>
                <w:lang w:val="en-US" w:eastAsia="zh-CN"/>
                <w14:textFill>
                  <w14:solidFill>
                    <w14:schemeClr w14:val="tx1"/>
                  </w14:solidFill>
                </w14:textFill>
              </w:rPr>
              <w:t>24</w:t>
            </w:r>
            <w:r>
              <w:rPr>
                <w:rFonts w:hint="eastAsia" w:ascii="宋体" w:hAnsi="宋体" w:eastAsia="宋体" w:cs="宋体"/>
                <w:b w:val="0"/>
                <w:bCs w:val="0"/>
                <w:color w:val="000000" w:themeColor="text1"/>
                <w:sz w:val="21"/>
                <w:szCs w:val="21"/>
                <w:lang w:val="en-US" w:eastAsia="zh-CN"/>
                <w14:textFill>
                  <w14:solidFill>
                    <w14:schemeClr w14:val="tx1"/>
                  </w14:solidFill>
                </w14:textFill>
              </w:rPr>
              <w:t>年版）</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44E2E">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GB/T 50010-2010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1B565">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w:t>
            </w:r>
            <w:r>
              <w:rPr>
                <w:rFonts w:hint="eastAsia" w:ascii="宋体" w:hAnsi="宋体" w:cs="宋体"/>
                <w:b w:val="0"/>
                <w:bCs w:val="0"/>
                <w:color w:val="000000" w:themeColor="text1"/>
                <w:sz w:val="21"/>
                <w:szCs w:val="21"/>
                <w:lang w:val="en-US" w:eastAsia="zh-CN"/>
                <w14:textFill>
                  <w14:solidFill>
                    <w14:schemeClr w14:val="tx1"/>
                  </w14:solidFill>
                </w14:textFill>
              </w:rPr>
              <w:t>24</w:t>
            </w:r>
            <w:r>
              <w:rPr>
                <w:rFonts w:hint="eastAsia" w:ascii="宋体" w:hAnsi="宋体" w:eastAsia="宋体" w:cs="宋体"/>
                <w:b w:val="0"/>
                <w:bCs w:val="0"/>
                <w:color w:val="000000" w:themeColor="text1"/>
                <w:sz w:val="21"/>
                <w:szCs w:val="21"/>
                <w:lang w:val="en-US" w:eastAsia="zh-CN"/>
                <w14:textFill>
                  <w14:solidFill>
                    <w14:schemeClr w14:val="tx1"/>
                  </w14:solidFill>
                </w14:textFill>
              </w:rPr>
              <w:t>-0</w:t>
            </w:r>
            <w:r>
              <w:rPr>
                <w:rFonts w:hint="eastAsia" w:ascii="宋体" w:hAnsi="宋体" w:cs="宋体"/>
                <w:b w:val="0"/>
                <w:bCs w:val="0"/>
                <w:color w:val="000000" w:themeColor="text1"/>
                <w:sz w:val="21"/>
                <w:szCs w:val="21"/>
                <w:lang w:val="en-US" w:eastAsia="zh-CN"/>
                <w14:textFill>
                  <w14:solidFill>
                    <w14:schemeClr w14:val="tx1"/>
                  </w14:solidFill>
                </w14:textFill>
              </w:rPr>
              <w:t>8</w:t>
            </w:r>
            <w:r>
              <w:rPr>
                <w:rFonts w:hint="eastAsia" w:ascii="宋体" w:hAnsi="宋体" w:eastAsia="宋体" w:cs="宋体"/>
                <w:b w:val="0"/>
                <w:bCs w:val="0"/>
                <w:color w:val="000000" w:themeColor="text1"/>
                <w:sz w:val="21"/>
                <w:szCs w:val="21"/>
                <w:lang w:val="en-US" w:eastAsia="zh-CN"/>
                <w14:textFill>
                  <w14:solidFill>
                    <w14:schemeClr w14:val="tx1"/>
                  </w14:solidFill>
                </w14:textFill>
              </w:rPr>
              <w:t>-01</w:t>
            </w:r>
          </w:p>
        </w:tc>
      </w:tr>
      <w:tr w14:paraId="7E9AD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4F81E">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65F5D">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火灾自动报警系统设计规范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FE85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GB50116-2013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2A25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2014-05-01</w:t>
            </w:r>
          </w:p>
        </w:tc>
      </w:tr>
      <w:tr w14:paraId="2A751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B13BE">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D0C7">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机械安全防护装置固定式和活动式防护装置的设计与制造一般要求</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4B977">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GB/T8196-2018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A750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2019-07-01</w:t>
            </w:r>
          </w:p>
        </w:tc>
      </w:tr>
      <w:tr w14:paraId="597D2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81140">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1D849">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机械安全防止上下肢触及危险区的安全距离</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D1B0E">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GB/T23821-2022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7F2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2022-11-08</w:t>
            </w:r>
          </w:p>
        </w:tc>
      </w:tr>
      <w:tr w14:paraId="74D46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3D3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6BA1">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继电保护和安全自动装置技术规程</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2452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GB/T14285-2023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4EEE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2024-03-01</w:t>
            </w:r>
          </w:p>
        </w:tc>
      </w:tr>
      <w:tr w14:paraId="0B08B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9F84">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961A4">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建设工程施工现场消防安全技术规范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F34E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GB50720-2011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F653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2011-08-01</w:t>
            </w:r>
          </w:p>
        </w:tc>
      </w:tr>
      <w:tr w14:paraId="107F3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A0B6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3DA3E">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建筑采光设计标准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6A0A5">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GB50033-2013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FC2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2013-05-01</w:t>
            </w:r>
          </w:p>
        </w:tc>
      </w:tr>
      <w:tr w14:paraId="4A14D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C9F03">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7EF34">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建筑工程抗震设防分类标准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2104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GB50223-2008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D76F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2008-07-30</w:t>
            </w:r>
          </w:p>
        </w:tc>
      </w:tr>
      <w:tr w14:paraId="5E0EE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75D09">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A29C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建筑抗震设计</w:t>
            </w:r>
            <w:r>
              <w:rPr>
                <w:rFonts w:hint="eastAsia" w:ascii="宋体" w:hAnsi="宋体" w:cs="宋体"/>
                <w:b w:val="0"/>
                <w:bCs w:val="0"/>
                <w:color w:val="000000" w:themeColor="text1"/>
                <w:sz w:val="21"/>
                <w:szCs w:val="21"/>
                <w:lang w:val="en-US" w:eastAsia="zh-CN"/>
                <w14:textFill>
                  <w14:solidFill>
                    <w14:schemeClr w14:val="tx1"/>
                  </w14:solidFill>
                </w14:textFill>
              </w:rPr>
              <w:t>标准</w:t>
            </w:r>
            <w:r>
              <w:rPr>
                <w:rFonts w:hint="eastAsia" w:ascii="宋体" w:hAnsi="宋体" w:eastAsia="宋体" w:cs="宋体"/>
                <w:b w:val="0"/>
                <w:bCs w:val="0"/>
                <w:color w:val="000000" w:themeColor="text1"/>
                <w:sz w:val="21"/>
                <w:szCs w:val="21"/>
                <w:lang w:val="en-US" w:eastAsia="zh-CN"/>
                <w14:textFill>
                  <w14:solidFill>
                    <w14:schemeClr w14:val="tx1"/>
                  </w14:solidFill>
                </w14:textFill>
              </w:rPr>
              <w:t>（20</w:t>
            </w:r>
            <w:r>
              <w:rPr>
                <w:rFonts w:hint="eastAsia" w:ascii="宋体" w:hAnsi="宋体" w:cs="宋体"/>
                <w:b w:val="0"/>
                <w:bCs w:val="0"/>
                <w:color w:val="000000" w:themeColor="text1"/>
                <w:sz w:val="21"/>
                <w:szCs w:val="21"/>
                <w:lang w:val="en-US" w:eastAsia="zh-CN"/>
                <w14:textFill>
                  <w14:solidFill>
                    <w14:schemeClr w14:val="tx1"/>
                  </w14:solidFill>
                </w14:textFill>
              </w:rPr>
              <w:t>24</w:t>
            </w:r>
            <w:r>
              <w:rPr>
                <w:rFonts w:hint="eastAsia" w:ascii="宋体" w:hAnsi="宋体" w:eastAsia="宋体" w:cs="宋体"/>
                <w:b w:val="0"/>
                <w:bCs w:val="0"/>
                <w:color w:val="000000" w:themeColor="text1"/>
                <w:sz w:val="21"/>
                <w:szCs w:val="21"/>
                <w:lang w:val="en-US" w:eastAsia="zh-CN"/>
                <w14:textFill>
                  <w14:solidFill>
                    <w14:schemeClr w14:val="tx1"/>
                  </w14:solidFill>
                </w14:textFill>
              </w:rPr>
              <w:t>年版）</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7B90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GB50011-2010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1B8D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w:t>
            </w:r>
            <w:r>
              <w:rPr>
                <w:rFonts w:hint="eastAsia" w:ascii="宋体" w:hAnsi="宋体" w:cs="宋体"/>
                <w:b w:val="0"/>
                <w:bCs w:val="0"/>
                <w:color w:val="000000" w:themeColor="text1"/>
                <w:sz w:val="21"/>
                <w:szCs w:val="21"/>
                <w:lang w:val="en-US" w:eastAsia="zh-CN"/>
                <w14:textFill>
                  <w14:solidFill>
                    <w14:schemeClr w14:val="tx1"/>
                  </w14:solidFill>
                </w14:textFill>
              </w:rPr>
              <w:t>24</w:t>
            </w:r>
            <w:r>
              <w:rPr>
                <w:rFonts w:hint="eastAsia" w:ascii="宋体" w:hAnsi="宋体" w:eastAsia="宋体" w:cs="宋体"/>
                <w:b w:val="0"/>
                <w:bCs w:val="0"/>
                <w:color w:val="000000" w:themeColor="text1"/>
                <w:sz w:val="21"/>
                <w:szCs w:val="21"/>
                <w:lang w:val="en-US" w:eastAsia="zh-CN"/>
                <w14:textFill>
                  <w14:solidFill>
                    <w14:schemeClr w14:val="tx1"/>
                  </w14:solidFill>
                </w14:textFill>
              </w:rPr>
              <w:t>-</w:t>
            </w:r>
            <w:r>
              <w:rPr>
                <w:rFonts w:hint="eastAsia" w:ascii="宋体" w:hAnsi="宋体" w:cs="宋体"/>
                <w:b w:val="0"/>
                <w:bCs w:val="0"/>
                <w:color w:val="000000" w:themeColor="text1"/>
                <w:sz w:val="21"/>
                <w:szCs w:val="21"/>
                <w:lang w:val="en-US" w:eastAsia="zh-CN"/>
                <w14:textFill>
                  <w14:solidFill>
                    <w14:schemeClr w14:val="tx1"/>
                  </w14:solidFill>
                </w14:textFill>
              </w:rPr>
              <w:t>08</w:t>
            </w:r>
            <w:r>
              <w:rPr>
                <w:rFonts w:hint="eastAsia" w:ascii="宋体" w:hAnsi="宋体" w:eastAsia="宋体" w:cs="宋体"/>
                <w:b w:val="0"/>
                <w:bCs w:val="0"/>
                <w:color w:val="000000" w:themeColor="text1"/>
                <w:sz w:val="21"/>
                <w:szCs w:val="21"/>
                <w:lang w:val="en-US" w:eastAsia="zh-CN"/>
                <w14:textFill>
                  <w14:solidFill>
                    <w14:schemeClr w14:val="tx1"/>
                  </w14:solidFill>
                </w14:textFill>
              </w:rPr>
              <w:t>-01</w:t>
            </w:r>
          </w:p>
        </w:tc>
      </w:tr>
      <w:tr w14:paraId="796F8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4BA01">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A1C40">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建筑灭火器配置设计规范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2ED4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GB50140-2005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53EF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2005-10-01</w:t>
            </w:r>
          </w:p>
        </w:tc>
      </w:tr>
      <w:tr w14:paraId="5CDC1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1B059">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886D">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建筑内部装修设计防火规范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1B8D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GB50222-2017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ACE8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2018-04-01</w:t>
            </w:r>
          </w:p>
        </w:tc>
      </w:tr>
      <w:tr w14:paraId="02C31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F2354">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A0BA8">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建筑设计防火规范(2018年版)</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9B3D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GB50016-2014</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FE56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2015-05-01</w:t>
            </w:r>
          </w:p>
        </w:tc>
      </w:tr>
      <w:tr w14:paraId="624DA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EAD68">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87579">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建筑物电气装置　第5-51部分：电气设备的选择和安装通用规则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8D6C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GB/T16895.18-2010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AAAE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2011-07-01</w:t>
            </w:r>
          </w:p>
        </w:tc>
      </w:tr>
      <w:tr w14:paraId="35735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C20A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3EFA6">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建筑物防雷设计规范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9D27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GB50057-2010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B0BB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2011-10-01</w:t>
            </w:r>
          </w:p>
        </w:tc>
      </w:tr>
      <w:tr w14:paraId="695D0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91B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EC6C">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FF0000"/>
                <w:sz w:val="21"/>
                <w:szCs w:val="21"/>
              </w:rPr>
            </w:pPr>
            <w:r>
              <w:rPr>
                <w:rFonts w:hint="eastAsia" w:ascii="宋体" w:hAnsi="宋体" w:eastAsia="宋体" w:cs="宋体"/>
                <w:b w:val="0"/>
                <w:bCs w:val="0"/>
                <w:color w:val="FF0000"/>
                <w:sz w:val="21"/>
                <w:szCs w:val="21"/>
                <w:lang w:val="en-US" w:eastAsia="zh-CN"/>
              </w:rPr>
              <w:t>建筑照明设计标准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1024B">
            <w:pPr>
              <w:pStyle w:val="43"/>
              <w:keepNext w:val="0"/>
              <w:keepLines w:val="0"/>
              <w:pageBreakBefore w:val="0"/>
              <w:widowControl w:val="0"/>
              <w:kinsoku/>
              <w:wordWrap/>
              <w:overflowPunct/>
              <w:topLinePunct w:val="0"/>
              <w:autoSpaceDE/>
              <w:autoSpaceDN/>
              <w:bidi w:val="0"/>
              <w:spacing w:line="240" w:lineRule="auto"/>
              <w:rPr>
                <w:rFonts w:hint="default" w:ascii="宋体" w:hAnsi="宋体" w:eastAsia="宋体" w:cs="宋体"/>
                <w:b w:val="0"/>
                <w:bCs w:val="0"/>
                <w:color w:val="FF0000"/>
                <w:sz w:val="21"/>
                <w:szCs w:val="21"/>
                <w:lang w:val="en-US"/>
              </w:rPr>
            </w:pPr>
            <w:r>
              <w:rPr>
                <w:rFonts w:hint="eastAsia" w:ascii="宋体" w:hAnsi="宋体" w:eastAsia="宋体" w:cs="宋体"/>
                <w:b w:val="0"/>
                <w:bCs w:val="0"/>
                <w:color w:val="FF0000"/>
                <w:sz w:val="21"/>
                <w:szCs w:val="21"/>
                <w:lang w:val="en-US" w:eastAsia="zh-CN"/>
              </w:rPr>
              <w:t>GB50034-20</w:t>
            </w:r>
            <w:r>
              <w:rPr>
                <w:rFonts w:hint="eastAsia" w:ascii="宋体" w:hAnsi="宋体" w:cs="宋体"/>
                <w:b w:val="0"/>
                <w:bCs w:val="0"/>
                <w:color w:val="FF0000"/>
                <w:sz w:val="21"/>
                <w:szCs w:val="21"/>
                <w:lang w:val="en-US" w:eastAsia="zh-CN"/>
              </w:rPr>
              <w:t>24</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817B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FF0000"/>
                <w:sz w:val="21"/>
                <w:szCs w:val="21"/>
              </w:rPr>
            </w:pPr>
            <w:r>
              <w:rPr>
                <w:rFonts w:hint="eastAsia" w:ascii="宋体" w:hAnsi="宋体" w:eastAsia="宋体" w:cs="宋体"/>
                <w:b w:val="0"/>
                <w:bCs w:val="0"/>
                <w:color w:val="FF0000"/>
                <w:sz w:val="21"/>
                <w:szCs w:val="21"/>
                <w:lang w:val="en-US" w:eastAsia="zh-CN"/>
              </w:rPr>
              <w:t>20</w:t>
            </w:r>
            <w:r>
              <w:rPr>
                <w:rFonts w:hint="eastAsia" w:ascii="宋体" w:hAnsi="宋体" w:cs="宋体"/>
                <w:b w:val="0"/>
                <w:bCs w:val="0"/>
                <w:color w:val="FF0000"/>
                <w:sz w:val="21"/>
                <w:szCs w:val="21"/>
                <w:lang w:val="en-US" w:eastAsia="zh-CN"/>
              </w:rPr>
              <w:t>2</w:t>
            </w:r>
            <w:r>
              <w:rPr>
                <w:rFonts w:hint="eastAsia" w:ascii="宋体" w:hAnsi="宋体" w:eastAsia="宋体" w:cs="宋体"/>
                <w:b w:val="0"/>
                <w:bCs w:val="0"/>
                <w:color w:val="FF0000"/>
                <w:sz w:val="21"/>
                <w:szCs w:val="21"/>
                <w:lang w:val="en-US" w:eastAsia="zh-CN"/>
              </w:rPr>
              <w:t>4-0</w:t>
            </w:r>
            <w:r>
              <w:rPr>
                <w:rFonts w:hint="eastAsia" w:ascii="宋体" w:hAnsi="宋体" w:cs="宋体"/>
                <w:b w:val="0"/>
                <w:bCs w:val="0"/>
                <w:color w:val="FF0000"/>
                <w:sz w:val="21"/>
                <w:szCs w:val="21"/>
                <w:lang w:val="en-US" w:eastAsia="zh-CN"/>
              </w:rPr>
              <w:t>8</w:t>
            </w:r>
            <w:r>
              <w:rPr>
                <w:rFonts w:hint="eastAsia" w:ascii="宋体" w:hAnsi="宋体" w:eastAsia="宋体" w:cs="宋体"/>
                <w:b w:val="0"/>
                <w:bCs w:val="0"/>
                <w:color w:val="FF0000"/>
                <w:sz w:val="21"/>
                <w:szCs w:val="21"/>
                <w:lang w:val="en-US" w:eastAsia="zh-CN"/>
              </w:rPr>
              <w:t>-01</w:t>
            </w:r>
          </w:p>
        </w:tc>
      </w:tr>
      <w:tr w14:paraId="50BBE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C2E62">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B9E2">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交流电气装置的接地设计规范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1A02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GB/T50065-2011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5D2E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2012-06-01</w:t>
            </w:r>
          </w:p>
        </w:tc>
      </w:tr>
      <w:tr w14:paraId="06E4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87B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00D4B">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空调通风系统运行管理标准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1B45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GB50365-2019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F5E3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2019-12-01</w:t>
            </w:r>
          </w:p>
        </w:tc>
      </w:tr>
      <w:tr w14:paraId="2E505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57996">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DE620">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六氟化硫电气设备中气体管理和检测导则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82A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GB/T8905-2012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57C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2013-02-01</w:t>
            </w:r>
          </w:p>
        </w:tc>
      </w:tr>
      <w:tr w14:paraId="72FFD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E28D">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52AC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密闭空间作业职业危害防护规范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1E6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GBZ/T205-2007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E17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2008-03-01</w:t>
            </w:r>
          </w:p>
        </w:tc>
      </w:tr>
      <w:tr w14:paraId="1B870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0F5AC">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C1E8">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企业职工伤亡事故分类</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370A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GB6441-1986</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85AE1">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1987-02-01</w:t>
            </w:r>
          </w:p>
        </w:tc>
      </w:tr>
      <w:tr w14:paraId="155EB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4424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E774D">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生产过程安全卫生要求总则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BAF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GB/T12801-2008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447E7">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2009-10-01</w:t>
            </w:r>
          </w:p>
        </w:tc>
      </w:tr>
      <w:tr w14:paraId="26624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8425">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4F40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生产过程危险和有害因素分类与代码</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B8A2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GB/T13861-2022</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474E9">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2022-10-01</w:t>
            </w:r>
          </w:p>
        </w:tc>
      </w:tr>
      <w:tr w14:paraId="0A35A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05A8">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C484B">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生产经营单位生产安全事故应急预案编制导则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E72F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GB/T29639-2020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3BA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2021-04-01</w:t>
            </w:r>
          </w:p>
        </w:tc>
      </w:tr>
      <w:tr w14:paraId="7C5B7C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49FDA">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86A4">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室外排水设计标准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7BFE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GB 50014-2021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164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2021-10-01</w:t>
            </w:r>
          </w:p>
        </w:tc>
      </w:tr>
      <w:tr w14:paraId="6E827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D3AEC">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62A3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太阳能光伏照明装置总技术规范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A85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GB/T24460-2009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E6A73">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2010-12-01</w:t>
            </w:r>
          </w:p>
        </w:tc>
      </w:tr>
      <w:tr w14:paraId="59EA7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FA59">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25A3C">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通用用电设备配电设计规范</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8315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GB50055-2011</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766B6">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2012-06-01</w:t>
            </w:r>
          </w:p>
        </w:tc>
      </w:tr>
      <w:tr w14:paraId="0C3BF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34200">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C88E">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头部防护安全帽</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5AA4B">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GB2811-2019</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F872">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2020-07-01</w:t>
            </w:r>
          </w:p>
        </w:tc>
      </w:tr>
      <w:tr w14:paraId="06D4F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354B4">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5854A">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图形符号安全色和安全标志第1部分：安全标志</w:t>
            </w:r>
            <w:r>
              <w:rPr>
                <w:rFonts w:hint="eastAsia" w:ascii="宋体" w:hAnsi="宋体" w:cs="宋体"/>
                <w:b w:val="0"/>
                <w:bCs w:val="0"/>
                <w:color w:val="000000" w:themeColor="text1"/>
                <w:sz w:val="21"/>
                <w:szCs w:val="21"/>
                <w:lang w:val="en-US" w:eastAsia="zh-CN"/>
                <w14:textFill>
                  <w14:solidFill>
                    <w14:schemeClr w14:val="tx1"/>
                  </w14:solidFill>
                </w14:textFill>
              </w:rPr>
              <w:t>和安全标记</w:t>
            </w:r>
            <w:r>
              <w:rPr>
                <w:rFonts w:hint="eastAsia" w:ascii="宋体" w:hAnsi="宋体" w:eastAsia="宋体" w:cs="宋体"/>
                <w:b w:val="0"/>
                <w:bCs w:val="0"/>
                <w:color w:val="000000" w:themeColor="text1"/>
                <w:sz w:val="21"/>
                <w:szCs w:val="21"/>
                <w:lang w:val="en-US" w:eastAsia="zh-CN"/>
                <w14:textFill>
                  <w14:solidFill>
                    <w14:schemeClr w14:val="tx1"/>
                  </w14:solidFill>
                </w14:textFill>
              </w:rPr>
              <w:t>的设计原则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6FC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GB/T2893.1-2013</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2EDFC">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2013-11-30</w:t>
            </w:r>
          </w:p>
        </w:tc>
      </w:tr>
      <w:tr w14:paraId="5A0CD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1D7B7">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CFAC9">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危险化学品重大危险源辨识</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002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GB18218-2018</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E287F">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2019-03-01</w:t>
            </w:r>
          </w:p>
        </w:tc>
      </w:tr>
      <w:tr w14:paraId="20329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F40A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27A93">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消防安全标志第1部分：标志</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F12A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GB13495.1-2015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7FE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2015-08-01</w:t>
            </w:r>
          </w:p>
        </w:tc>
      </w:tr>
      <w:tr w14:paraId="44C2E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931FA">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0C98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消防安全标志设置要求</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89E9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GB15630-1995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97BA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1996-02-01</w:t>
            </w:r>
          </w:p>
        </w:tc>
      </w:tr>
      <w:tr w14:paraId="30F66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5F83F">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5E09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消防应急照明和疏散指示系统</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C1265">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GB17945-2010</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BE79A">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2011-05-01</w:t>
            </w:r>
          </w:p>
        </w:tc>
      </w:tr>
      <w:tr w14:paraId="50435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34851">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99AF">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用电安全导则</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C4424">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GB/T13869-2017</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B9EE0">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2018-07-01</w:t>
            </w:r>
          </w:p>
        </w:tc>
      </w:tr>
      <w:tr w14:paraId="5858D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ACF9">
            <w:pPr>
              <w:keepNext w:val="0"/>
              <w:keepLines w:val="0"/>
              <w:pageBreakBefore w:val="0"/>
              <w:widowControl w:val="0"/>
              <w:numPr>
                <w:ilvl w:val="0"/>
                <w:numId w:val="7"/>
              </w:numPr>
              <w:suppressLineNumbers w:val="0"/>
              <w:tabs>
                <w:tab w:val="clear" w:pos="0"/>
              </w:tabs>
              <w:kinsoku/>
              <w:wordWrap/>
              <w:overflowPunct/>
              <w:topLinePunct w:val="0"/>
              <w:autoSpaceDE/>
              <w:autoSpaceDN/>
              <w:bidi w:val="0"/>
              <w:spacing w:line="240" w:lineRule="auto"/>
              <w:ind w:left="425" w:leftChars="0" w:right="0" w:rightChars="0" w:hanging="425"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F22D5">
            <w:pPr>
              <w:pStyle w:val="43"/>
              <w:keepNext w:val="0"/>
              <w:keepLines w:val="0"/>
              <w:pageBreakBefore w:val="0"/>
              <w:widowControl w:val="0"/>
              <w:kinsoku/>
              <w:wordWrap/>
              <w:overflowPunct/>
              <w:topLinePunct w:val="0"/>
              <w:autoSpaceDE/>
              <w:autoSpaceDN/>
              <w:bidi w:val="0"/>
              <w:spacing w:line="240" w:lineRule="auto"/>
              <w:jc w:val="both"/>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中国地震动参数区划图</w:t>
            </w:r>
          </w:p>
        </w:tc>
        <w:tc>
          <w:tcPr>
            <w:tcW w:w="11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7C9D">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GB18306-2015</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31278">
            <w:pPr>
              <w:pStyle w:val="43"/>
              <w:keepNext w:val="0"/>
              <w:keepLines w:val="0"/>
              <w:pageBreakBefore w:val="0"/>
              <w:widowControl w:val="0"/>
              <w:kinsoku/>
              <w:wordWrap/>
              <w:overflowPunct/>
              <w:topLinePunct w:val="0"/>
              <w:autoSpaceDE/>
              <w:autoSpaceDN/>
              <w:bidi w:val="0"/>
              <w:spacing w:line="240" w:lineRule="auto"/>
              <w:rPr>
                <w:rFonts w:hint="eastAsia" w:ascii="宋体" w:hAnsi="宋体" w:eastAsia="宋体" w:cs="宋体"/>
                <w:b w:val="0"/>
                <w:bCs w:val="0"/>
                <w:color w:val="000000" w:themeColor="text1"/>
                <w:sz w:val="21"/>
                <w:szCs w:val="21"/>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2016-06-01</w:t>
            </w:r>
          </w:p>
        </w:tc>
      </w:tr>
    </w:tbl>
    <w:p w14:paraId="4CD397B3">
      <w:pPr>
        <w:pStyle w:val="4"/>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54" w:name="_Toc14582"/>
      <w:r>
        <w:rPr>
          <w:color w:val="000000" w:themeColor="text1"/>
          <w14:textFill>
            <w14:solidFill>
              <w14:schemeClr w14:val="tx1"/>
            </w14:solidFill>
          </w14:textFill>
        </w:rPr>
        <w:t>行业标准规范</w:t>
      </w:r>
      <w:bookmarkEnd w:id="54"/>
    </w:p>
    <w:tbl>
      <w:tblPr>
        <w:tblStyle w:val="2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4"/>
        <w:gridCol w:w="4812"/>
        <w:gridCol w:w="1926"/>
        <w:gridCol w:w="1721"/>
      </w:tblGrid>
      <w:tr w14:paraId="457B2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7CC80">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序号</w:t>
            </w: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3220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标准名称</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DEEA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标准编号</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ED7F9">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实施日期</w:t>
            </w:r>
          </w:p>
        </w:tc>
      </w:tr>
      <w:tr w14:paraId="2E086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4B7DF">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EEAE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3.6kV～40.5kV交流金属封闭开关设备和控制设备</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BBC2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DL/T 404-2018</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92329">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2019-05-01</w:t>
            </w:r>
          </w:p>
        </w:tc>
      </w:tr>
      <w:tr w14:paraId="3EE19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347B">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BAF7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变电站和换流站给水排水设计规程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871E0">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DL/T5143-2018</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8C5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2019-05-01</w:t>
            </w:r>
          </w:p>
        </w:tc>
      </w:tr>
      <w:tr w14:paraId="00B82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448F5">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DCB3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变电站运行导则</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9281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DL/T969-2005</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BF9E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2006-06-01</w:t>
            </w:r>
          </w:p>
        </w:tc>
      </w:tr>
      <w:tr w14:paraId="0BAB1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B73B9">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0B52E">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变电站总布置设计技术规程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77640">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DL/T5056-2007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16089">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2008-06-01</w:t>
            </w:r>
          </w:p>
        </w:tc>
      </w:tr>
      <w:tr w14:paraId="28ABA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13456">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2587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导体和电器选择设计规程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8BC2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DL/T5222-2021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1913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2022-06-22</w:t>
            </w:r>
          </w:p>
        </w:tc>
      </w:tr>
      <w:tr w14:paraId="59148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B7982">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42D9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电测量及电能计量装置设计技术规程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1F06E">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DL/T5137-2001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B1A8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2002-05-01</w:t>
            </w:r>
          </w:p>
        </w:tc>
      </w:tr>
      <w:tr w14:paraId="25CC1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C08D2">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7D8F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电力变压器运行规程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53A6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DL/T572-2021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3ADF0">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2021-10-26</w:t>
            </w:r>
          </w:p>
        </w:tc>
      </w:tr>
      <w:tr w14:paraId="6336F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C857B">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7A69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电力调度自动化运行管理规程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2577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DL/T516-2017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8DBD">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2017-12-01</w:t>
            </w:r>
          </w:p>
        </w:tc>
      </w:tr>
      <w:tr w14:paraId="38D88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D2124">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E8FD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电力技术监督导则</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09EA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DL/T1051-2019</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3883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2019-06-04</w:t>
            </w:r>
          </w:p>
        </w:tc>
      </w:tr>
      <w:tr w14:paraId="5FD83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5AF8">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7596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电力设备典型消防规程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443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DL5027-2015</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ACDD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2015-09-01</w:t>
            </w:r>
          </w:p>
        </w:tc>
      </w:tr>
      <w:tr w14:paraId="50692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09489">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ACB5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电力设备预防性试验规程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6C04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DL/T596-2021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5F72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2021-10-26</w:t>
            </w:r>
          </w:p>
        </w:tc>
      </w:tr>
      <w:tr w14:paraId="650C3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9DAC0">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3DEE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电力通信运行管理规程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422F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DL/T544-2012</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B031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2012-03-01</w:t>
            </w:r>
          </w:p>
        </w:tc>
      </w:tr>
      <w:tr w14:paraId="02076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532C5">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868EF">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电力系统调度自动化设计规程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3F2D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DL/T5003-2017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EC86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2017-12-01</w:t>
            </w:r>
          </w:p>
        </w:tc>
      </w:tr>
      <w:tr w14:paraId="20F6C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29206">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870FF">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电力系统光纤通信运行管理规程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A93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DL/T547-2020</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B01D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2021-02-01</w:t>
            </w:r>
          </w:p>
        </w:tc>
      </w:tr>
      <w:tr w14:paraId="0981C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E0DE9">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9C9D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电力系统数字微波通信工程设计技术规程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E9C3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DL/T5025-2005</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179C9">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2005-06-01</w:t>
            </w:r>
          </w:p>
        </w:tc>
      </w:tr>
      <w:tr w14:paraId="157A4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87B8F">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C410A">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电力系统通信站过电压防护规程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0AEB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DL/T548-2012</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4F15D">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2012-03-01</w:t>
            </w:r>
          </w:p>
        </w:tc>
      </w:tr>
      <w:tr w14:paraId="0D55D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D5045">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AC15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电力系统用蓄电池直流电源装置运行与维护技术规程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4010E">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DL/T724-2021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D584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2021-07-01</w:t>
            </w:r>
          </w:p>
        </w:tc>
      </w:tr>
      <w:tr w14:paraId="7676E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29FBB">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DB7E">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电力行业紧急救护技术规范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381E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DL/T692-2018</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5109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2018-07-01</w:t>
            </w:r>
          </w:p>
        </w:tc>
      </w:tr>
      <w:tr w14:paraId="39574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B71A3">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823B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电网运行准则</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40C3D">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DL/T1040-2007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F5BD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2007-12-01</w:t>
            </w:r>
          </w:p>
        </w:tc>
      </w:tr>
      <w:tr w14:paraId="7C3FD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B4A8">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0446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发电设备可靠性评价规程第7部分：光伏发电设备</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FEAB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DL/T793.7-2022</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93BC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2022-11-13</w:t>
            </w:r>
          </w:p>
        </w:tc>
      </w:tr>
      <w:tr w14:paraId="67BDD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A2CEF">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966D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高压电气设备绝缘技术监督规程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1059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DL/T1054-2021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CFFB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2021-10-26</w:t>
            </w:r>
          </w:p>
        </w:tc>
      </w:tr>
      <w:tr w14:paraId="78EE8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F622D">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CC4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高压配电装置设计规范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E6FE9">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DL/T5352-2018</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819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2018-07-01</w:t>
            </w:r>
          </w:p>
        </w:tc>
      </w:tr>
      <w:tr w14:paraId="775CE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B1707">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D60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继电保护和安全自动装置运行管理规程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D31B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DL/T587-2016</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257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2017-05-01</w:t>
            </w:r>
          </w:p>
        </w:tc>
      </w:tr>
      <w:tr w14:paraId="04793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0117A">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B419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继电保护和电网安全自动装置检验规程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22D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DL/T995-2016</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54CB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2017-05-01</w:t>
            </w:r>
          </w:p>
        </w:tc>
      </w:tr>
      <w:tr w14:paraId="6B146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A7534">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A792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交流电气装置的过电压保护和绝缘配合</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55D5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DL/T620-1997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231BA">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1997-10-01</w:t>
            </w:r>
          </w:p>
        </w:tc>
      </w:tr>
      <w:tr w14:paraId="6BABE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567C9">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78B5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交流电气装置的过电压保护和绝缘配合</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2756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DL/T620-1997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228E2">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1997-10-01</w:t>
            </w:r>
          </w:p>
        </w:tc>
      </w:tr>
      <w:tr w14:paraId="4B7E5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C68E">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0B0E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六氟化硫电气设备运行、试验及检修人员安全防护导则</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1470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DL/T639-2016</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CCF2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2016-06-01</w:t>
            </w:r>
          </w:p>
        </w:tc>
      </w:tr>
      <w:tr w14:paraId="362EA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4D7A5">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0A01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default"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35kV～220kV无人值班变电站设计</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94AD">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DL/T5103-2012</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78120">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2012-03-01</w:t>
            </w:r>
          </w:p>
        </w:tc>
      </w:tr>
      <w:tr w14:paraId="11348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44277">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22545">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电测量及电能计量装置设计技术规程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A0C60">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DL/T5137-2001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B4FF">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2002-05-01</w:t>
            </w:r>
          </w:p>
        </w:tc>
      </w:tr>
      <w:tr w14:paraId="60E89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59DE4">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928C1">
            <w:pPr>
              <w:pStyle w:val="43"/>
              <w:keepNext w:val="0"/>
              <w:keepLines w:val="0"/>
              <w:pageBreakBefore w:val="0"/>
              <w:widowControl w:val="0"/>
              <w:kinsoku/>
              <w:wordWrap/>
              <w:overflowPunct/>
              <w:topLinePunct w:val="0"/>
              <w:autoSpaceDE/>
              <w:autoSpaceDN/>
              <w:bidi w:val="0"/>
              <w:spacing w:line="240" w:lineRule="auto"/>
              <w:ind w:firstLine="0" w:firstLineChars="0"/>
              <w:jc w:val="both"/>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交流电气装置的过电压保护和绝缘配合</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813B">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DL/T620-1997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200E3">
            <w:pPr>
              <w:pStyle w:val="43"/>
              <w:keepNext w:val="0"/>
              <w:keepLines w:val="0"/>
              <w:pageBreakBefore w:val="0"/>
              <w:widowControl w:val="0"/>
              <w:kinsoku/>
              <w:wordWrap/>
              <w:overflowPunct/>
              <w:topLinePunct w:val="0"/>
              <w:autoSpaceDE/>
              <w:autoSpaceDN/>
              <w:bidi w:val="0"/>
              <w:spacing w:line="240" w:lineRule="auto"/>
              <w:ind w:firstLine="0" w:firstLineChars="0"/>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1997-10-01</w:t>
            </w:r>
          </w:p>
        </w:tc>
      </w:tr>
      <w:tr w14:paraId="511F9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16612">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96A18">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太阳能发电工程太阳能资源评估技术规程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E35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NB/T10353-2019</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2EC6A">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2020-07-01</w:t>
            </w:r>
          </w:p>
        </w:tc>
      </w:tr>
      <w:tr w14:paraId="0F207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8071E">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754D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光伏发电工程电气设计规范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D3D7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NB/T10128-2019</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670B1">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2019-10-01</w:t>
            </w:r>
          </w:p>
        </w:tc>
      </w:tr>
      <w:tr w14:paraId="2EACA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1A7B4">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63F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光伏发电</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站</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调度技术规范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CE7EA">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NB/T32025-2015</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EF8E">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2015-09-01</w:t>
            </w:r>
          </w:p>
        </w:tc>
      </w:tr>
      <w:tr w14:paraId="36383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4619F">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F6ED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光伏发电站并网性能测试与评价方法</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16D6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NB/T32026-2015</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A11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2015-09-01</w:t>
            </w:r>
          </w:p>
        </w:tc>
      </w:tr>
      <w:tr w14:paraId="2FCA8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5B41F">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3417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光伏发电工程安全验收评价规程</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E1AD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NB/T32038-2017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107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2018-03-01</w:t>
            </w:r>
          </w:p>
        </w:tc>
      </w:tr>
      <w:tr w14:paraId="50C17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72E60">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C55D6">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光伏发电站并网安全条件及评价规范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949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NB/T10997-2022</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0D31F">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2023-03-04</w:t>
            </w:r>
          </w:p>
        </w:tc>
      </w:tr>
      <w:tr w14:paraId="3B538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947C4">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6162F">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光伏发电系统用电缆</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54057">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NB/T42073-2016</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E1303">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aps w:val="0"/>
                <w:color w:val="000000" w:themeColor="text1"/>
                <w:spacing w:val="0"/>
                <w:sz w:val="21"/>
                <w:szCs w:val="21"/>
                <w:shd w:val="clear" w:fill="F3F3F3"/>
                <w14:textFill>
                  <w14:solidFill>
                    <w14:schemeClr w14:val="tx1"/>
                  </w14:solidFill>
                </w14:textFill>
              </w:rPr>
              <w:t>2016-12-01</w:t>
            </w:r>
          </w:p>
        </w:tc>
      </w:tr>
      <w:tr w14:paraId="1AA41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D2D4B">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3C7B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光伏电站接入电网技术规定</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E58E">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both"/>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Q/GDW617-2011</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E4CFF">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2011-05-06</w:t>
            </w:r>
          </w:p>
        </w:tc>
      </w:tr>
      <w:tr w14:paraId="27C9F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FA44B">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E82E">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安全评价通则</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7A25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AQ8001-2007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0180">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2007-04-01</w:t>
            </w:r>
          </w:p>
        </w:tc>
      </w:tr>
      <w:tr w14:paraId="267CD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12EF1">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BFE50">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安全验收评价导则</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3416A">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AQ8003-2007</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5BA2B">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2007-04-01</w:t>
            </w:r>
          </w:p>
        </w:tc>
      </w:tr>
      <w:tr w14:paraId="6143D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BC8E4">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D8BF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生产安全事故应急演练基本规范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DB036">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YJ</w:t>
            </w:r>
            <w:r>
              <w:rPr>
                <w:rFonts w:hint="eastAsia" w:ascii="宋体" w:hAnsi="宋体" w:eastAsia="宋体" w:cs="宋体"/>
                <w:color w:val="000000" w:themeColor="text1"/>
                <w:kern w:val="0"/>
                <w:sz w:val="21"/>
                <w:szCs w:val="21"/>
                <w:lang w:bidi="ar"/>
                <w14:textFill>
                  <w14:solidFill>
                    <w14:schemeClr w14:val="tx1"/>
                  </w14:solidFill>
                </w14:textFill>
              </w:rPr>
              <w:t>/T9007-2019</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6C3C4">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default"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26</w:t>
            </w:r>
          </w:p>
        </w:tc>
      </w:tr>
      <w:tr w14:paraId="53FB4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7526">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89F9B">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生产安全事故应急演练评估规范</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03FED">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YJ</w:t>
            </w:r>
            <w:r>
              <w:rPr>
                <w:rFonts w:hint="eastAsia" w:ascii="宋体" w:hAnsi="宋体" w:eastAsia="宋体" w:cs="宋体"/>
                <w:color w:val="000000" w:themeColor="text1"/>
                <w:kern w:val="0"/>
                <w:sz w:val="21"/>
                <w:szCs w:val="21"/>
                <w:lang w:bidi="ar"/>
                <w14:textFill>
                  <w14:solidFill>
                    <w14:schemeClr w14:val="tx1"/>
                  </w14:solidFill>
                </w14:textFill>
              </w:rPr>
              <w:t>/T9009-2015</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17DFA">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26</w:t>
            </w:r>
          </w:p>
        </w:tc>
      </w:tr>
      <w:tr w14:paraId="3935E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3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26F3">
            <w:pPr>
              <w:keepNext w:val="0"/>
              <w:keepLines w:val="0"/>
              <w:pageBreakBefore w:val="0"/>
              <w:widowControl w:val="0"/>
              <w:numPr>
                <w:ilvl w:val="0"/>
                <w:numId w:val="8"/>
              </w:numPr>
              <w:suppressLineNumbers w:val="0"/>
              <w:tabs>
                <w:tab w:val="clear" w:pos="0"/>
              </w:tabs>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sz w:val="21"/>
                <w:szCs w:val="21"/>
                <w:u w:val="none"/>
                <w:lang w:val="en-US" w:eastAsia="zh-CN"/>
                <w14:textFill>
                  <w14:solidFill>
                    <w14:schemeClr w14:val="tx1"/>
                  </w14:solidFill>
                </w14:textFill>
              </w:rPr>
            </w:pPr>
          </w:p>
        </w:tc>
        <w:tc>
          <w:tcPr>
            <w:tcW w:w="26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A1474">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color w:val="000000" w:themeColor="text1"/>
                <w:kern w:val="0"/>
                <w:sz w:val="21"/>
                <w:szCs w:val="21"/>
                <w:lang w:bidi="ar"/>
                <w14:textFill>
                  <w14:solidFill>
                    <w14:schemeClr w14:val="tx1"/>
                  </w14:solidFill>
                </w14:textFill>
              </w:rPr>
              <w:t>生产经营单位生产安全事故应急预案评估指南</w:t>
            </w:r>
          </w:p>
        </w:tc>
        <w:tc>
          <w:tcPr>
            <w:tcW w:w="10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43259">
            <w:pPr>
              <w:keepNext w:val="0"/>
              <w:keepLines w:val="0"/>
              <w:pageBreakBefore w:val="0"/>
              <w:widowControl w:val="0"/>
              <w:kinsoku/>
              <w:wordWrap/>
              <w:overflowPunct/>
              <w:topLinePunct w:val="0"/>
              <w:autoSpaceDE/>
              <w:autoSpaceDN/>
              <w:bidi w:val="0"/>
              <w:adjustRightInd/>
              <w:snapToGrid w:val="0"/>
              <w:spacing w:line="240" w:lineRule="auto"/>
              <w:ind w:left="0" w:firstLine="0" w:firstLineChars="0"/>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cs="宋体"/>
                <w:color w:val="000000" w:themeColor="text1"/>
                <w:kern w:val="0"/>
                <w:sz w:val="21"/>
                <w:szCs w:val="21"/>
                <w:lang w:val="en-US" w:eastAsia="zh-CN" w:bidi="ar"/>
                <w14:textFill>
                  <w14:solidFill>
                    <w14:schemeClr w14:val="tx1"/>
                  </w14:solidFill>
                </w14:textFill>
              </w:rPr>
              <w:t>YJ</w:t>
            </w:r>
            <w:r>
              <w:rPr>
                <w:rFonts w:hint="eastAsia" w:ascii="宋体" w:hAnsi="宋体" w:eastAsia="宋体" w:cs="宋体"/>
                <w:color w:val="000000" w:themeColor="text1"/>
                <w:kern w:val="0"/>
                <w:sz w:val="21"/>
                <w:szCs w:val="21"/>
                <w:lang w:bidi="ar"/>
                <w14:textFill>
                  <w14:solidFill>
                    <w14:schemeClr w14:val="tx1"/>
                  </w14:solidFill>
                </w14:textFill>
              </w:rPr>
              <w:t>/T</w:t>
            </w:r>
            <w:r>
              <w:rPr>
                <w:rFonts w:hint="eastAsia" w:ascii="宋体" w:hAnsi="宋体" w:eastAsia="宋体" w:cs="宋体"/>
                <w:color w:val="000000" w:themeColor="text1"/>
                <w:kern w:val="0"/>
                <w:sz w:val="21"/>
                <w:szCs w:val="21"/>
                <w:lang w:val="en-US" w:eastAsia="zh-CN" w:bidi="ar"/>
                <w14:textFill>
                  <w14:solidFill>
                    <w14:schemeClr w14:val="tx1"/>
                  </w14:solidFill>
                </w14:textFill>
              </w:rPr>
              <w:t>9</w:t>
            </w:r>
            <w:r>
              <w:rPr>
                <w:rFonts w:hint="eastAsia" w:ascii="宋体" w:hAnsi="宋体" w:eastAsia="宋体" w:cs="宋体"/>
                <w:color w:val="000000" w:themeColor="text1"/>
                <w:kern w:val="0"/>
                <w:sz w:val="21"/>
                <w:szCs w:val="21"/>
                <w:lang w:bidi="ar"/>
                <w14:textFill>
                  <w14:solidFill>
                    <w14:schemeClr w14:val="tx1"/>
                  </w14:solidFill>
                </w14:textFill>
              </w:rPr>
              <w:t>011-2019</w:t>
            </w:r>
          </w:p>
        </w:tc>
        <w:tc>
          <w:tcPr>
            <w:tcW w:w="9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ACE0C">
            <w:pPr>
              <w:keepNext w:val="0"/>
              <w:keepLines w:val="0"/>
              <w:pageBreakBefore w:val="0"/>
              <w:widowControl w:val="0"/>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202</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-0</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21"/>
                <w:szCs w:val="21"/>
                <w:u w:val="none"/>
                <w:lang w:val="en-US" w:eastAsia="zh-CN" w:bidi="ar"/>
                <w14:textFill>
                  <w14:solidFill>
                    <w14:schemeClr w14:val="tx1"/>
                  </w14:solidFill>
                </w14:textFill>
              </w:rPr>
              <w:t>-</w:t>
            </w:r>
            <w:r>
              <w:rPr>
                <w:rFonts w:hint="eastAsia" w:ascii="宋体" w:hAnsi="宋体" w:cs="宋体"/>
                <w:i w:val="0"/>
                <w:iCs w:val="0"/>
                <w:color w:val="000000" w:themeColor="text1"/>
                <w:kern w:val="0"/>
                <w:sz w:val="21"/>
                <w:szCs w:val="21"/>
                <w:u w:val="none"/>
                <w:lang w:val="en-US" w:eastAsia="zh-CN" w:bidi="ar"/>
                <w14:textFill>
                  <w14:solidFill>
                    <w14:schemeClr w14:val="tx1"/>
                  </w14:solidFill>
                </w14:textFill>
              </w:rPr>
              <w:t>26</w:t>
            </w:r>
          </w:p>
        </w:tc>
      </w:tr>
    </w:tbl>
    <w:p w14:paraId="7FAA53E1">
      <w:pPr>
        <w:pStyle w:val="4"/>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55" w:name="_Toc6152"/>
      <w:r>
        <w:rPr>
          <w:rFonts w:hint="eastAsia"/>
          <w:color w:val="000000" w:themeColor="text1"/>
          <w:lang w:val="en-US" w:eastAsia="zh-CN"/>
          <w14:textFill>
            <w14:solidFill>
              <w14:schemeClr w14:val="tx1"/>
            </w14:solidFill>
          </w14:textFill>
        </w:rPr>
        <w:t>建设项目合法证明文件</w:t>
      </w:r>
      <w:bookmarkEnd w:id="55"/>
    </w:p>
    <w:p w14:paraId="2EBDD1EA">
      <w:pPr>
        <w:keepNext w:val="0"/>
        <w:keepLines w:val="0"/>
        <w:pageBreakBefore w:val="0"/>
        <w:widowControl w:val="0"/>
        <w:numPr>
          <w:ilvl w:val="0"/>
          <w:numId w:val="9"/>
        </w:numPr>
        <w:tabs>
          <w:tab w:val="left" w:pos="0"/>
          <w:tab w:val="left" w:pos="630"/>
          <w:tab w:val="left" w:pos="735"/>
          <w:tab w:val="left" w:pos="840"/>
          <w:tab w:val="left" w:pos="988"/>
        </w:tabs>
        <w:kinsoku/>
        <w:wordWrap/>
        <w:overflowPunct/>
        <w:topLinePunct/>
        <w:autoSpaceDE/>
        <w:autoSpaceDN/>
        <w:bidi w:val="0"/>
        <w:adjustRightInd/>
        <w:snapToGrid/>
        <w:spacing w:line="500" w:lineRule="exact"/>
        <w:ind w:left="0" w:leftChars="0" w:firstLine="560" w:firstLineChars="200"/>
        <w:jc w:val="left"/>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《投资项目备案证》（项目代码：2208-532801-04-01-</w:t>
      </w:r>
      <w:r>
        <w:rPr>
          <w:rFonts w:hint="eastAsia" w:ascii="宋体" w:hAnsi="宋体" w:eastAsia="宋体" w:cs="宋体"/>
          <w:color w:val="000000" w:themeColor="text1"/>
          <w:sz w:val="28"/>
          <w:szCs w:val="28"/>
          <w:lang w:val="en-US" w:eastAsia="zh-CN"/>
          <w14:textFill>
            <w14:solidFill>
              <w14:schemeClr w14:val="tx1"/>
            </w14:solidFill>
          </w14:textFill>
        </w:rPr>
        <w:t>44814</w:t>
      </w:r>
      <w:r>
        <w:rPr>
          <w:rFonts w:hint="eastAsia" w:ascii="宋体" w:hAnsi="宋体" w:eastAsia="宋体" w:cs="宋体"/>
          <w:color w:val="000000" w:themeColor="text1"/>
          <w:sz w:val="28"/>
          <w:szCs w:val="28"/>
          <w:lang w:val="zh-CN"/>
          <w14:textFill>
            <w14:solidFill>
              <w14:schemeClr w14:val="tx1"/>
            </w14:solidFill>
          </w14:textFill>
        </w:rPr>
        <w:t>）；</w:t>
      </w:r>
    </w:p>
    <w:p w14:paraId="3CBA4C20">
      <w:pPr>
        <w:keepNext w:val="0"/>
        <w:keepLines w:val="0"/>
        <w:pageBreakBefore w:val="0"/>
        <w:widowControl w:val="0"/>
        <w:numPr>
          <w:ilvl w:val="0"/>
          <w:numId w:val="9"/>
        </w:numPr>
        <w:tabs>
          <w:tab w:val="left" w:pos="0"/>
          <w:tab w:val="left" w:pos="630"/>
          <w:tab w:val="left" w:pos="735"/>
          <w:tab w:val="left" w:pos="840"/>
          <w:tab w:val="left" w:pos="988"/>
        </w:tabs>
        <w:kinsoku/>
        <w:wordWrap/>
        <w:overflowPunct/>
        <w:topLinePunct/>
        <w:autoSpaceDE/>
        <w:autoSpaceDN/>
        <w:bidi w:val="0"/>
        <w:adjustRightInd/>
        <w:snapToGrid/>
        <w:spacing w:line="500" w:lineRule="exact"/>
        <w:ind w:left="0" w:leftChars="0" w:firstLine="560" w:firstLineChars="200"/>
        <w:jc w:val="left"/>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sz w:val="28"/>
          <w:szCs w:val="28"/>
          <w:lang w:val="zh-CN"/>
          <w14:textFill>
            <w14:solidFill>
              <w14:schemeClr w14:val="tx1"/>
            </w14:solidFill>
          </w14:textFill>
        </w:rPr>
        <w:t>营业执照</w:t>
      </w:r>
      <w:r>
        <w:rPr>
          <w:rFonts w:hint="eastAsia" w:ascii="宋体" w:hAnsi="宋体" w:eastAsia="宋体" w:cs="宋体"/>
          <w:color w:val="000000" w:themeColor="text1"/>
          <w:sz w:val="28"/>
          <w:szCs w:val="28"/>
          <w:lang w:val="zh-CN" w:eastAsia="zh-CN"/>
          <w14:textFill>
            <w14:solidFill>
              <w14:schemeClr w14:val="tx1"/>
            </w14:solidFill>
          </w14:textFill>
        </w:rPr>
        <w:t>（</w:t>
      </w:r>
      <w:r>
        <w:rPr>
          <w:rFonts w:hint="eastAsia" w:ascii="宋体" w:hAnsi="宋体" w:eastAsia="宋体" w:cs="宋体"/>
          <w:color w:val="000000" w:themeColor="text1"/>
          <w:sz w:val="28"/>
          <w:szCs w:val="28"/>
          <w:lang w:val="zh-CN"/>
          <w14:textFill>
            <w14:solidFill>
              <w14:schemeClr w14:val="tx1"/>
            </w14:solidFill>
          </w14:textFill>
        </w:rPr>
        <w:t>统一社会信用代码：91532801MABN4NM888</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val="zh-CN" w:eastAsia="zh-CN"/>
          <w14:textFill>
            <w14:solidFill>
              <w14:schemeClr w14:val="tx1"/>
            </w14:solidFill>
          </w14:textFill>
        </w:rPr>
        <w:t>）。</w:t>
      </w:r>
    </w:p>
    <w:p w14:paraId="1A77E17C">
      <w:pPr>
        <w:pStyle w:val="4"/>
        <w:keepNext w:val="0"/>
        <w:keepLines w:val="0"/>
        <w:pageBreakBefore w:val="0"/>
        <w:widowControl w:val="0"/>
        <w:kinsoku/>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建设项目技术资料</w:t>
      </w:r>
    </w:p>
    <w:p w14:paraId="07070244">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zh-CN"/>
          <w14:textFill>
            <w14:solidFill>
              <w14:schemeClr w14:val="tx1"/>
            </w14:solidFill>
          </w14:textFill>
        </w:rPr>
      </w:pPr>
      <w:r>
        <w:rPr>
          <w:rFonts w:hint="eastAsia" w:eastAsiaTheme="minor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华能澜沧江（景洪）新能源有限公司基诺乡巴卡村洛科新寨光伏电站</w:t>
      </w:r>
      <w:r>
        <w:rPr>
          <w:rFonts w:hint="eastAsia" w:eastAsiaTheme="minorEastAsia"/>
          <w:color w:val="000000" w:themeColor="text1"/>
          <w14:textFill>
            <w14:solidFill>
              <w14:schemeClr w14:val="tx1"/>
            </w14:solidFill>
          </w14:textFill>
        </w:rPr>
        <w:t>安全生产条件和设施综合分析报告》（</w:t>
      </w:r>
      <w:r>
        <w:rPr>
          <w:rFonts w:hint="eastAsia" w:eastAsiaTheme="minorEastAsia"/>
          <w:color w:val="000000" w:themeColor="text1"/>
          <w:lang w:val="en-US" w:eastAsia="zh-CN"/>
          <w14:textFill>
            <w14:solidFill>
              <w14:schemeClr w14:val="tx1"/>
            </w14:solidFill>
          </w14:textFill>
        </w:rPr>
        <w:t>贵州昊华工程技术有限公司，</w:t>
      </w:r>
      <w:r>
        <w:rPr>
          <w:rFonts w:hint="eastAsia" w:eastAsiaTheme="minorEastAsia"/>
          <w:color w:val="000000" w:themeColor="text1"/>
          <w14:textFill>
            <w14:solidFill>
              <w14:schemeClr w14:val="tx1"/>
            </w14:solidFill>
          </w14:textFill>
        </w:rPr>
        <w:t>202</w:t>
      </w:r>
      <w:r>
        <w:rPr>
          <w:rFonts w:eastAsiaTheme="minorEastAsia"/>
          <w:color w:val="000000" w:themeColor="text1"/>
          <w14:textFill>
            <w14:solidFill>
              <w14:schemeClr w14:val="tx1"/>
            </w14:solidFill>
          </w14:textFill>
        </w:rPr>
        <w:t>2</w:t>
      </w:r>
      <w:r>
        <w:rPr>
          <w:rFonts w:hint="eastAsia" w:eastAsiaTheme="minorEastAsia"/>
          <w:color w:val="000000" w:themeColor="text1"/>
          <w14:textFill>
            <w14:solidFill>
              <w14:schemeClr w14:val="tx1"/>
            </w14:solidFill>
          </w14:textFill>
        </w:rPr>
        <w:t>年</w:t>
      </w:r>
      <w:r>
        <w:rPr>
          <w:rFonts w:hint="eastAsia" w:eastAsiaTheme="minorEastAsia"/>
          <w:color w:val="000000" w:themeColor="text1"/>
          <w:lang w:val="en-US" w:eastAsia="zh-CN"/>
          <w14:textFill>
            <w14:solidFill>
              <w14:schemeClr w14:val="tx1"/>
            </w14:solidFill>
          </w14:textFill>
        </w:rPr>
        <w:t>12</w:t>
      </w:r>
      <w:r>
        <w:rPr>
          <w:rFonts w:hint="eastAsia" w:eastAsiaTheme="minorEastAsia"/>
          <w:color w:val="000000" w:themeColor="text1"/>
          <w14:textFill>
            <w14:solidFill>
              <w14:schemeClr w14:val="tx1"/>
            </w14:solidFill>
          </w14:textFill>
        </w:rPr>
        <w:t>月）</w:t>
      </w:r>
    </w:p>
    <w:p w14:paraId="50A82EE5">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lang w:val="zh-CN"/>
          <w14:textFill>
            <w14:solidFill>
              <w14:schemeClr w14:val="tx1"/>
            </w14:solidFill>
          </w14:textFill>
        </w:rPr>
        <w:t>《华能澜沧江（景洪）新能源有限公司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eastAsia="宋体" w:cs="宋体"/>
          <w:color w:val="000000" w:themeColor="text1"/>
          <w:szCs w:val="28"/>
          <w:lang w:val="en-US" w:eastAsia="zh-CN"/>
          <w14:textFill>
            <w14:solidFill>
              <w14:schemeClr w14:val="tx1"/>
            </w14:solidFill>
          </w14:textFill>
        </w:rPr>
        <w:t>安全设施设计</w:t>
      </w:r>
      <w:r>
        <w:rPr>
          <w:rFonts w:hint="eastAsia" w:ascii="宋体" w:hAnsi="宋体" w:eastAsia="宋体" w:cs="宋体"/>
          <w:color w:val="000000" w:themeColor="text1"/>
          <w:szCs w:val="28"/>
          <w:lang w:val="zh-CN"/>
          <w14:textFill>
            <w14:solidFill>
              <w14:schemeClr w14:val="tx1"/>
            </w14:solidFill>
          </w14:textFill>
        </w:rPr>
        <w:t>》（中舜国际工程设计有限公司</w:t>
      </w:r>
      <w:r>
        <w:rPr>
          <w:rFonts w:hint="eastAsia" w:ascii="宋体" w:hAnsi="宋体" w:eastAsia="宋体" w:cs="宋体"/>
          <w:color w:val="000000" w:themeColor="text1"/>
          <w:szCs w:val="28"/>
          <w:lang w:val="zh-CN" w:eastAsia="zh-CN"/>
          <w14:textFill>
            <w14:solidFill>
              <w14:schemeClr w14:val="tx1"/>
            </w14:solidFill>
          </w14:textFill>
        </w:rPr>
        <w:t>，</w:t>
      </w:r>
      <w:r>
        <w:rPr>
          <w:rFonts w:hint="eastAsia" w:ascii="宋体" w:hAnsi="宋体" w:eastAsia="宋体" w:cs="宋体"/>
          <w:color w:val="000000" w:themeColor="text1"/>
          <w:szCs w:val="28"/>
          <w:lang w:val="en-US" w:eastAsia="zh-CN"/>
          <w14:textFill>
            <w14:solidFill>
              <w14:schemeClr w14:val="tx1"/>
            </w14:solidFill>
          </w14:textFill>
        </w:rPr>
        <w:t>2024年4月）；</w:t>
      </w:r>
    </w:p>
    <w:p w14:paraId="18635328">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lang w:val="en-US" w:eastAsia="zh-CN"/>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eastAsia="宋体" w:cs="宋体"/>
          <w:color w:val="000000" w:themeColor="text1"/>
          <w:szCs w:val="28"/>
          <w:lang w:val="en-US" w:eastAsia="zh-CN"/>
          <w14:textFill>
            <w14:solidFill>
              <w14:schemeClr w14:val="tx1"/>
            </w14:solidFill>
          </w14:textFill>
        </w:rPr>
        <w:t>施工总结报告》；</w:t>
      </w:r>
    </w:p>
    <w:p w14:paraId="0BFDD1F5">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lang w:val="en-US" w:eastAsia="zh-CN"/>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eastAsia="宋体" w:cs="宋体"/>
          <w:color w:val="000000" w:themeColor="text1"/>
          <w:szCs w:val="28"/>
          <w:lang w:val="en-US" w:eastAsia="zh-CN"/>
          <w14:textFill>
            <w14:solidFill>
              <w14:schemeClr w14:val="tx1"/>
            </w14:solidFill>
          </w14:textFill>
        </w:rPr>
        <w:t>监理总结报告》；</w:t>
      </w:r>
    </w:p>
    <w:p w14:paraId="272D5AE6">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lang w:val="en-US" w:eastAsia="zh-CN"/>
          <w14:textFill>
            <w14:solidFill>
              <w14:schemeClr w14:val="tx1"/>
            </w14:solidFill>
          </w14:textFill>
        </w:rPr>
        <w:t>项目试运行总结报告；</w:t>
      </w:r>
    </w:p>
    <w:p w14:paraId="27E3048F">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60" w:firstLineChars="200"/>
        <w:jc w:val="left"/>
        <w:rPr>
          <w:rFonts w:hint="eastAsia" w:ascii="宋体" w:hAnsi="宋体" w:eastAsia="宋体" w:cs="宋体"/>
          <w:color w:val="000000" w:themeColor="text1"/>
          <w:szCs w:val="28"/>
          <w:lang w:val="en-US" w:eastAsia="zh-CN"/>
          <w14:textFill>
            <w14:solidFill>
              <w14:schemeClr w14:val="tx1"/>
            </w14:solidFill>
          </w14:textFill>
        </w:rPr>
      </w:pPr>
      <w:r>
        <w:rPr>
          <w:rFonts w:hint="eastAsia" w:ascii="宋体" w:hAnsi="宋体" w:eastAsia="宋体" w:cs="宋体"/>
          <w:color w:val="000000" w:themeColor="text1"/>
          <w:szCs w:val="28"/>
          <w:lang w:val="en-US" w:eastAsia="zh-CN"/>
          <w14:textFill>
            <w14:solidFill>
              <w14:schemeClr w14:val="tx1"/>
            </w14:solidFill>
          </w14:textFill>
        </w:rPr>
        <w:t>类似工程资料及参考文献；</w:t>
      </w:r>
    </w:p>
    <w:p w14:paraId="69D48EFD">
      <w:pPr>
        <w:keepNext w:val="0"/>
        <w:keepLines w:val="0"/>
        <w:pageBreakBefore w:val="0"/>
        <w:widowControl w:val="0"/>
        <w:numPr>
          <w:ilvl w:val="0"/>
          <w:numId w:val="10"/>
        </w:numPr>
        <w:tabs>
          <w:tab w:val="left" w:pos="0"/>
          <w:tab w:val="left" w:pos="630"/>
          <w:tab w:val="left" w:pos="735"/>
          <w:tab w:val="left" w:pos="840"/>
          <w:tab w:val="left" w:pos="988"/>
        </w:tabs>
        <w:kinsoku/>
        <w:wordWrap/>
        <w:topLinePunct/>
        <w:bidi w:val="0"/>
        <w:ind w:left="0" w:leftChars="0" w:firstLine="544" w:firstLineChars="200"/>
        <w:jc w:val="left"/>
        <w:rPr>
          <w:rFonts w:hint="eastAsia" w:ascii="宋体" w:hAnsi="宋体" w:eastAsia="宋体" w:cs="宋体"/>
          <w:color w:val="000000" w:themeColor="text1"/>
          <w:szCs w:val="28"/>
          <w:lang w:val="en-US" w:eastAsia="zh-CN"/>
          <w14:textFill>
            <w14:solidFill>
              <w14:schemeClr w14:val="tx1"/>
            </w14:solidFill>
          </w14:textFill>
        </w:rPr>
      </w:pPr>
      <w:r>
        <w:rPr>
          <w:color w:val="000000" w:themeColor="text1"/>
          <w:spacing w:val="-4"/>
          <w:sz w:val="28"/>
          <w:szCs w:val="28"/>
          <w14:textFill>
            <w14:solidFill>
              <w14:schemeClr w14:val="tx1"/>
            </w14:solidFill>
          </w14:textFill>
        </w:rPr>
        <w:t>建设单位提供的其他有关基础资料</w:t>
      </w:r>
      <w:r>
        <w:rPr>
          <w:rFonts w:hint="eastAsia" w:ascii="宋体" w:hAnsi="宋体" w:eastAsia="宋体" w:cs="宋体"/>
          <w:color w:val="000000" w:themeColor="text1"/>
          <w:szCs w:val="28"/>
          <w:lang w:val="en-US" w:eastAsia="zh-CN"/>
          <w14:textFill>
            <w14:solidFill>
              <w14:schemeClr w14:val="tx1"/>
            </w14:solidFill>
          </w14:textFill>
        </w:rPr>
        <w:t>等。</w:t>
      </w:r>
    </w:p>
    <w:p w14:paraId="110FB7C4">
      <w:pPr>
        <w:pStyle w:val="3"/>
        <w:keepNext w:val="0"/>
        <w:keepLines w:val="0"/>
        <w:pageBreakBefore w:val="0"/>
        <w:widowControl w:val="0"/>
        <w:kinsoku/>
        <w:bidi w:val="0"/>
        <w:rPr>
          <w:rFonts w:hint="eastAsia" w:cs="Times New Roman"/>
          <w:color w:val="000000" w:themeColor="text1"/>
          <w:lang w:val="en-US" w:eastAsia="zh-CN"/>
          <w14:textFill>
            <w14:solidFill>
              <w14:schemeClr w14:val="tx1"/>
            </w14:solidFill>
          </w14:textFill>
        </w:rPr>
      </w:pPr>
      <w:bookmarkStart w:id="56" w:name="_Toc21046"/>
      <w:bookmarkStart w:id="57" w:name="_Toc22396"/>
      <w:bookmarkStart w:id="58" w:name="_Toc17275"/>
      <w:r>
        <w:rPr>
          <w:rFonts w:hint="eastAsia" w:cs="Times New Roman"/>
          <w:color w:val="000000" w:themeColor="text1"/>
          <w:lang w:val="en-US" w:eastAsia="zh-CN"/>
          <w14:textFill>
            <w14:solidFill>
              <w14:schemeClr w14:val="tx1"/>
            </w14:solidFill>
          </w14:textFill>
        </w:rPr>
        <w:t>评价原则</w:t>
      </w:r>
      <w:bookmarkEnd w:id="56"/>
      <w:bookmarkEnd w:id="57"/>
      <w:bookmarkEnd w:id="58"/>
    </w:p>
    <w:p w14:paraId="0D6FFE5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1.依据《安全评价通则》规定，安全评价基本原则是具备国家规定资质的安全评价机构科学、公正和合法的自主开展安全评价。</w:t>
      </w:r>
    </w:p>
    <w:p w14:paraId="1EE76FF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2.本报告将按国家现行有关安全的法律、法规和标准要求对本项目进行安全评价。同时遵循下列原则：</w:t>
      </w:r>
    </w:p>
    <w:p w14:paraId="58C98C8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（1）严格执行国家、地方与行业现行有关劳动安全方面的法律、法规和标准，保证评价的科学性、公正性、合法性和自主性。</w:t>
      </w:r>
    </w:p>
    <w:p w14:paraId="1AC5F92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（2）采用可靠、先进适用的评价技术，确保评价质量，突出重点。</w:t>
      </w:r>
    </w:p>
    <w:p w14:paraId="7348336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olor w:val="000000" w:themeColor="text1"/>
          <w:lang w:val="en-US" w:eastAsia="zh-CN"/>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（3）恪守职业道德，遵循诚实守信的原则，对评价企业的技术资料和商业运作保密。</w:t>
      </w:r>
    </w:p>
    <w:p w14:paraId="784500D5">
      <w:pPr>
        <w:pStyle w:val="3"/>
        <w:keepNext w:val="0"/>
        <w:keepLines w:val="0"/>
        <w:pageBreakBefore w:val="0"/>
        <w:widowControl w:val="0"/>
        <w:kinsoku/>
        <w:bidi w:val="0"/>
        <w:rPr>
          <w:color w:val="000000" w:themeColor="text1"/>
          <w:lang w:val="en-US" w:eastAsia="zh-CN"/>
          <w14:textFill>
            <w14:solidFill>
              <w14:schemeClr w14:val="tx1"/>
            </w14:solidFill>
          </w14:textFill>
        </w:rPr>
      </w:pPr>
      <w:bookmarkStart w:id="59" w:name="_Toc531271034"/>
      <w:bookmarkStart w:id="60" w:name="_Toc522811410"/>
      <w:bookmarkStart w:id="61" w:name="_Toc413501807"/>
      <w:bookmarkStart w:id="62" w:name="_Toc60925329"/>
      <w:bookmarkStart w:id="63" w:name="_Toc55033277"/>
      <w:bookmarkStart w:id="64" w:name="_Toc29812"/>
      <w:bookmarkStart w:id="65" w:name="_Toc30370"/>
      <w:bookmarkStart w:id="66" w:name="_Toc20350"/>
      <w:bookmarkStart w:id="67" w:name="_Toc55945223"/>
      <w:bookmarkStart w:id="68" w:name="_Toc55567342"/>
      <w:bookmarkStart w:id="69" w:name="_Toc7139"/>
      <w:bookmarkStart w:id="70" w:name="_Toc14862"/>
      <w:r>
        <w:rPr>
          <w:rFonts w:hint="eastAsia"/>
          <w:color w:val="000000" w:themeColor="text1"/>
          <w:lang w:val="en-US" w:eastAsia="zh-CN"/>
          <w14:textFill>
            <w14:solidFill>
              <w14:schemeClr w14:val="tx1"/>
            </w14:solidFill>
          </w14:textFill>
        </w:rPr>
        <w:t>评价</w:t>
      </w:r>
      <w:r>
        <w:rPr>
          <w:color w:val="000000" w:themeColor="text1"/>
          <w:lang w:val="en-US" w:eastAsia="zh-CN"/>
          <w14:textFill>
            <w14:solidFill>
              <w14:schemeClr w14:val="tx1"/>
            </w14:solidFill>
          </w14:textFill>
        </w:rPr>
        <w:t>程序</w:t>
      </w:r>
      <w:bookmarkEnd w:id="59"/>
      <w:bookmarkEnd w:id="60"/>
      <w:bookmarkEnd w:id="61"/>
      <w:bookmarkEnd w:id="62"/>
      <w:bookmarkEnd w:id="63"/>
      <w:bookmarkEnd w:id="64"/>
      <w:bookmarkEnd w:id="65"/>
      <w:bookmarkEnd w:id="66"/>
      <w:bookmarkEnd w:id="67"/>
      <w:bookmarkEnd w:id="68"/>
      <w:bookmarkEnd w:id="69"/>
      <w:bookmarkEnd w:id="70"/>
    </w:p>
    <w:p w14:paraId="03A02554">
      <w:pPr>
        <w:keepNext w:val="0"/>
        <w:keepLines w:val="0"/>
        <w:pageBreakBefore w:val="0"/>
        <w:widowControl w:val="0"/>
        <w:tabs>
          <w:tab w:val="left" w:pos="420"/>
        </w:tabs>
        <w:kinsoku/>
        <w:wordWrap/>
        <w:topLinePunct/>
        <w:bidi w:val="0"/>
        <w:ind w:firstLine="560"/>
        <w:jc w:val="left"/>
        <w:rPr>
          <w:rFonts w:ascii="Times New Roman" w:hAnsi="Times New Roman" w:eastAsia="宋体" w:cs="Times New Roman"/>
          <w:color w:val="000000" w:themeColor="text1"/>
          <w:szCs w:val="28"/>
          <w14:textFill>
            <w14:solidFill>
              <w14:schemeClr w14:val="tx1"/>
            </w14:solidFill>
          </w14:textFill>
        </w:rPr>
      </w:pPr>
      <w:r>
        <w:rPr>
          <w:rFonts w:hint="eastAsia" w:ascii="Times New Roman" w:hAnsi="Times New Roman" w:eastAsia="宋体" w:cs="Times New Roman"/>
          <w:color w:val="000000" w:themeColor="text1"/>
          <w:szCs w:val="28"/>
          <w14:textFill>
            <w14:solidFill>
              <w14:schemeClr w14:val="tx1"/>
            </w14:solidFill>
          </w14:textFill>
        </w:rPr>
        <w:t>依据《安全评价通则》（AQ8001-2007）、《安全验收评价导则》（AQ8</w:t>
      </w:r>
      <w:r>
        <w:rPr>
          <w:rFonts w:hint="eastAsia" w:ascii="宋体" w:hAnsi="宋体" w:eastAsia="宋体" w:cs="宋体"/>
          <w:color w:val="000000" w:themeColor="text1"/>
          <w:szCs w:val="28"/>
          <w14:textFill>
            <w14:solidFill>
              <w14:schemeClr w14:val="tx1"/>
            </w14:solidFill>
          </w14:textFill>
        </w:rPr>
        <w:t>003-2007）的相关规定，安全设施竣工验收程序主要分为前期准备；辨识与分析</w:t>
      </w:r>
      <w:r>
        <w:rPr>
          <w:rFonts w:hint="eastAsia" w:ascii="宋体" w:hAnsi="宋体" w:eastAsia="宋体" w:cs="宋体"/>
          <w:color w:val="000000" w:themeColor="text1"/>
          <w:szCs w:val="28"/>
          <w:lang w:eastAsia="zh-CN"/>
          <w14:textFill>
            <w14:solidFill>
              <w14:schemeClr w14:val="tx1"/>
            </w14:solidFill>
          </w14:textFill>
        </w:rPr>
        <w:t>危险有害因素</w:t>
      </w:r>
      <w:r>
        <w:rPr>
          <w:rFonts w:hint="eastAsia" w:ascii="宋体" w:hAnsi="宋体" w:eastAsia="宋体" w:cs="宋体"/>
          <w:color w:val="000000" w:themeColor="text1"/>
          <w:szCs w:val="28"/>
          <w14:textFill>
            <w14:solidFill>
              <w14:schemeClr w14:val="tx1"/>
            </w14:solidFill>
          </w14:textFill>
        </w:rPr>
        <w:t>；划分分析单元；选择</w:t>
      </w:r>
      <w:r>
        <w:rPr>
          <w:rFonts w:hint="eastAsia" w:ascii="宋体" w:hAnsi="宋体" w:eastAsia="宋体" w:cs="宋体"/>
          <w:color w:val="000000" w:themeColor="text1"/>
          <w:szCs w:val="28"/>
          <w:lang w:eastAsia="zh-CN"/>
          <w14:textFill>
            <w14:solidFill>
              <w14:schemeClr w14:val="tx1"/>
            </w14:solidFill>
          </w14:textFill>
        </w:rPr>
        <w:t>评价方法</w:t>
      </w:r>
      <w:r>
        <w:rPr>
          <w:rFonts w:hint="eastAsia" w:ascii="宋体" w:hAnsi="宋体" w:eastAsia="宋体" w:cs="宋体"/>
          <w:color w:val="000000" w:themeColor="text1"/>
          <w:szCs w:val="28"/>
          <w14:textFill>
            <w14:solidFill>
              <w14:schemeClr w14:val="tx1"/>
            </w14:solidFill>
          </w14:textFill>
        </w:rPr>
        <w:t>；定性定量分析；提出对策措施建议；作出分析结论；编制安全设施竣工验收报告等。安全设施竣工验收程序如图1-1所示</w:t>
      </w:r>
      <w:r>
        <w:rPr>
          <w:rFonts w:ascii="Times New Roman" w:hAnsi="Times New Roman" w:eastAsia="宋体" w:cs="Times New Roman"/>
          <w:color w:val="000000" w:themeColor="text1"/>
          <w:szCs w:val="28"/>
          <w14:textFill>
            <w14:solidFill>
              <w14:schemeClr w14:val="tx1"/>
            </w14:solidFill>
          </w14:textFill>
        </w:rPr>
        <w:t>。</w:t>
      </w:r>
    </w:p>
    <w:p w14:paraId="0FB56332">
      <w:pPr>
        <w:keepNext w:val="0"/>
        <w:keepLines w:val="0"/>
        <w:pageBreakBefore w:val="0"/>
        <w:widowControl w:val="0"/>
        <w:kinsoku/>
        <w:wordWrap/>
        <w:bidi w:val="0"/>
        <w:spacing w:before="0" w:beforeLines="-2147483648" w:line="240" w:lineRule="auto"/>
        <w:ind w:firstLine="0" w:firstLineChars="0"/>
        <w:jc w:val="center"/>
        <w:rPr>
          <w:rFonts w:ascii="宋体" w:hAnsi="宋体" w:eastAsia="宋体" w:cs="宋体"/>
          <w:b/>
          <w:color w:val="000000" w:themeColor="text1"/>
          <w:kern w:val="2"/>
          <w:sz w:val="24"/>
          <w:szCs w:val="28"/>
          <w:lang w:val="en-US" w:eastAsia="zh-CN" w:bidi="ar-SA"/>
          <w14:textFill>
            <w14:solidFill>
              <w14:schemeClr w14:val="tx1"/>
            </w14:solidFill>
          </w14:textFill>
        </w:rPr>
      </w:pPr>
      <w:r>
        <w:rPr>
          <w:rFonts w:ascii="宋体" w:hAnsi="宋体" w:eastAsia="宋体" w:cs="宋体"/>
          <w:b/>
          <w:color w:val="000000" w:themeColor="text1"/>
          <w:kern w:val="2"/>
          <w:sz w:val="24"/>
          <w:szCs w:val="28"/>
          <w:lang w:val="en-US" w:eastAsia="zh-CN" w:bidi="ar-SA"/>
          <w14:textFill>
            <w14:solidFill>
              <w14:schemeClr w14:val="tx1"/>
            </w14:solidFill>
          </w14:textFill>
        </w:rPr>
        <w:drawing>
          <wp:inline distT="0" distB="0" distL="114300" distR="114300">
            <wp:extent cx="1823085" cy="4156075"/>
            <wp:effectExtent l="0" t="0" r="0" b="0"/>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20"/>
                    <a:stretch>
                      <a:fillRect/>
                    </a:stretch>
                  </pic:blipFill>
                  <pic:spPr>
                    <a:xfrm>
                      <a:off x="0" y="0"/>
                      <a:ext cx="1823085" cy="4156075"/>
                    </a:xfrm>
                    <a:prstGeom prst="rect">
                      <a:avLst/>
                    </a:prstGeom>
                    <a:noFill/>
                    <a:ln>
                      <a:noFill/>
                    </a:ln>
                  </pic:spPr>
                </pic:pic>
              </a:graphicData>
            </a:graphic>
          </wp:inline>
        </w:drawing>
      </w:r>
    </w:p>
    <w:p w14:paraId="44E37B86">
      <w:pPr>
        <w:pStyle w:val="12"/>
        <w:keepNext w:val="0"/>
        <w:keepLines w:val="0"/>
        <w:pageBreakBefore w:val="0"/>
        <w:widowControl w:val="0"/>
        <w:kinsoku/>
        <w:bidi w:val="0"/>
        <w:rPr>
          <w:color w:val="000000" w:themeColor="text1"/>
          <w:lang w:val="en-US" w:eastAsia="zh-CN"/>
          <w14:textFill>
            <w14:solidFill>
              <w14:schemeClr w14:val="tx1"/>
            </w14:solidFill>
          </w14:textFill>
        </w:rPr>
      </w:pPr>
      <w:r>
        <w:rPr>
          <w:color w:val="000000" w:themeColor="text1"/>
          <w14:textFill>
            <w14:solidFill>
              <w14:schemeClr w14:val="tx1"/>
            </w14:solidFill>
          </w14:textFill>
        </w:rPr>
        <w:t>图</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图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安全验收评价</w:t>
      </w:r>
      <w:r>
        <w:rPr>
          <w:color w:val="000000" w:themeColor="text1"/>
          <w:lang w:val="en-US" w:eastAsia="zh-CN"/>
          <w14:textFill>
            <w14:solidFill>
              <w14:schemeClr w14:val="tx1"/>
            </w14:solidFill>
          </w14:textFill>
        </w:rPr>
        <w:t>程序</w:t>
      </w:r>
      <w:r>
        <w:rPr>
          <w:rFonts w:hint="eastAsia"/>
          <w:color w:val="000000" w:themeColor="text1"/>
          <w:lang w:val="en-US" w:eastAsia="zh-CN"/>
          <w14:textFill>
            <w14:solidFill>
              <w14:schemeClr w14:val="tx1"/>
            </w14:solidFill>
          </w14:textFill>
        </w:rPr>
        <w:t>框</w:t>
      </w:r>
      <w:r>
        <w:rPr>
          <w:color w:val="000000" w:themeColor="text1"/>
          <w:lang w:val="en-US" w:eastAsia="zh-CN"/>
          <w14:textFill>
            <w14:solidFill>
              <w14:schemeClr w14:val="tx1"/>
            </w14:solidFill>
          </w14:textFill>
        </w:rPr>
        <w:t>图</w:t>
      </w:r>
    </w:p>
    <w:p w14:paraId="6513A0CB">
      <w:pPr>
        <w:pStyle w:val="3"/>
        <w:keepNext w:val="0"/>
        <w:keepLines w:val="0"/>
        <w:pageBreakBefore w:val="0"/>
        <w:widowControl w:val="0"/>
        <w:kinsoku/>
        <w:bidi w:val="0"/>
        <w:rPr>
          <w:color w:val="000000" w:themeColor="text1"/>
          <w:lang w:val="en-US" w:eastAsia="zh-CN"/>
          <w14:textFill>
            <w14:solidFill>
              <w14:schemeClr w14:val="tx1"/>
            </w14:solidFill>
          </w14:textFill>
        </w:rPr>
      </w:pPr>
      <w:bookmarkStart w:id="71" w:name="_Toc32686"/>
      <w:bookmarkStart w:id="72" w:name="_Toc1612"/>
      <w:bookmarkStart w:id="73" w:name="_Toc20100"/>
      <w:bookmarkStart w:id="74" w:name="_Toc17271"/>
      <w:bookmarkStart w:id="75" w:name="_Toc1514"/>
      <w:bookmarkStart w:id="76" w:name="_Toc407"/>
      <w:r>
        <w:rPr>
          <w:rFonts w:hint="eastAsia"/>
          <w:color w:val="000000" w:themeColor="text1"/>
          <w:lang w:val="en-US" w:eastAsia="zh-CN"/>
          <w14:textFill>
            <w14:solidFill>
              <w14:schemeClr w14:val="tx1"/>
            </w14:solidFill>
          </w14:textFill>
        </w:rPr>
        <w:t>评价报告使用权声明</w:t>
      </w:r>
      <w:bookmarkEnd w:id="71"/>
      <w:bookmarkEnd w:id="72"/>
      <w:bookmarkEnd w:id="73"/>
      <w:bookmarkEnd w:id="74"/>
      <w:bookmarkEnd w:id="75"/>
    </w:p>
    <w:p w14:paraId="400CDAF7">
      <w:pPr>
        <w:keepNext w:val="0"/>
        <w:keepLines w:val="0"/>
        <w:pageBreakBefore w:val="0"/>
        <w:widowControl w:val="0"/>
        <w:kinsoku/>
        <w:wordWrap/>
        <w:bidi w:val="0"/>
        <w:ind w:firstLine="56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本评价报告是受</w:t>
      </w:r>
      <w:r>
        <w:rPr>
          <w:rFonts w:hint="eastAsia" w:ascii="宋体" w:hAnsi="宋体" w:eastAsia="宋体" w:cs="宋体"/>
          <w:color w:val="000000" w:themeColor="text1"/>
          <w:szCs w:val="28"/>
          <w:lang w:val="zh-CN"/>
          <w14:textFill>
            <w14:solidFill>
              <w14:schemeClr w14:val="tx1"/>
            </w14:solidFill>
          </w14:textFill>
        </w:rPr>
        <w:t>华能澜沧江（景洪）新能源有限公司</w:t>
      </w:r>
      <w:r>
        <w:rPr>
          <w:rFonts w:hint="eastAsia" w:ascii="Times New Roman" w:hAnsi="Times New Roman" w:eastAsia="宋体" w:cs="Times New Roman"/>
          <w:color w:val="000000" w:themeColor="text1"/>
          <w14:textFill>
            <w14:solidFill>
              <w14:schemeClr w14:val="tx1"/>
            </w14:solidFill>
          </w14:textFill>
        </w:rPr>
        <w:t>委托而编制的，专属委托方使用。除按规定上报各级应急部门外，昭通市鼎安科技有限公司不会将本评价报告内容向其他任何单位和个人提供，也不会将本评价报告的全部或部分内容在媒体上或以其他形式公开发表（安全评价技术研究成果除外）。</w:t>
      </w:r>
    </w:p>
    <w:p w14:paraId="3F59DD5B">
      <w:pPr>
        <w:pStyle w:val="3"/>
        <w:keepNext w:val="0"/>
        <w:keepLines w:val="0"/>
        <w:pageBreakBefore w:val="0"/>
        <w:widowControl w:val="0"/>
        <w:kinsoku/>
        <w:bidi w:val="0"/>
        <w:rPr>
          <w:color w:val="000000" w:themeColor="text1"/>
          <w:lang w:val="en-US" w:eastAsia="zh-CN"/>
          <w14:textFill>
            <w14:solidFill>
              <w14:schemeClr w14:val="tx1"/>
            </w14:solidFill>
          </w14:textFill>
        </w:rPr>
      </w:pPr>
      <w:bookmarkStart w:id="77" w:name="_Toc27570"/>
      <w:bookmarkStart w:id="78" w:name="_Toc7061"/>
      <w:bookmarkStart w:id="79" w:name="_Toc3341"/>
      <w:bookmarkStart w:id="80" w:name="_Toc19181"/>
      <w:bookmarkStart w:id="81" w:name="_Toc30213"/>
      <w:r>
        <w:rPr>
          <w:rFonts w:hint="eastAsia"/>
          <w:color w:val="000000" w:themeColor="text1"/>
          <w:lang w:val="en-US" w:eastAsia="zh-CN"/>
          <w14:textFill>
            <w14:solidFill>
              <w14:schemeClr w14:val="tx1"/>
            </w14:solidFill>
          </w14:textFill>
        </w:rPr>
        <w:t>评价基准日</w:t>
      </w:r>
      <w:bookmarkEnd w:id="76"/>
      <w:bookmarkEnd w:id="77"/>
      <w:bookmarkEnd w:id="78"/>
      <w:bookmarkEnd w:id="79"/>
      <w:bookmarkEnd w:id="80"/>
      <w:bookmarkEnd w:id="81"/>
    </w:p>
    <w:p w14:paraId="1B00150E">
      <w:pPr>
        <w:keepNext w:val="0"/>
        <w:keepLines w:val="0"/>
        <w:widowControl/>
        <w:suppressLineNumbers w:val="0"/>
        <w:jc w:val="left"/>
        <w:rPr>
          <w:rFonts w:hint="eastAsia" w:ascii="宋体" w:hAnsi="宋体" w:eastAsia="宋体" w:cs="宋体"/>
          <w:color w:val="000000" w:themeColor="text1"/>
          <w:szCs w:val="28"/>
          <w14:textFill>
            <w14:solidFill>
              <w14:schemeClr w14:val="tx1"/>
            </w14:solidFill>
          </w14:textFill>
        </w:rPr>
      </w:pPr>
      <w:r>
        <w:rPr>
          <w:rFonts w:hint="eastAsia" w:ascii="宋体" w:hAnsi="宋体" w:cs="宋体"/>
          <w:color w:val="000000" w:themeColor="text1"/>
          <w:szCs w:val="28"/>
          <w:lang w:eastAsia="zh-CN"/>
          <w14:textFill>
            <w14:solidFill>
              <w14:schemeClr w14:val="tx1"/>
            </w14:solidFill>
          </w14:textFill>
        </w:rPr>
        <w:t>项目组于</w:t>
      </w:r>
      <w:r>
        <w:rPr>
          <w:rFonts w:hint="eastAsia" w:ascii="宋体" w:hAnsi="宋体" w:cs="宋体"/>
          <w:color w:val="000000" w:themeColor="text1"/>
          <w:szCs w:val="28"/>
          <w:lang w:val="en-US" w:eastAsia="zh-CN"/>
          <w14:textFill>
            <w14:solidFill>
              <w14:schemeClr w14:val="tx1"/>
            </w14:solidFill>
          </w14:textFill>
        </w:rPr>
        <w:t>2024年12月13日第一次到现场进行踏勘，于</w:t>
      </w:r>
      <w:r>
        <w:rPr>
          <w:rFonts w:hint="eastAsia" w:ascii="宋体" w:hAnsi="宋体" w:eastAsia="宋体" w:cs="宋体"/>
          <w:color w:val="000000" w:themeColor="text1"/>
          <w:szCs w:val="28"/>
          <w14:textFill>
            <w14:solidFill>
              <w14:schemeClr w14:val="tx1"/>
            </w14:solidFill>
          </w14:textFill>
        </w:rPr>
        <w:t>202</w:t>
      </w:r>
      <w:r>
        <w:rPr>
          <w:rFonts w:hint="eastAsia" w:ascii="宋体" w:hAnsi="宋体" w:cs="宋体"/>
          <w:color w:val="000000" w:themeColor="text1"/>
          <w:szCs w:val="28"/>
          <w:lang w:val="en-US" w:eastAsia="zh-CN"/>
          <w14:textFill>
            <w14:solidFill>
              <w14:schemeClr w14:val="tx1"/>
            </w14:solidFill>
          </w14:textFill>
        </w:rPr>
        <w:t>5</w:t>
      </w:r>
      <w:r>
        <w:rPr>
          <w:rFonts w:hint="eastAsia" w:ascii="宋体" w:hAnsi="宋体" w:eastAsia="宋体" w:cs="宋体"/>
          <w:color w:val="000000" w:themeColor="text1"/>
          <w:szCs w:val="28"/>
          <w14:textFill>
            <w14:solidFill>
              <w14:schemeClr w14:val="tx1"/>
            </w14:solidFill>
          </w14:textFill>
        </w:rPr>
        <w:t>年</w:t>
      </w:r>
      <w:r>
        <w:rPr>
          <w:rFonts w:hint="eastAsia" w:ascii="宋体" w:hAnsi="宋体" w:cs="宋体"/>
          <w:color w:val="000000" w:themeColor="text1"/>
          <w:szCs w:val="28"/>
          <w:lang w:val="en-US" w:eastAsia="zh-CN"/>
          <w14:textFill>
            <w14:solidFill>
              <w14:schemeClr w14:val="tx1"/>
            </w14:solidFill>
          </w14:textFill>
        </w:rPr>
        <w:t>01</w:t>
      </w:r>
      <w:r>
        <w:rPr>
          <w:rFonts w:hint="eastAsia" w:ascii="宋体" w:hAnsi="宋体" w:eastAsia="宋体" w:cs="宋体"/>
          <w:color w:val="000000" w:themeColor="text1"/>
          <w:szCs w:val="28"/>
          <w14:textFill>
            <w14:solidFill>
              <w14:schemeClr w14:val="tx1"/>
            </w14:solidFill>
          </w14:textFill>
        </w:rPr>
        <w:t>月</w:t>
      </w:r>
      <w:r>
        <w:rPr>
          <w:rFonts w:hint="eastAsia" w:ascii="宋体" w:hAnsi="宋体" w:cs="宋体"/>
          <w:color w:val="000000" w:themeColor="text1"/>
          <w:szCs w:val="28"/>
          <w:lang w:val="en-US" w:eastAsia="zh-CN"/>
          <w14:textFill>
            <w14:solidFill>
              <w14:schemeClr w14:val="tx1"/>
            </w14:solidFill>
          </w14:textFill>
        </w:rPr>
        <w:t>08</w:t>
      </w:r>
      <w:r>
        <w:rPr>
          <w:rFonts w:hint="eastAsia" w:ascii="宋体" w:hAnsi="宋体" w:eastAsia="宋体" w:cs="宋体"/>
          <w:color w:val="000000" w:themeColor="text1"/>
          <w:szCs w:val="28"/>
          <w14:textFill>
            <w14:solidFill>
              <w14:schemeClr w14:val="tx1"/>
            </w14:solidFill>
          </w14:textFill>
        </w:rPr>
        <w:t>日</w:t>
      </w:r>
      <w:r>
        <w:rPr>
          <w:rFonts w:hint="eastAsia" w:ascii="宋体" w:hAnsi="宋体" w:cs="宋体"/>
          <w:color w:val="000000" w:themeColor="text1"/>
          <w:szCs w:val="28"/>
          <w:lang w:val="en-US" w:eastAsia="zh-CN"/>
          <w14:textFill>
            <w14:solidFill>
              <w14:schemeClr w14:val="tx1"/>
            </w14:solidFill>
          </w14:textFill>
        </w:rPr>
        <w:t>再次到现场踏勘，本次评价基准日</w:t>
      </w:r>
      <w:r>
        <w:rPr>
          <w:rFonts w:hint="eastAsia" w:ascii="宋体" w:hAnsi="宋体" w:eastAsia="宋体" w:cs="宋体"/>
          <w:color w:val="000000" w:themeColor="text1"/>
          <w:szCs w:val="28"/>
          <w14:textFill>
            <w14:solidFill>
              <w14:schemeClr w14:val="tx1"/>
            </w14:solidFill>
          </w14:textFill>
        </w:rPr>
        <w:t>202</w:t>
      </w:r>
      <w:r>
        <w:rPr>
          <w:rFonts w:hint="eastAsia" w:ascii="宋体" w:hAnsi="宋体" w:cs="宋体"/>
          <w:color w:val="000000" w:themeColor="text1"/>
          <w:szCs w:val="28"/>
          <w:lang w:val="en-US" w:eastAsia="zh-CN"/>
          <w14:textFill>
            <w14:solidFill>
              <w14:schemeClr w14:val="tx1"/>
            </w14:solidFill>
          </w14:textFill>
        </w:rPr>
        <w:t>5</w:t>
      </w:r>
      <w:r>
        <w:rPr>
          <w:rFonts w:hint="eastAsia" w:ascii="宋体" w:hAnsi="宋体" w:eastAsia="宋体" w:cs="宋体"/>
          <w:color w:val="000000" w:themeColor="text1"/>
          <w:szCs w:val="28"/>
          <w14:textFill>
            <w14:solidFill>
              <w14:schemeClr w14:val="tx1"/>
            </w14:solidFill>
          </w14:textFill>
        </w:rPr>
        <w:t>年</w:t>
      </w:r>
      <w:r>
        <w:rPr>
          <w:rFonts w:hint="eastAsia" w:ascii="宋体" w:hAnsi="宋体" w:cs="宋体"/>
          <w:color w:val="000000" w:themeColor="text1"/>
          <w:szCs w:val="28"/>
          <w:lang w:val="en-US" w:eastAsia="zh-CN"/>
          <w14:textFill>
            <w14:solidFill>
              <w14:schemeClr w14:val="tx1"/>
            </w14:solidFill>
          </w14:textFill>
        </w:rPr>
        <w:t>01</w:t>
      </w:r>
      <w:r>
        <w:rPr>
          <w:rFonts w:hint="eastAsia" w:ascii="宋体" w:hAnsi="宋体" w:eastAsia="宋体" w:cs="宋体"/>
          <w:color w:val="000000" w:themeColor="text1"/>
          <w:szCs w:val="28"/>
          <w14:textFill>
            <w14:solidFill>
              <w14:schemeClr w14:val="tx1"/>
            </w14:solidFill>
          </w14:textFill>
        </w:rPr>
        <w:t>月</w:t>
      </w:r>
      <w:r>
        <w:rPr>
          <w:rFonts w:hint="eastAsia" w:ascii="宋体" w:hAnsi="宋体" w:cs="宋体"/>
          <w:color w:val="000000" w:themeColor="text1"/>
          <w:szCs w:val="28"/>
          <w:lang w:val="en-US" w:eastAsia="zh-CN"/>
          <w14:textFill>
            <w14:solidFill>
              <w14:schemeClr w14:val="tx1"/>
            </w14:solidFill>
          </w14:textFill>
        </w:rPr>
        <w:t>08</w:t>
      </w:r>
      <w:r>
        <w:rPr>
          <w:rFonts w:hint="eastAsia" w:ascii="宋体" w:hAnsi="宋体" w:eastAsia="宋体" w:cs="宋体"/>
          <w:color w:val="000000" w:themeColor="text1"/>
          <w:szCs w:val="28"/>
          <w14:textFill>
            <w14:solidFill>
              <w14:schemeClr w14:val="tx1"/>
            </w14:solidFill>
          </w14:textFill>
        </w:rPr>
        <w:t>日。</w:t>
      </w:r>
    </w:p>
    <w:p w14:paraId="45466CD5">
      <w:pPr>
        <w:keepNext w:val="0"/>
        <w:keepLines w:val="0"/>
        <w:pageBreakBefore w:val="0"/>
        <w:widowControl w:val="0"/>
        <w:tabs>
          <w:tab w:val="left" w:pos="420"/>
        </w:tabs>
        <w:kinsoku/>
        <w:wordWrap/>
        <w:topLinePunct/>
        <w:bidi w:val="0"/>
        <w:ind w:firstLine="560"/>
        <w:jc w:val="left"/>
        <w:rPr>
          <w:rFonts w:hint="eastAsia" w:ascii="宋体" w:hAnsi="宋体" w:eastAsia="宋体" w:cs="宋体"/>
          <w:color w:val="000000" w:themeColor="text1"/>
          <w:szCs w:val="28"/>
          <w14:textFill>
            <w14:solidFill>
              <w14:schemeClr w14:val="tx1"/>
            </w14:solidFill>
          </w14:textFill>
        </w:rPr>
        <w:sectPr>
          <w:footerReference r:id="rId11" w:type="default"/>
          <w:pgSz w:w="11906" w:h="16838"/>
          <w:pgMar w:top="1417" w:right="1417" w:bottom="1417" w:left="1587" w:header="907" w:footer="907" w:gutter="0"/>
          <w:pgNumType w:fmt="decimal" w:start="1"/>
          <w:cols w:space="0" w:num="1"/>
          <w:rtlGutter w:val="0"/>
          <w:docGrid w:type="lines" w:linePitch="318" w:charSpace="0"/>
        </w:sectPr>
      </w:pPr>
    </w:p>
    <w:p w14:paraId="7D2F7611">
      <w:pPr>
        <w:pStyle w:val="2"/>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82" w:name="_Toc23112"/>
      <w:bookmarkStart w:id="83" w:name="_Toc1580"/>
      <w:r>
        <w:rPr>
          <w:rFonts w:hint="eastAsia"/>
          <w:color w:val="000000" w:themeColor="text1"/>
          <w:lang w:eastAsia="zh-CN"/>
          <w14:textFill>
            <w14:solidFill>
              <w14:schemeClr w14:val="tx1"/>
            </w14:solidFill>
          </w14:textFill>
        </w:rPr>
        <w:t>建设项目概况</w:t>
      </w:r>
      <w:bookmarkEnd w:id="82"/>
      <w:bookmarkEnd w:id="83"/>
    </w:p>
    <w:p w14:paraId="5B972E6D">
      <w:pPr>
        <w:pStyle w:val="3"/>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84" w:name="_Toc7070"/>
      <w:bookmarkStart w:id="85" w:name="_Toc27051"/>
      <w:r>
        <w:rPr>
          <w:rFonts w:hint="eastAsia"/>
          <w:color w:val="000000" w:themeColor="text1"/>
          <w:lang w:eastAsia="zh-CN"/>
          <w14:textFill>
            <w14:solidFill>
              <w14:schemeClr w14:val="tx1"/>
            </w14:solidFill>
          </w14:textFill>
        </w:rPr>
        <w:t>建设单位简介</w:t>
      </w:r>
      <w:bookmarkEnd w:id="84"/>
      <w:bookmarkEnd w:id="85"/>
    </w:p>
    <w:p w14:paraId="67229393">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统一社会信用代码：91532801MABN4NM888</w:t>
      </w:r>
    </w:p>
    <w:p w14:paraId="2ED976D1">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企业名称</w:t>
      </w:r>
      <w:r>
        <w:rPr>
          <w:rFonts w:hint="eastAsia" w:ascii="宋体" w:hAnsi="宋体" w:eastAsia="宋体" w:cs="宋体"/>
          <w:color w:val="000000" w:themeColor="text1"/>
          <w:lang w:val="zh-CN"/>
          <w14:textFill>
            <w14:solidFill>
              <w14:schemeClr w14:val="tx1"/>
            </w14:solidFill>
          </w14:textFill>
        </w:rPr>
        <w:t>：华能澜沧江(景洪)新能源有限公司</w:t>
      </w:r>
    </w:p>
    <w:p w14:paraId="267EF684">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 xml:space="preserve">类   型 ：有限责任公司(港澳台投资、非独资)(外资比例低于25%) </w:t>
      </w:r>
    </w:p>
    <w:p w14:paraId="09BFA8A6">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住   所 ：云南省西双版纳傣族自治州景洪市勐遮路4号(华能景洪</w:t>
      </w:r>
    </w:p>
    <w:p w14:paraId="12F4DA33">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水电建设管理局)</w:t>
      </w:r>
    </w:p>
    <w:p w14:paraId="1662B99A">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法定代表人：李增明</w:t>
      </w:r>
    </w:p>
    <w:p w14:paraId="54039CF0">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成立日期：2022年05月11日</w:t>
      </w:r>
    </w:p>
    <w:p w14:paraId="7E28F2F1">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lang w:val="zh-CN"/>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经营范围：许可项目：发电业务、输电业务、供(配)电业务，输电。供电、受电电力设施的安装、维修和试验(依法须经批准的项目，经相关部门批准后方可开展经营活动，具体经营项目以相关部门批准文件或许可 证件为准)一般项目：电气设备修理：电动汽车充电基础设施运营，新兴能源技术研发，风力发电技术服务，太阳能发电技术服务，发电技术服务， 工程管理服务(除依法须经批准的项目外，凭营业执照依法自主开展经营 活动)。</w:t>
      </w:r>
    </w:p>
    <w:p w14:paraId="33DD1B34">
      <w:pPr>
        <w:pStyle w:val="3"/>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86" w:name="_Toc14119"/>
      <w:bookmarkStart w:id="87" w:name="_Toc27480"/>
      <w:r>
        <w:rPr>
          <w:rFonts w:hint="eastAsia"/>
          <w:color w:val="000000" w:themeColor="text1"/>
          <w:lang w:eastAsia="zh-CN"/>
          <w14:textFill>
            <w14:solidFill>
              <w14:schemeClr w14:val="tx1"/>
            </w14:solidFill>
          </w14:textFill>
        </w:rPr>
        <w:t>建设项目</w:t>
      </w:r>
      <w:bookmarkEnd w:id="86"/>
      <w:r>
        <w:rPr>
          <w:rFonts w:hint="eastAsia"/>
          <w:color w:val="000000" w:themeColor="text1"/>
          <w:lang w:val="en-US" w:eastAsia="zh-CN"/>
          <w14:textFill>
            <w14:solidFill>
              <w14:schemeClr w14:val="tx1"/>
            </w14:solidFill>
          </w14:textFill>
        </w:rPr>
        <w:t>概况</w:t>
      </w:r>
      <w:bookmarkEnd w:id="87"/>
    </w:p>
    <w:p w14:paraId="23B65F43">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val="0"/>
          <w:bCs w:val="0"/>
          <w:color w:val="000000" w:themeColor="text1"/>
          <w:lang w:val="zh-CN"/>
          <w14:textFill>
            <w14:solidFill>
              <w14:schemeClr w14:val="tx1"/>
            </w14:solidFill>
          </w14:textFill>
        </w:rPr>
      </w:pPr>
      <w:bookmarkStart w:id="88" w:name="_Toc424289306"/>
      <w:bookmarkStart w:id="89" w:name="_Toc2876"/>
      <w:bookmarkStart w:id="90" w:name="_Toc523820252"/>
      <w:bookmarkStart w:id="91" w:name="_Toc14108"/>
      <w:r>
        <w:rPr>
          <w:rFonts w:hint="eastAsia" w:ascii="宋体" w:hAnsi="宋体" w:eastAsia="宋体" w:cs="宋体"/>
          <w:b w:val="0"/>
          <w:bCs w:val="0"/>
          <w:color w:val="000000" w:themeColor="text1"/>
          <w:lang w:val="zh-CN"/>
          <w14:textFill>
            <w14:solidFill>
              <w14:schemeClr w14:val="tx1"/>
            </w14:solidFill>
          </w14:textFill>
        </w:rPr>
        <w:t xml:space="preserve">建设单位名称：华能澜沧江(景洪)新能源有限公司 </w:t>
      </w:r>
    </w:p>
    <w:p w14:paraId="68941314">
      <w:pPr>
        <w:ind w:left="0" w:leftChars="0" w:firstLine="560" w:firstLineChars="200"/>
        <w:rPr>
          <w:rFonts w:hint="eastAsia" w:ascii="宋体" w:hAnsi="宋体" w:eastAsia="宋体" w:cs="宋体"/>
          <w:b w:val="0"/>
          <w:bCs w:val="0"/>
          <w:color w:val="000000" w:themeColor="text1"/>
          <w:lang w:val="zh-CN"/>
          <w14:textFill>
            <w14:solidFill>
              <w14:schemeClr w14:val="tx1"/>
            </w14:solidFill>
          </w14:textFill>
        </w:rPr>
      </w:pPr>
      <w:r>
        <w:rPr>
          <w:rFonts w:hint="eastAsia" w:ascii="宋体" w:hAnsi="宋体" w:eastAsia="宋体" w:cs="宋体"/>
          <w:b w:val="0"/>
          <w:bCs w:val="0"/>
          <w:color w:val="000000" w:themeColor="text1"/>
          <w:lang w:val="zh-CN"/>
          <w14:textFill>
            <w14:solidFill>
              <w14:schemeClr w14:val="tx1"/>
            </w14:solidFill>
          </w14:textFill>
        </w:rPr>
        <w:t>建设项目名称：</w:t>
      </w:r>
      <w:r>
        <w:rPr>
          <w:rFonts w:hint="eastAsia"/>
          <w:color w:val="000000" w:themeColor="text1"/>
          <w:lang w:eastAsia="zh-CN"/>
          <w14:textFill>
            <w14:solidFill>
              <w14:schemeClr w14:val="tx1"/>
            </w14:solidFill>
          </w14:textFill>
        </w:rPr>
        <w:t>基诺乡巴卡村洛科新寨光伏电站</w:t>
      </w:r>
    </w:p>
    <w:p w14:paraId="5B3D8F76">
      <w:pPr>
        <w:widowControl/>
        <w:ind w:left="0" w:leftChars="0" w:firstLine="560" w:firstLineChars="200"/>
        <w:jc w:val="left"/>
        <w:rPr>
          <w:rFonts w:hint="default" w:ascii="宋体" w:hAnsi="宋体" w:eastAsia="宋体" w:cs="宋体"/>
          <w:bCs/>
          <w:color w:val="000000" w:themeColor="text1"/>
          <w:szCs w:val="28"/>
          <w:lang w:val="en-US" w:eastAsia="zh-CN"/>
          <w14:textFill>
            <w14:solidFill>
              <w14:schemeClr w14:val="tx1"/>
            </w14:solidFill>
          </w14:textFill>
        </w:rPr>
      </w:pPr>
      <w:r>
        <w:rPr>
          <w:rFonts w:hint="eastAsia" w:ascii="宋体" w:hAnsi="宋体" w:eastAsia="宋体" w:cs="宋体"/>
          <w:b w:val="0"/>
          <w:bCs w:val="0"/>
          <w:color w:val="000000" w:themeColor="text1"/>
          <w:lang w:val="zh-CN"/>
          <w14:textFill>
            <w14:solidFill>
              <w14:schemeClr w14:val="tx1"/>
            </w14:solidFill>
          </w14:textFill>
        </w:rPr>
        <w:t>建设项目地址：</w:t>
      </w:r>
      <w:r>
        <w:rPr>
          <w:rFonts w:hint="eastAsia" w:hAnsi="Times New Roman"/>
          <w:color w:val="000000" w:themeColor="text1"/>
          <w:kern w:val="0"/>
          <w:lang w:bidi="ar"/>
          <w14:textFill>
            <w14:solidFill>
              <w14:schemeClr w14:val="tx1"/>
            </w14:solidFill>
          </w14:textFill>
        </w:rPr>
        <w:t>云南省西双版纳州景洪市基诺乡</w:t>
      </w:r>
      <w:r>
        <w:rPr>
          <w:rFonts w:hint="eastAsia" w:hAnsi="Times New Roman"/>
          <w:color w:val="000000" w:themeColor="text1"/>
          <w:kern w:val="0"/>
          <w:lang w:val="en-US" w:eastAsia="zh-CN" w:bidi="ar"/>
          <w14:textFill>
            <w14:solidFill>
              <w14:schemeClr w14:val="tx1"/>
            </w14:solidFill>
          </w14:textFill>
        </w:rPr>
        <w:t>巴卡村洛科新寨附近</w:t>
      </w:r>
    </w:p>
    <w:p w14:paraId="6D90FD74">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val="0"/>
          <w:bCs w:val="0"/>
          <w:color w:val="000000" w:themeColor="text1"/>
          <w:lang w:val="zh-CN"/>
          <w14:textFill>
            <w14:solidFill>
              <w14:schemeClr w14:val="tx1"/>
            </w14:solidFill>
          </w14:textFill>
        </w:rPr>
      </w:pPr>
      <w:r>
        <w:rPr>
          <w:rFonts w:hint="eastAsia" w:ascii="宋体" w:hAnsi="宋体" w:eastAsia="宋体" w:cs="宋体"/>
          <w:b w:val="0"/>
          <w:bCs w:val="0"/>
          <w:color w:val="000000" w:themeColor="text1"/>
          <w:lang w:val="zh-CN"/>
          <w14:textFill>
            <w14:solidFill>
              <w14:schemeClr w14:val="tx1"/>
            </w14:solidFill>
          </w14:textFill>
        </w:rPr>
        <w:t>建设性质：新 建</w:t>
      </w:r>
    </w:p>
    <w:p w14:paraId="789AEF7B">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val="0"/>
          <w:bCs w:val="0"/>
          <w:color w:val="000000" w:themeColor="text1"/>
          <w:lang w:val="zh-CN"/>
          <w14:textFill>
            <w14:solidFill>
              <w14:schemeClr w14:val="tx1"/>
            </w14:solidFill>
          </w14:textFill>
        </w:rPr>
      </w:pPr>
      <w:r>
        <w:rPr>
          <w:rFonts w:hint="eastAsia" w:ascii="宋体" w:hAnsi="宋体" w:eastAsia="宋体" w:cs="宋体"/>
          <w:b w:val="0"/>
          <w:bCs w:val="0"/>
          <w:color w:val="000000" w:themeColor="text1"/>
          <w:lang w:val="zh-CN"/>
          <w14:textFill>
            <w14:solidFill>
              <w14:schemeClr w14:val="tx1"/>
            </w14:solidFill>
          </w14:textFill>
        </w:rPr>
        <w:t>项目投资：</w:t>
      </w:r>
      <w:r>
        <w:rPr>
          <w:rFonts w:hint="eastAsia" w:ascii="宋体" w:hAnsi="宋体" w:eastAsia="宋体" w:cs="宋体"/>
          <w:b w:val="0"/>
          <w:bCs w:val="0"/>
          <w:color w:val="000000" w:themeColor="text1"/>
          <w:lang w:val="en-US" w:eastAsia="zh-CN"/>
          <w14:textFill>
            <w14:solidFill>
              <w14:schemeClr w14:val="tx1"/>
            </w14:solidFill>
          </w14:textFill>
        </w:rPr>
        <w:t>8990</w:t>
      </w:r>
      <w:r>
        <w:rPr>
          <w:rFonts w:hint="eastAsia" w:ascii="宋体" w:hAnsi="宋体" w:eastAsia="宋体" w:cs="宋体"/>
          <w:b w:val="0"/>
          <w:bCs w:val="0"/>
          <w:color w:val="000000" w:themeColor="text1"/>
          <w:lang w:val="zh-CN"/>
          <w14:textFill>
            <w14:solidFill>
              <w14:schemeClr w14:val="tx1"/>
            </w14:solidFill>
          </w14:textFill>
        </w:rPr>
        <w:t>万元</w:t>
      </w:r>
    </w:p>
    <w:p w14:paraId="7880D5D8">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spacing w:val="18"/>
          <w14:textFill>
            <w14:solidFill>
              <w14:schemeClr w14:val="tx1"/>
            </w14:solidFill>
          </w14:textFill>
        </w:rPr>
      </w:pPr>
      <w:r>
        <w:rPr>
          <w:rFonts w:hint="eastAsia" w:ascii="宋体" w:hAnsi="宋体" w:eastAsia="宋体" w:cs="宋体"/>
          <w:b w:val="0"/>
          <w:bCs w:val="0"/>
          <w:color w:val="000000" w:themeColor="text1"/>
          <w:lang w:val="zh-CN"/>
          <w14:textFill>
            <w14:solidFill>
              <w14:schemeClr w14:val="tx1"/>
            </w14:solidFill>
          </w14:textFill>
        </w:rPr>
        <w:t>建设规模：</w:t>
      </w:r>
      <w:r>
        <w:rPr>
          <w:rFonts w:hint="eastAsia" w:ascii="宋体" w:hAnsi="宋体" w:eastAsia="宋体" w:cs="宋体"/>
          <w:color w:val="000000" w:themeColor="text1"/>
          <w:spacing w:val="18"/>
          <w14:textFill>
            <w14:solidFill>
              <w14:schemeClr w14:val="tx1"/>
            </w14:solidFill>
          </w14:textFill>
        </w:rPr>
        <w:t>光伏电站布置</w:t>
      </w:r>
      <w:r>
        <w:rPr>
          <w:rFonts w:hint="eastAsia" w:ascii="宋体" w:hAnsi="宋体" w:eastAsia="宋体" w:cs="宋体"/>
          <w:color w:val="000000" w:themeColor="text1"/>
          <w:spacing w:val="-15"/>
          <w14:textFill>
            <w14:solidFill>
              <w14:schemeClr w14:val="tx1"/>
            </w14:solidFill>
          </w14:textFill>
        </w:rPr>
        <w:t xml:space="preserve"> </w:t>
      </w:r>
      <w:r>
        <w:rPr>
          <w:rFonts w:hint="eastAsia" w:ascii="宋体" w:hAnsi="宋体" w:eastAsia="宋体" w:cs="宋体"/>
          <w:color w:val="000000" w:themeColor="text1"/>
          <w:spacing w:val="18"/>
          <w:lang w:val="en-US" w:eastAsia="zh-CN"/>
          <w14:textFill>
            <w14:solidFill>
              <w14:schemeClr w14:val="tx1"/>
            </w14:solidFill>
          </w14:textFill>
        </w:rPr>
        <w:t>6</w:t>
      </w:r>
      <w:r>
        <w:rPr>
          <w:rFonts w:hint="eastAsia" w:ascii="宋体" w:hAnsi="宋体" w:eastAsia="宋体" w:cs="宋体"/>
          <w:color w:val="000000" w:themeColor="text1"/>
          <w:spacing w:val="18"/>
          <w14:textFill>
            <w14:solidFill>
              <w14:schemeClr w14:val="tx1"/>
            </w14:solidFill>
          </w14:textFill>
        </w:rPr>
        <w:t>个光伏阵列；</w:t>
      </w:r>
      <w:r>
        <w:rPr>
          <w:rFonts w:hint="eastAsia" w:ascii="宋体" w:hAnsi="宋体" w:eastAsia="宋体" w:cs="宋体"/>
          <w:color w:val="000000" w:themeColor="text1"/>
          <w:kern w:val="2"/>
          <w:sz w:val="28"/>
          <w:szCs w:val="24"/>
          <w:lang w:val="en-US" w:eastAsia="zh-CN" w:bidi="ar-SA"/>
          <w14:textFill>
            <w14:solidFill>
              <w14:schemeClr w14:val="tx1"/>
            </w14:solidFill>
          </w14:textFill>
        </w:rPr>
        <w:t>额定容量为15MWac,组件安装容量为19.33414MWp。</w:t>
      </w:r>
    </w:p>
    <w:p w14:paraId="12337FA8">
      <w:pPr>
        <w:tabs>
          <w:tab w:val="left" w:pos="5296"/>
        </w:tabs>
        <w:ind w:left="0" w:leftChars="0" w:firstLine="560" w:firstLineChars="200"/>
        <w:rPr>
          <w:rFonts w:hint="eastAsia" w:ascii="Times New Roman" w:hAnsi="Times New Roman" w:cs="Times New Roman" w:eastAsiaTheme="minorEastAsia"/>
          <w:color w:val="000000" w:themeColor="text1"/>
          <w:kern w:val="2"/>
          <w:sz w:val="28"/>
          <w:szCs w:val="24"/>
          <w:lang w:val="en-US" w:eastAsia="zh-CN" w:bidi="ar-SA"/>
          <w14:textFill>
            <w14:solidFill>
              <w14:schemeClr w14:val="tx1"/>
            </w14:solidFill>
          </w14:textFill>
        </w:rPr>
      </w:pPr>
      <w:r>
        <w:rPr>
          <w:rFonts w:hint="eastAsia" w:ascii="宋体" w:hAnsi="宋体" w:eastAsia="宋体" w:cs="宋体"/>
          <w:b w:val="0"/>
          <w:bCs w:val="0"/>
          <w:color w:val="000000" w:themeColor="text1"/>
          <w:lang w:val="zh-CN"/>
          <w14:textFill>
            <w14:solidFill>
              <w14:schemeClr w14:val="tx1"/>
            </w14:solidFill>
          </w14:textFill>
        </w:rPr>
        <w:t>建设</w:t>
      </w:r>
      <w:r>
        <w:rPr>
          <w:rFonts w:hint="eastAsia" w:ascii="宋体" w:hAnsi="宋体" w:eastAsia="宋体" w:cs="宋体"/>
          <w:b w:val="0"/>
          <w:bCs w:val="0"/>
          <w:color w:val="000000" w:themeColor="text1"/>
          <w:lang w:val="en-US" w:eastAsia="zh-CN"/>
          <w14:textFill>
            <w14:solidFill>
              <w14:schemeClr w14:val="tx1"/>
            </w14:solidFill>
          </w14:textFill>
        </w:rPr>
        <w:t>内容</w:t>
      </w:r>
      <w:r>
        <w:rPr>
          <w:rFonts w:hint="eastAsia" w:ascii="宋体" w:hAnsi="宋体" w:eastAsia="宋体" w:cs="宋体"/>
          <w:b w:val="0"/>
          <w:bCs w:val="0"/>
          <w:color w:val="000000" w:themeColor="text1"/>
          <w:lang w:val="zh-CN"/>
          <w14:textFill>
            <w14:solidFill>
              <w14:schemeClr w14:val="tx1"/>
            </w14:solidFill>
          </w14:textFill>
        </w:rPr>
        <w:t>：</w:t>
      </w:r>
      <w:r>
        <w:rPr>
          <w:rFonts w:hint="eastAsia" w:ascii="宋体" w:hAnsi="宋体" w:eastAsia="宋体" w:cs="宋体"/>
          <w:b w:val="0"/>
          <w:bCs w:val="0"/>
          <w:color w:val="000000" w:themeColor="text1"/>
          <w:lang w:val="en-US" w:eastAsia="zh-CN"/>
          <w14:textFill>
            <w14:solidFill>
              <w14:schemeClr w14:val="tx1"/>
            </w14:solidFill>
          </w14:textFill>
        </w:rPr>
        <w:t>建设</w:t>
      </w:r>
      <w:r>
        <w:rPr>
          <w:rFonts w:hint="eastAsia" w:ascii="宋体" w:hAnsi="宋体" w:eastAsia="宋体" w:cs="宋体"/>
          <w:color w:val="000000" w:themeColor="text1"/>
          <w:kern w:val="2"/>
          <w:sz w:val="28"/>
          <w:szCs w:val="24"/>
          <w:lang w:val="en-US" w:eastAsia="zh-CN" w:bidi="ar-SA"/>
          <w14:textFill>
            <w14:solidFill>
              <w14:schemeClr w14:val="tx1"/>
            </w14:solidFill>
          </w14:textFill>
        </w:rPr>
        <w:t>光伏区进场及检修道路、桩基础、箱变基础、场区围栏；支架及组件设备安装、箱变及逆变器安装、低压电缆敷设、场区接地；集电线路工程等。光伏组件采用</w:t>
      </w:r>
      <w:r>
        <w:rPr>
          <w:rFonts w:hint="eastAsia"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7</w:t>
      </w:r>
      <w:r>
        <w:rPr>
          <w:rFonts w:hint="eastAsia"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/580</w:t>
      </w:r>
      <w:r>
        <w:rPr>
          <w:rFonts w:hint="eastAsia" w:ascii="宋体" w:hAnsi="宋体" w:eastAsia="宋体" w:cs="宋体"/>
          <w:color w:val="000000" w:themeColor="text1"/>
          <w14:textFill>
            <w14:solidFill>
              <w14:schemeClr w14:val="tx1"/>
            </w14:solidFill>
          </w14:textFill>
        </w:rPr>
        <w:t>Wp单晶硅双面双玻光伏组件</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spacing w:val="5"/>
          <w14:textFill>
            <w14:solidFill>
              <w14:schemeClr w14:val="tx1"/>
            </w14:solidFill>
          </w14:textFill>
        </w:rPr>
        <w:t>组件倾角为</w:t>
      </w:r>
      <w:r>
        <w:rPr>
          <w:rFonts w:hint="eastAsia" w:ascii="宋体" w:hAnsi="宋体" w:eastAsia="宋体" w:cs="宋体"/>
          <w:color w:val="000000" w:themeColor="text1"/>
          <w:spacing w:val="-23"/>
          <w14:textFill>
            <w14:solidFill>
              <w14:schemeClr w14:val="tx1"/>
            </w14:solidFill>
          </w14:textFill>
        </w:rPr>
        <w:t xml:space="preserve"> </w:t>
      </w:r>
      <w:r>
        <w:rPr>
          <w:rFonts w:hint="eastAsia" w:ascii="宋体" w:hAnsi="宋体" w:eastAsia="宋体" w:cs="宋体"/>
          <w:color w:val="000000" w:themeColor="text1"/>
          <w:spacing w:val="5"/>
          <w:lang w:val="en-US" w:eastAsia="zh-CN"/>
          <w14:textFill>
            <w14:solidFill>
              <w14:schemeClr w14:val="tx1"/>
            </w14:solidFill>
          </w14:textFill>
        </w:rPr>
        <w:t>22</w:t>
      </w:r>
      <w:r>
        <w:rPr>
          <w:rFonts w:hint="eastAsia" w:ascii="宋体" w:hAnsi="宋体" w:eastAsia="宋体" w:cs="宋体"/>
          <w:color w:val="000000" w:themeColor="text1"/>
          <w:spacing w:val="5"/>
          <w14:textFill>
            <w14:solidFill>
              <w14:schemeClr w14:val="tx1"/>
            </w14:solidFill>
          </w14:textFill>
        </w:rPr>
        <w:t>°</w:t>
      </w:r>
      <w:r>
        <w:rPr>
          <w:rFonts w:hint="eastAsia" w:ascii="宋体" w:hAnsi="宋体" w:eastAsia="宋体" w:cs="宋体"/>
          <w:color w:val="000000" w:themeColor="text1"/>
          <w:spacing w:val="5"/>
          <w:lang w:eastAsia="zh-CN"/>
          <w14:textFill>
            <w14:solidFill>
              <w14:schemeClr w14:val="tx1"/>
            </w14:solidFill>
          </w14:textFill>
        </w:rPr>
        <w:t>，</w:t>
      </w:r>
      <w:r>
        <w:rPr>
          <w:rFonts w:hint="eastAsia" w:ascii="宋体" w:hAnsi="宋体" w:eastAsia="宋体" w:cs="宋体"/>
          <w:color w:val="000000" w:themeColor="text1"/>
          <w:spacing w:val="10"/>
          <w14:textFill>
            <w14:solidFill>
              <w14:schemeClr w14:val="tx1"/>
            </w14:solidFill>
          </w14:textFill>
        </w:rPr>
        <w:t>组件支架选用固</w:t>
      </w:r>
      <w:r>
        <w:rPr>
          <w:rFonts w:hint="eastAsia" w:ascii="宋体" w:hAnsi="宋体" w:eastAsia="宋体" w:cs="宋体"/>
          <w:color w:val="000000" w:themeColor="text1"/>
          <w:spacing w:val="11"/>
          <w14:textFill>
            <w14:solidFill>
              <w14:schemeClr w14:val="tx1"/>
            </w14:solidFill>
          </w14:textFill>
        </w:rPr>
        <w:t>定支架，逆变器采用组串式逆变器，</w:t>
      </w:r>
      <w:r>
        <w:rPr>
          <w:rFonts w:hint="eastAsia" w:ascii="宋体" w:hAnsi="宋体" w:eastAsia="宋体" w:cs="宋体"/>
          <w:color w:val="000000" w:themeColor="text1"/>
          <w14:textFill>
            <w14:solidFill>
              <w14:schemeClr w14:val="tx1"/>
            </w14:solidFill>
          </w14:textFill>
        </w:rPr>
        <w:t>每个光伏组串由28块光伏组件串联。全站共配置</w:t>
      </w:r>
      <w:r>
        <w:rPr>
          <w:rFonts w:hint="eastAsia" w:ascii="宋体" w:hAnsi="宋体" w:eastAsia="宋体" w:cs="宋体"/>
          <w:color w:val="000000" w:themeColor="text1"/>
          <w:lang w:val="en-US" w:eastAsia="zh-CN"/>
          <w14:textFill>
            <w14:solidFill>
              <w14:schemeClr w14:val="tx1"/>
            </w14:solidFill>
          </w14:textFill>
        </w:rPr>
        <w:t>48</w:t>
      </w:r>
      <w:r>
        <w:rPr>
          <w:rFonts w:hint="eastAsia" w:ascii="宋体" w:hAnsi="宋体" w:eastAsia="宋体" w:cs="宋体"/>
          <w:color w:val="000000" w:themeColor="text1"/>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320</w:t>
      </w:r>
      <w:r>
        <w:rPr>
          <w:rFonts w:hint="eastAsia" w:ascii="宋体" w:hAnsi="宋体" w:eastAsia="宋体" w:cs="宋体"/>
          <w:color w:val="000000" w:themeColor="text1"/>
          <w14:textFill>
            <w14:solidFill>
              <w14:schemeClr w14:val="tx1"/>
            </w14:solidFill>
          </w14:textFill>
        </w:rPr>
        <w:t>kW的组串式逆变器、</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260</w:t>
      </w:r>
      <w:r>
        <w:rPr>
          <w:rFonts w:hint="eastAsia" w:ascii="宋体" w:hAnsi="宋体" w:eastAsia="宋体" w:cs="宋体"/>
          <w:color w:val="000000" w:themeColor="text1"/>
          <w14:textFill>
            <w14:solidFill>
              <w14:schemeClr w14:val="tx1"/>
            </w14:solidFill>
          </w14:textFill>
        </w:rPr>
        <w:t>0kVA箱式变压器。</w:t>
      </w:r>
      <w:r>
        <w:rPr>
          <w:rFonts w:hint="eastAsia" w:ascii="宋体" w:hAnsi="宋体" w:eastAsia="宋体" w:cs="宋体"/>
          <w:color w:val="000000" w:themeColor="text1"/>
          <w:kern w:val="2"/>
          <w:sz w:val="28"/>
          <w:szCs w:val="24"/>
          <w:lang w:val="en-US" w:eastAsia="zh-CN" w:bidi="ar-SA"/>
          <w14:textFill>
            <w14:solidFill>
              <w14:schemeClr w14:val="tx1"/>
            </w14:solidFill>
          </w14:textFill>
        </w:rPr>
        <w:t>6个发电子阵由6台2600kVA箱变进行升压，升压至35kV后以1回35kV集电线路接入洛科大寨110kV升压站。</w:t>
      </w:r>
    </w:p>
    <w:p w14:paraId="3AB6D621">
      <w:pPr>
        <w:pStyle w:val="3"/>
        <w:keepNext w:val="0"/>
        <w:keepLines w:val="0"/>
        <w:pageBreakBefore w:val="0"/>
        <w:widowControl w:val="0"/>
        <w:kinsoku/>
        <w:bidi w:val="0"/>
        <w:rPr>
          <w:rFonts w:hint="eastAsia" w:cs="Times New Roman"/>
          <w:color w:val="000000" w:themeColor="text1"/>
          <w:lang w:eastAsia="zh-CN"/>
          <w14:textFill>
            <w14:solidFill>
              <w14:schemeClr w14:val="tx1"/>
            </w14:solidFill>
          </w14:textFill>
        </w:rPr>
      </w:pPr>
      <w:bookmarkStart w:id="92" w:name="_Toc20456"/>
      <w:r>
        <w:rPr>
          <w:rFonts w:hint="eastAsia" w:cs="Times New Roman"/>
          <w:color w:val="000000" w:themeColor="text1"/>
          <w:lang w:eastAsia="zh-CN"/>
          <w14:textFill>
            <w14:solidFill>
              <w14:schemeClr w14:val="tx1"/>
            </w14:solidFill>
          </w14:textFill>
        </w:rPr>
        <w:t>建设项目历程</w:t>
      </w:r>
      <w:bookmarkEnd w:id="92"/>
    </w:p>
    <w:p w14:paraId="24D43E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《华能澜沧江（景洪）新能源有限公司</w:t>
      </w:r>
      <w:r>
        <w:rPr>
          <w:rFonts w:hint="eastAsia" w:ascii="宋体" w:hAnsi="宋体" w:eastAsia="宋体" w:cs="宋体"/>
          <w:color w:val="000000" w:themeColor="text1"/>
          <w:kern w:val="0"/>
          <w:sz w:val="28"/>
          <w:szCs w:val="28"/>
          <w14:textFill>
            <w14:solidFill>
              <w14:schemeClr w14:val="tx1"/>
            </w14:solidFill>
          </w14:textFill>
        </w:rPr>
        <w:t>基诺乡巴卡村洛科新寨光伏电站</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建设历程如下：</w:t>
      </w:r>
    </w:p>
    <w:p w14:paraId="464547C8">
      <w:pPr>
        <w:keepNext w:val="0"/>
        <w:keepLines w:val="0"/>
        <w:pageBreakBefore w:val="0"/>
        <w:widowControl w:val="0"/>
        <w:numPr>
          <w:ilvl w:val="0"/>
          <w:numId w:val="11"/>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 xml:space="preserve"> 2022 年 08 月 02 日，</w:t>
      </w:r>
      <w:r>
        <w:rPr>
          <w:rFonts w:hint="eastAsia" w:ascii="宋体" w:hAnsi="宋体" w:eastAsia="宋体" w:cs="宋体"/>
          <w:color w:val="000000" w:themeColor="text1"/>
          <w:lang w:val="en-US" w:eastAsia="zh-CN"/>
          <w14:textFill>
            <w14:solidFill>
              <w14:schemeClr w14:val="tx1"/>
            </w14:solidFill>
          </w14:textFill>
        </w:rPr>
        <w:t>取得</w:t>
      </w:r>
      <w:r>
        <w:rPr>
          <w:rFonts w:hint="eastAsia" w:ascii="宋体" w:hAnsi="宋体" w:eastAsia="宋体" w:cs="宋体"/>
          <w:color w:val="000000" w:themeColor="text1"/>
          <w:lang w:eastAsia="zh-CN"/>
          <w14:textFill>
            <w14:solidFill>
              <w14:schemeClr w14:val="tx1"/>
            </w14:solidFill>
          </w14:textFill>
        </w:rPr>
        <w:t>景洪市发展和改革局《云南省</w:t>
      </w:r>
      <w:r>
        <w:rPr>
          <w:rFonts w:hint="eastAsia" w:ascii="宋体" w:hAnsi="宋体" w:eastAsia="宋体" w:cs="宋体"/>
          <w:color w:val="000000" w:themeColor="text1"/>
          <w:lang w:val="en-US" w:eastAsia="zh-CN"/>
          <w14:textFill>
            <w14:solidFill>
              <w14:schemeClr w14:val="tx1"/>
            </w14:solidFill>
          </w14:textFill>
        </w:rPr>
        <w:t>固定资产投资</w:t>
      </w:r>
      <w:r>
        <w:rPr>
          <w:rFonts w:hint="eastAsia" w:ascii="宋体" w:hAnsi="宋体" w:eastAsia="宋体" w:cs="宋体"/>
          <w:color w:val="000000" w:themeColor="text1"/>
          <w:lang w:eastAsia="zh-CN"/>
          <w14:textFill>
            <w14:solidFill>
              <w14:schemeClr w14:val="tx1"/>
            </w14:solidFill>
          </w14:textFill>
        </w:rPr>
        <w:t>项目备案证》（备案号：</w:t>
      </w:r>
      <w:r>
        <w:rPr>
          <w:rFonts w:hint="eastAsia" w:ascii="宋体" w:hAnsi="宋体" w:eastAsia="宋体" w:cs="宋体"/>
          <w:color w:val="000000" w:themeColor="text1"/>
          <w:sz w:val="28"/>
          <w:szCs w:val="28"/>
          <w:lang w:val="zh-CN"/>
          <w14:textFill>
            <w14:solidFill>
              <w14:schemeClr w14:val="tx1"/>
            </w14:solidFill>
          </w14:textFill>
        </w:rPr>
        <w:t>2208-532801-04-01-</w:t>
      </w:r>
      <w:r>
        <w:rPr>
          <w:rFonts w:hint="eastAsia" w:ascii="宋体" w:hAnsi="宋体" w:eastAsia="宋体" w:cs="宋体"/>
          <w:color w:val="000000" w:themeColor="text1"/>
          <w:sz w:val="28"/>
          <w:szCs w:val="28"/>
          <w:lang w:val="en-US" w:eastAsia="zh-CN"/>
          <w14:textFill>
            <w14:solidFill>
              <w14:schemeClr w14:val="tx1"/>
            </w14:solidFill>
          </w14:textFill>
        </w:rPr>
        <w:t>44814</w:t>
      </w:r>
      <w:r>
        <w:rPr>
          <w:rFonts w:hint="eastAsia" w:ascii="宋体" w:hAnsi="宋体" w:eastAsia="宋体" w:cs="宋体"/>
          <w:color w:val="000000" w:themeColor="text1"/>
          <w:lang w:eastAsia="zh-CN"/>
          <w14:textFill>
            <w14:solidFill>
              <w14:schemeClr w14:val="tx1"/>
            </w14:solidFill>
          </w14:textFill>
        </w:rPr>
        <w:t>）；</w:t>
      </w:r>
    </w:p>
    <w:p w14:paraId="4526246A">
      <w:pPr>
        <w:keepNext w:val="0"/>
        <w:keepLines w:val="0"/>
        <w:pageBreakBefore w:val="0"/>
        <w:widowControl w:val="0"/>
        <w:numPr>
          <w:ilvl w:val="0"/>
          <w:numId w:val="11"/>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2022年10月</w:t>
      </w:r>
      <w:r>
        <w:rPr>
          <w:rFonts w:hint="eastAsia" w:ascii="宋体" w:hAnsi="宋体" w:eastAsia="宋体" w:cs="宋体"/>
          <w:color w:val="000000" w:themeColor="text1"/>
          <w:sz w:val="28"/>
          <w:szCs w:val="28"/>
          <w:lang w:val="en-US" w:eastAsia="zh-CN"/>
          <w14:textFill>
            <w14:solidFill>
              <w14:schemeClr w14:val="tx1"/>
            </w14:solidFill>
          </w14:textFill>
        </w:rPr>
        <w:t>委托</w:t>
      </w:r>
      <w:r>
        <w:rPr>
          <w:rFonts w:hint="eastAsia" w:ascii="宋体" w:hAnsi="宋体" w:eastAsia="宋体" w:cs="宋体"/>
          <w:color w:val="000000" w:themeColor="text1"/>
          <w:kern w:val="0"/>
          <w:sz w:val="28"/>
          <w:szCs w:val="28"/>
          <w14:textFill>
            <w14:solidFill>
              <w14:schemeClr w14:val="tx1"/>
            </w14:solidFill>
          </w14:textFill>
        </w:rPr>
        <w:t>中国电建集团贵阳勘测设计研究院有限公司</w:t>
      </w:r>
      <w:r>
        <w:rPr>
          <w:rFonts w:hint="eastAsia" w:ascii="宋体" w:hAnsi="宋体" w:eastAsia="宋体" w:cs="宋体"/>
          <w:color w:val="000000" w:themeColor="text1"/>
          <w:kern w:val="0"/>
          <w:sz w:val="28"/>
          <w:szCs w:val="28"/>
          <w:lang w:val="en-US" w:eastAsia="zh-CN"/>
          <w14:textFill>
            <w14:solidFill>
              <w14:schemeClr w14:val="tx1"/>
            </w14:solidFill>
          </w14:textFill>
        </w:rPr>
        <w:t>编制完成</w:t>
      </w:r>
      <w:r>
        <w:rPr>
          <w:rFonts w:hint="eastAsia" w:ascii="宋体" w:hAnsi="宋体" w:eastAsia="宋体" w:cs="宋体"/>
          <w:color w:val="000000" w:themeColor="text1"/>
          <w:kern w:val="0"/>
          <w:sz w:val="28"/>
          <w:szCs w:val="28"/>
          <w14:textFill>
            <w14:solidFill>
              <w14:schemeClr w14:val="tx1"/>
            </w14:solidFill>
          </w14:textFill>
        </w:rPr>
        <w:t>《基诺乡巴卡村洛科新寨光伏电站项目可行性研究报告》</w:t>
      </w:r>
      <w:r>
        <w:rPr>
          <w:rFonts w:hint="eastAsia" w:ascii="宋体" w:hAnsi="宋体" w:eastAsia="宋体" w:cs="宋体"/>
          <w:color w:val="000000" w:themeColor="text1"/>
          <w:sz w:val="28"/>
          <w:szCs w:val="28"/>
          <w:lang w:eastAsia="zh-CN"/>
          <w14:textFill>
            <w14:solidFill>
              <w14:schemeClr w14:val="tx1"/>
            </w14:solidFill>
          </w14:textFill>
        </w:rPr>
        <w:t>；</w:t>
      </w:r>
    </w:p>
    <w:p w14:paraId="032824EE">
      <w:pPr>
        <w:keepNext w:val="0"/>
        <w:keepLines w:val="0"/>
        <w:pageBreakBefore w:val="0"/>
        <w:widowControl w:val="0"/>
        <w:numPr>
          <w:ilvl w:val="0"/>
          <w:numId w:val="11"/>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8"/>
          <w:szCs w:val="28"/>
          <w:lang w:val="zh-CN" w:eastAsia="zh-CN"/>
          <w14:textFill>
            <w14:solidFill>
              <w14:schemeClr w14:val="tx1"/>
            </w14:solidFill>
          </w14:textFill>
        </w:rPr>
      </w:pPr>
      <w:r>
        <w:rPr>
          <w:rFonts w:hint="eastAsia" w:ascii="宋体" w:hAnsi="宋体" w:eastAsia="宋体" w:cs="宋体"/>
          <w:color w:val="000000" w:themeColor="text1"/>
          <w:lang w:val="zh-CN" w:eastAsia="zh-CN"/>
          <w14:textFill>
            <w14:solidFill>
              <w14:schemeClr w14:val="tx1"/>
            </w14:solidFill>
          </w14:textFill>
        </w:rPr>
        <w:t>202</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lang w:val="zh-CN" w:eastAsia="zh-CN"/>
          <w14:textFill>
            <w14:solidFill>
              <w14:schemeClr w14:val="tx1"/>
            </w14:solidFill>
          </w14:textFill>
        </w:rPr>
        <w:t>年</w:t>
      </w:r>
      <w:r>
        <w:rPr>
          <w:rFonts w:hint="eastAsia" w:ascii="宋体" w:hAnsi="宋体" w:eastAsia="宋体" w:cs="宋体"/>
          <w:color w:val="000000" w:themeColor="text1"/>
          <w:lang w:val="en-US" w:eastAsia="zh-CN"/>
          <w14:textFill>
            <w14:solidFill>
              <w14:schemeClr w14:val="tx1"/>
            </w14:solidFill>
          </w14:textFill>
        </w:rPr>
        <w:t>12</w:t>
      </w:r>
      <w:r>
        <w:rPr>
          <w:rFonts w:hint="eastAsia" w:ascii="宋体" w:hAnsi="宋体" w:eastAsia="宋体" w:cs="宋体"/>
          <w:color w:val="000000" w:themeColor="text1"/>
          <w:lang w:val="zh-CN" w:eastAsia="zh-CN"/>
          <w14:textFill>
            <w14:solidFill>
              <w14:schemeClr w14:val="tx1"/>
            </w14:solidFill>
          </w14:textFill>
        </w:rPr>
        <w:t>月</w:t>
      </w:r>
      <w:r>
        <w:rPr>
          <w:rFonts w:hint="eastAsia" w:ascii="宋体" w:hAnsi="宋体" w:eastAsia="宋体" w:cs="宋体"/>
          <w:color w:val="000000" w:themeColor="text1"/>
          <w:sz w:val="28"/>
          <w:szCs w:val="28"/>
          <w:lang w:val="zh-CN"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贵州昊华工程技术有限公司</w:t>
      </w:r>
      <w:r>
        <w:rPr>
          <w:rFonts w:hint="eastAsia" w:ascii="宋体" w:hAnsi="宋体" w:eastAsia="宋体" w:cs="宋体"/>
          <w:color w:val="000000" w:themeColor="text1"/>
          <w:sz w:val="28"/>
          <w:szCs w:val="28"/>
          <w:lang w:val="en-US" w:eastAsia="zh-CN"/>
          <w14:textFill>
            <w14:solidFill>
              <w14:schemeClr w14:val="tx1"/>
            </w14:solidFill>
          </w14:textFill>
        </w:rPr>
        <w:t>编制完成</w:t>
      </w:r>
      <w:r>
        <w:rPr>
          <w:rFonts w:hint="eastAsia" w:ascii="宋体" w:hAnsi="宋体" w:eastAsia="宋体" w:cs="宋体"/>
          <w:color w:val="000000" w:themeColor="text1"/>
          <w:sz w:val="28"/>
          <w:szCs w:val="28"/>
          <w:lang w:val="zh-CN" w:eastAsia="zh-CN"/>
          <w14:textFill>
            <w14:solidFill>
              <w14:schemeClr w14:val="tx1"/>
            </w14:solidFill>
          </w14:textFill>
        </w:rPr>
        <w:t>《华能澜沧江(景洪)新能源有限公司</w:t>
      </w:r>
      <w:r>
        <w:rPr>
          <w:rFonts w:hint="eastAsia" w:ascii="宋体" w:hAnsi="宋体" w:eastAsia="宋体" w:cs="宋体"/>
          <w:color w:val="000000" w:themeColor="text1"/>
          <w:kern w:val="0"/>
          <w:sz w:val="28"/>
          <w:szCs w:val="28"/>
          <w14:textFill>
            <w14:solidFill>
              <w14:schemeClr w14:val="tx1"/>
            </w14:solidFill>
          </w14:textFill>
        </w:rPr>
        <w:t>基诺乡巴卡村洛科新寨光伏电站</w:t>
      </w:r>
      <w:r>
        <w:rPr>
          <w:rFonts w:hint="eastAsia" w:ascii="宋体" w:hAnsi="宋体" w:eastAsia="宋体" w:cs="宋体"/>
          <w:color w:val="000000" w:themeColor="text1"/>
          <w:sz w:val="28"/>
          <w:szCs w:val="28"/>
          <w:lang w:val="zh-CN" w:eastAsia="zh-CN"/>
          <w14:textFill>
            <w14:solidFill>
              <w14:schemeClr w14:val="tx1"/>
            </w14:solidFill>
          </w14:textFill>
        </w:rPr>
        <w:t>安全生产条件和设施综合分析报告》；</w:t>
      </w:r>
    </w:p>
    <w:p w14:paraId="19CA0DBA">
      <w:pPr>
        <w:keepNext w:val="0"/>
        <w:keepLines w:val="0"/>
        <w:pageBreakBefore w:val="0"/>
        <w:widowControl w:val="0"/>
        <w:numPr>
          <w:ilvl w:val="0"/>
          <w:numId w:val="11"/>
        </w:numPr>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2024年4月，委托</w:t>
      </w:r>
      <w:r>
        <w:rPr>
          <w:rFonts w:hint="eastAsia" w:ascii="宋体" w:hAnsi="宋体" w:eastAsia="宋体" w:cs="宋体"/>
          <w:color w:val="000000" w:themeColor="text1"/>
          <w:sz w:val="28"/>
          <w:szCs w:val="28"/>
          <w:lang w:val="zh-CN" w:eastAsia="zh-CN"/>
          <w14:textFill>
            <w14:solidFill>
              <w14:schemeClr w14:val="tx1"/>
            </w14:solidFill>
          </w14:textFill>
        </w:rPr>
        <w:t>中舜国际工</w:t>
      </w:r>
      <w:r>
        <w:rPr>
          <w:rFonts w:hint="eastAsia" w:ascii="宋体" w:hAnsi="宋体" w:eastAsia="宋体" w:cs="宋体"/>
          <w:color w:val="000000" w:themeColor="text1"/>
          <w:lang w:val="zh-CN" w:eastAsia="zh-CN"/>
          <w14:textFill>
            <w14:solidFill>
              <w14:schemeClr w14:val="tx1"/>
            </w14:solidFill>
          </w14:textFill>
        </w:rPr>
        <w:t>程设计有限公司</w:t>
      </w:r>
      <w:r>
        <w:rPr>
          <w:rFonts w:hint="eastAsia" w:ascii="宋体" w:hAnsi="宋体" w:eastAsia="宋体" w:cs="宋体"/>
          <w:color w:val="000000" w:themeColor="text1"/>
          <w:lang w:val="en-US" w:eastAsia="zh-CN"/>
          <w14:textFill>
            <w14:solidFill>
              <w14:schemeClr w14:val="tx1"/>
            </w14:solidFill>
          </w14:textFill>
        </w:rPr>
        <w:t>编制完成</w:t>
      </w:r>
      <w:r>
        <w:rPr>
          <w:rFonts w:hint="eastAsia" w:ascii="宋体" w:hAnsi="宋体" w:eastAsia="宋体" w:cs="宋体"/>
          <w:color w:val="000000" w:themeColor="text1"/>
          <w:lang w:val="zh-CN" w:eastAsia="zh-CN"/>
          <w14:textFill>
            <w14:solidFill>
              <w14:schemeClr w14:val="tx1"/>
            </w14:solidFill>
          </w14:textFill>
        </w:rPr>
        <w:t>《华能澜沧江（景洪）新能源有限公司</w:t>
      </w:r>
      <w:r>
        <w:rPr>
          <w:rFonts w:hint="eastAsia" w:ascii="宋体" w:hAnsi="宋体" w:eastAsia="宋体" w:cs="宋体"/>
          <w:color w:val="000000" w:themeColor="text1"/>
          <w:kern w:val="0"/>
          <w:sz w:val="28"/>
          <w:szCs w:val="28"/>
          <w14:textFill>
            <w14:solidFill>
              <w14:schemeClr w14:val="tx1"/>
            </w14:solidFill>
          </w14:textFill>
        </w:rPr>
        <w:t>基诺乡巴卡村洛科新寨光伏电站</w:t>
      </w:r>
      <w:r>
        <w:rPr>
          <w:rFonts w:hint="eastAsia" w:ascii="宋体" w:hAnsi="宋体" w:eastAsia="宋体" w:cs="宋体"/>
          <w:color w:val="000000" w:themeColor="text1"/>
          <w:lang w:val="en-US" w:eastAsia="zh-CN"/>
          <w14:textFill>
            <w14:solidFill>
              <w14:schemeClr w14:val="tx1"/>
            </w14:solidFill>
          </w14:textFill>
        </w:rPr>
        <w:t>安全设施设计</w:t>
      </w:r>
      <w:r>
        <w:rPr>
          <w:rFonts w:hint="eastAsia" w:ascii="宋体" w:hAnsi="宋体" w:eastAsia="宋体" w:cs="宋体"/>
          <w:color w:val="000000" w:themeColor="text1"/>
          <w:lang w:val="zh-CN"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w:t>
      </w:r>
    </w:p>
    <w:p w14:paraId="18A59675">
      <w:pPr>
        <w:pStyle w:val="57"/>
        <w:numPr>
          <w:ilvl w:val="0"/>
          <w:numId w:val="11"/>
        </w:numPr>
        <w:spacing w:line="500" w:lineRule="exact"/>
        <w:ind w:left="0" w:leftChars="0" w:firstLine="560" w:firstLineChars="200"/>
        <w:rPr>
          <w:rFonts w:hint="eastAsia" w:ascii="宋体" w:hAnsi="宋体" w:eastAsia="宋体" w:cs="宋体"/>
          <w:color w:val="4874CB" w:themeColor="accent1"/>
          <w:sz w:val="28"/>
          <w:szCs w:val="28"/>
          <w:lang w:val="en-US" w:eastAsia="zh-CN"/>
          <w14:textFill>
            <w14:solidFill>
              <w14:schemeClr w14:val="accent1"/>
            </w14:solidFill>
          </w14:textFill>
        </w:rPr>
      </w:pPr>
      <w:r>
        <w:rPr>
          <w:rFonts w:hint="eastAsia" w:ascii="宋体" w:hAnsi="宋体" w:eastAsia="宋体" w:cs="宋体"/>
          <w:color w:val="4874CB" w:themeColor="accent1"/>
          <w:kern w:val="2"/>
          <w:sz w:val="28"/>
          <w:szCs w:val="28"/>
          <w:highlight w:val="none"/>
          <w:lang w:val="zh-CN" w:eastAsia="zh-CN" w:bidi="ar-SA"/>
          <w14:textFill>
            <w14:solidFill>
              <w14:schemeClr w14:val="accent1"/>
            </w14:solidFill>
          </w14:textFill>
        </w:rPr>
        <w:t>项目于</w:t>
      </w:r>
      <w:bookmarkStart w:id="93" w:name="OLE_LINK6"/>
      <w:r>
        <w:rPr>
          <w:rFonts w:hint="eastAsia" w:ascii="宋体" w:hAnsi="宋体" w:eastAsia="宋体" w:cs="宋体"/>
          <w:color w:val="4874CB" w:themeColor="accent1"/>
          <w:kern w:val="2"/>
          <w:sz w:val="28"/>
          <w:szCs w:val="28"/>
          <w:highlight w:val="none"/>
          <w:lang w:val="zh-CN" w:eastAsia="zh-CN" w:bidi="ar-SA"/>
          <w14:textFill>
            <w14:solidFill>
              <w14:schemeClr w14:val="accent1"/>
            </w14:solidFill>
          </w14:textFill>
        </w:rPr>
        <w:t>202</w:t>
      </w:r>
      <w:r>
        <w:rPr>
          <w:rFonts w:hint="eastAsia" w:ascii="宋体" w:hAnsi="宋体" w:eastAsia="宋体" w:cs="宋体"/>
          <w:color w:val="4874CB" w:themeColor="accent1"/>
          <w:kern w:val="2"/>
          <w:sz w:val="28"/>
          <w:szCs w:val="28"/>
          <w:highlight w:val="none"/>
          <w:lang w:val="en-US" w:eastAsia="zh-CN" w:bidi="ar-SA"/>
          <w14:textFill>
            <w14:solidFill>
              <w14:schemeClr w14:val="accent1"/>
            </w14:solidFill>
          </w14:textFill>
        </w:rPr>
        <w:t>3</w:t>
      </w:r>
      <w:r>
        <w:rPr>
          <w:rFonts w:hint="eastAsia" w:ascii="宋体" w:hAnsi="宋体" w:eastAsia="宋体" w:cs="宋体"/>
          <w:color w:val="4874CB" w:themeColor="accent1"/>
          <w:kern w:val="2"/>
          <w:sz w:val="28"/>
          <w:szCs w:val="28"/>
          <w:highlight w:val="none"/>
          <w:lang w:val="zh-CN" w:eastAsia="zh-CN" w:bidi="ar-SA"/>
          <w14:textFill>
            <w14:solidFill>
              <w14:schemeClr w14:val="accent1"/>
            </w14:solidFill>
          </w14:textFill>
        </w:rPr>
        <w:t>年</w:t>
      </w:r>
      <w:r>
        <w:rPr>
          <w:rFonts w:hint="eastAsia" w:ascii="宋体" w:hAnsi="宋体" w:eastAsia="宋体" w:cs="宋体"/>
          <w:color w:val="4874CB" w:themeColor="accent1"/>
          <w:kern w:val="2"/>
          <w:sz w:val="28"/>
          <w:szCs w:val="28"/>
          <w:highlight w:val="none"/>
          <w:lang w:val="en-US" w:eastAsia="zh-CN" w:bidi="ar-SA"/>
          <w14:textFill>
            <w14:solidFill>
              <w14:schemeClr w14:val="accent1"/>
            </w14:solidFill>
          </w14:textFill>
        </w:rPr>
        <w:t>10</w:t>
      </w:r>
      <w:r>
        <w:rPr>
          <w:rFonts w:hint="eastAsia" w:ascii="宋体" w:hAnsi="宋体" w:eastAsia="宋体" w:cs="宋体"/>
          <w:color w:val="4874CB" w:themeColor="accent1"/>
          <w:kern w:val="2"/>
          <w:sz w:val="28"/>
          <w:szCs w:val="28"/>
          <w:highlight w:val="none"/>
          <w:lang w:val="zh-CN" w:eastAsia="zh-CN" w:bidi="ar-SA"/>
          <w14:textFill>
            <w14:solidFill>
              <w14:schemeClr w14:val="accent1"/>
            </w14:solidFill>
          </w14:textFill>
        </w:rPr>
        <w:t>月</w:t>
      </w:r>
      <w:r>
        <w:rPr>
          <w:rFonts w:hint="eastAsia" w:ascii="宋体" w:hAnsi="宋体" w:eastAsia="宋体" w:cs="宋体"/>
          <w:color w:val="4874CB" w:themeColor="accent1"/>
          <w:kern w:val="2"/>
          <w:sz w:val="28"/>
          <w:szCs w:val="28"/>
          <w:highlight w:val="none"/>
          <w:lang w:val="en-US" w:eastAsia="zh-CN" w:bidi="ar-SA"/>
          <w14:textFill>
            <w14:solidFill>
              <w14:schemeClr w14:val="accent1"/>
            </w14:solidFill>
          </w14:textFill>
        </w:rPr>
        <w:t>9</w:t>
      </w:r>
      <w:r>
        <w:rPr>
          <w:rFonts w:hint="eastAsia" w:ascii="宋体" w:hAnsi="宋体" w:eastAsia="宋体" w:cs="宋体"/>
          <w:color w:val="4874CB" w:themeColor="accent1"/>
          <w:kern w:val="2"/>
          <w:sz w:val="28"/>
          <w:szCs w:val="28"/>
          <w:highlight w:val="none"/>
          <w:lang w:val="zh-CN" w:eastAsia="zh-CN" w:bidi="ar-SA"/>
          <w14:textFill>
            <w14:solidFill>
              <w14:schemeClr w14:val="accent1"/>
            </w14:solidFill>
          </w14:textFill>
        </w:rPr>
        <w:t>日开工建设，2</w:t>
      </w:r>
      <w:r>
        <w:rPr>
          <w:rFonts w:hint="eastAsia" w:ascii="宋体" w:hAnsi="宋体" w:eastAsia="宋体" w:cs="宋体"/>
          <w:color w:val="4874CB" w:themeColor="accent1"/>
          <w:kern w:val="2"/>
          <w:sz w:val="28"/>
          <w:szCs w:val="28"/>
          <w:lang w:val="zh-CN" w:eastAsia="zh-CN" w:bidi="ar-SA"/>
          <w14:textFill>
            <w14:solidFill>
              <w14:schemeClr w14:val="accent1"/>
            </w14:solidFill>
          </w14:textFill>
        </w:rPr>
        <w:t>024年</w:t>
      </w:r>
      <w:r>
        <w:rPr>
          <w:rFonts w:hint="eastAsia" w:ascii="宋体" w:hAnsi="宋体" w:eastAsia="宋体" w:cs="宋体"/>
          <w:color w:val="4874CB" w:themeColor="accent1"/>
          <w:kern w:val="2"/>
          <w:sz w:val="28"/>
          <w:szCs w:val="28"/>
          <w:lang w:val="en-US" w:eastAsia="zh-CN" w:bidi="ar-SA"/>
          <w14:textFill>
            <w14:solidFill>
              <w14:schemeClr w14:val="accent1"/>
            </w14:solidFill>
          </w14:textFill>
        </w:rPr>
        <w:t>1</w:t>
      </w:r>
      <w:r>
        <w:rPr>
          <w:rFonts w:hint="eastAsia" w:ascii="宋体" w:hAnsi="宋体" w:eastAsia="宋体" w:cs="宋体"/>
          <w:color w:val="4874CB" w:themeColor="accent1"/>
          <w:kern w:val="2"/>
          <w:sz w:val="28"/>
          <w:szCs w:val="28"/>
          <w:lang w:val="zh-CN" w:eastAsia="zh-CN" w:bidi="ar-SA"/>
          <w14:textFill>
            <w14:solidFill>
              <w14:schemeClr w14:val="accent1"/>
            </w14:solidFill>
          </w14:textFill>
        </w:rPr>
        <w:t>月1</w:t>
      </w:r>
      <w:r>
        <w:rPr>
          <w:rFonts w:hint="eastAsia" w:ascii="宋体" w:hAnsi="宋体" w:eastAsia="宋体" w:cs="宋体"/>
          <w:color w:val="4874CB" w:themeColor="accent1"/>
          <w:kern w:val="2"/>
          <w:sz w:val="28"/>
          <w:szCs w:val="28"/>
          <w:lang w:val="en-US" w:eastAsia="zh-CN" w:bidi="ar-SA"/>
          <w14:textFill>
            <w14:solidFill>
              <w14:schemeClr w14:val="accent1"/>
            </w14:solidFill>
          </w14:textFill>
        </w:rPr>
        <w:t>0</w:t>
      </w:r>
      <w:r>
        <w:rPr>
          <w:rFonts w:hint="eastAsia" w:ascii="宋体" w:hAnsi="宋体" w:eastAsia="宋体" w:cs="宋体"/>
          <w:color w:val="4874CB" w:themeColor="accent1"/>
          <w:kern w:val="2"/>
          <w:sz w:val="28"/>
          <w:szCs w:val="28"/>
          <w:lang w:val="zh-CN" w:eastAsia="zh-CN" w:bidi="ar-SA"/>
          <w14:textFill>
            <w14:solidFill>
              <w14:schemeClr w14:val="accent1"/>
            </w14:solidFill>
          </w14:textFill>
        </w:rPr>
        <w:t>日完成项目建设</w:t>
      </w:r>
      <w:bookmarkEnd w:id="93"/>
      <w:r>
        <w:rPr>
          <w:rFonts w:hint="eastAsia" w:ascii="宋体" w:hAnsi="宋体" w:eastAsia="宋体" w:cs="宋体"/>
          <w:color w:val="4874CB" w:themeColor="accent1"/>
          <w:kern w:val="2"/>
          <w:sz w:val="28"/>
          <w:szCs w:val="28"/>
          <w:lang w:val="zh-CN" w:eastAsia="zh-CN" w:bidi="ar-SA"/>
          <w14:textFill>
            <w14:solidFill>
              <w14:schemeClr w14:val="accent1"/>
            </w14:solidFill>
          </w14:textFill>
        </w:rPr>
        <w:t>，</w:t>
      </w:r>
      <w:r>
        <w:rPr>
          <w:rFonts w:hint="eastAsia" w:ascii="宋体" w:hAnsi="宋体" w:eastAsia="宋体" w:cs="宋体"/>
          <w:color w:val="4874CB" w:themeColor="accent1"/>
          <w:sz w:val="28"/>
          <w:szCs w:val="28"/>
          <w:highlight w:val="none"/>
          <w14:textFill>
            <w14:solidFill>
              <w14:schemeClr w14:val="accent1"/>
            </w14:solidFill>
          </w14:textFill>
        </w:rPr>
        <w:t>202</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4</w:t>
      </w:r>
      <w:r>
        <w:rPr>
          <w:rFonts w:hint="eastAsia" w:ascii="宋体" w:hAnsi="宋体" w:eastAsia="宋体" w:cs="宋体"/>
          <w:color w:val="4874CB" w:themeColor="accent1"/>
          <w:sz w:val="28"/>
          <w:szCs w:val="28"/>
          <w:highlight w:val="none"/>
          <w14:textFill>
            <w14:solidFill>
              <w14:schemeClr w14:val="accent1"/>
            </w14:solidFill>
          </w14:textFill>
        </w:rPr>
        <w:t>年1月</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24</w:t>
      </w:r>
      <w:r>
        <w:rPr>
          <w:rFonts w:hint="eastAsia" w:ascii="宋体" w:hAnsi="宋体" w:eastAsia="宋体" w:cs="宋体"/>
          <w:color w:val="4874CB" w:themeColor="accent1"/>
          <w:sz w:val="28"/>
          <w:szCs w:val="28"/>
          <w:highlight w:val="none"/>
          <w14:textFill>
            <w14:solidFill>
              <w14:schemeClr w14:val="accent1"/>
            </w14:solidFill>
          </w14:textFill>
        </w:rPr>
        <w:t>日</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完成机组投运前工程验收，1月31日首次接入西双版纳电网并网调试运行。</w:t>
      </w:r>
      <w:r>
        <w:rPr>
          <w:rFonts w:hint="eastAsia" w:ascii="宋体" w:hAnsi="宋体" w:eastAsia="宋体" w:cs="宋体"/>
          <w:color w:val="4874CB" w:themeColor="accent1"/>
          <w:sz w:val="28"/>
          <w:szCs w:val="28"/>
          <w:lang w:eastAsia="zh-CN"/>
          <w14:textFill>
            <w14:solidFill>
              <w14:schemeClr w14:val="accent1"/>
            </w14:solidFill>
          </w14:textFill>
        </w:rPr>
        <w:t>项目前期未按照要求完善安全设施三同时手续。202</w:t>
      </w:r>
      <w:r>
        <w:rPr>
          <w:rFonts w:hint="eastAsia" w:ascii="宋体" w:hAnsi="宋体" w:eastAsia="宋体" w:cs="宋体"/>
          <w:color w:val="4874CB" w:themeColor="accent1"/>
          <w:sz w:val="28"/>
          <w:szCs w:val="28"/>
          <w:lang w:val="en-US" w:eastAsia="zh-CN"/>
          <w14:textFill>
            <w14:solidFill>
              <w14:schemeClr w14:val="accent1"/>
            </w14:solidFill>
          </w14:textFill>
        </w:rPr>
        <w:t>4</w:t>
      </w:r>
      <w:r>
        <w:rPr>
          <w:rFonts w:hint="eastAsia" w:ascii="宋体" w:hAnsi="宋体" w:eastAsia="宋体" w:cs="宋体"/>
          <w:color w:val="4874CB" w:themeColor="accent1"/>
          <w:sz w:val="28"/>
          <w:szCs w:val="28"/>
          <w:lang w:eastAsia="zh-CN"/>
          <w14:textFill>
            <w14:solidFill>
              <w14:schemeClr w14:val="accent1"/>
            </w14:solidFill>
          </w14:textFill>
        </w:rPr>
        <w:t>年</w:t>
      </w:r>
      <w:r>
        <w:rPr>
          <w:rFonts w:hint="eastAsia" w:ascii="宋体" w:hAnsi="宋体" w:eastAsia="宋体" w:cs="宋体"/>
          <w:color w:val="4874CB" w:themeColor="accent1"/>
          <w:sz w:val="28"/>
          <w:szCs w:val="28"/>
          <w:lang w:val="en-US" w:eastAsia="zh-CN"/>
          <w14:textFill>
            <w14:solidFill>
              <w14:schemeClr w14:val="accent1"/>
            </w14:solidFill>
          </w14:textFill>
        </w:rPr>
        <w:t>4</w:t>
      </w:r>
      <w:r>
        <w:rPr>
          <w:rFonts w:hint="eastAsia" w:ascii="宋体" w:hAnsi="宋体" w:eastAsia="宋体" w:cs="宋体"/>
          <w:color w:val="4874CB" w:themeColor="accent1"/>
          <w:sz w:val="28"/>
          <w:szCs w:val="28"/>
          <w:lang w:eastAsia="zh-CN"/>
          <w14:textFill>
            <w14:solidFill>
              <w14:schemeClr w14:val="accent1"/>
            </w14:solidFill>
          </w14:textFill>
        </w:rPr>
        <w:t>月</w:t>
      </w:r>
      <w:r>
        <w:rPr>
          <w:rFonts w:hint="eastAsia" w:ascii="宋体" w:hAnsi="宋体" w:eastAsia="宋体" w:cs="宋体"/>
          <w:color w:val="4874CB" w:themeColor="accent1"/>
          <w:sz w:val="28"/>
          <w:szCs w:val="28"/>
          <w:lang w:val="zh-CN" w:eastAsia="zh-CN"/>
          <w14:textFill>
            <w14:solidFill>
              <w14:schemeClr w14:val="accent1"/>
            </w14:solidFill>
          </w14:textFill>
        </w:rPr>
        <w:t>中舜国际工程设计有限公司</w:t>
      </w:r>
      <w:r>
        <w:rPr>
          <w:rFonts w:hint="eastAsia" w:ascii="宋体" w:hAnsi="宋体" w:eastAsia="宋体" w:cs="宋体"/>
          <w:color w:val="4874CB" w:themeColor="accent1"/>
          <w:sz w:val="28"/>
          <w:szCs w:val="28"/>
          <w:lang w:eastAsia="zh-CN"/>
          <w14:textFill>
            <w14:solidFill>
              <w14:schemeClr w14:val="accent1"/>
            </w14:solidFill>
          </w14:textFill>
        </w:rPr>
        <w:t>完成项目安全设施设计编制，</w:t>
      </w:r>
      <w:r>
        <w:rPr>
          <w:rFonts w:hint="eastAsia" w:ascii="宋体" w:hAnsi="宋体" w:eastAsia="宋体" w:cs="宋体"/>
          <w:color w:val="4874CB" w:themeColor="accent1"/>
          <w:sz w:val="28"/>
          <w:szCs w:val="28"/>
          <w:lang w:val="en-US" w:eastAsia="zh-CN"/>
          <w14:textFill>
            <w14:solidFill>
              <w14:schemeClr w14:val="accent1"/>
            </w14:solidFill>
          </w14:textFill>
        </w:rPr>
        <w:t>并于</w:t>
      </w:r>
      <w:r>
        <w:rPr>
          <w:rFonts w:hint="eastAsia" w:ascii="宋体" w:hAnsi="宋体" w:eastAsia="宋体" w:cs="宋体"/>
          <w:color w:val="4874CB" w:themeColor="accent1"/>
          <w:sz w:val="28"/>
          <w:szCs w:val="28"/>
          <w:lang w:eastAsia="zh-CN"/>
          <w14:textFill>
            <w14:solidFill>
              <w14:schemeClr w14:val="accent1"/>
            </w14:solidFill>
          </w14:textFill>
        </w:rPr>
        <w:t>202</w:t>
      </w:r>
      <w:r>
        <w:rPr>
          <w:rFonts w:hint="eastAsia" w:ascii="宋体" w:hAnsi="宋体" w:eastAsia="宋体" w:cs="宋体"/>
          <w:color w:val="4874CB" w:themeColor="accent1"/>
          <w:sz w:val="28"/>
          <w:szCs w:val="28"/>
          <w:lang w:val="en-US" w:eastAsia="zh-CN"/>
          <w14:textFill>
            <w14:solidFill>
              <w14:schemeClr w14:val="accent1"/>
            </w14:solidFill>
          </w14:textFill>
        </w:rPr>
        <w:t>4</w:t>
      </w:r>
      <w:r>
        <w:rPr>
          <w:rFonts w:hint="eastAsia" w:ascii="宋体" w:hAnsi="宋体" w:eastAsia="宋体" w:cs="宋体"/>
          <w:color w:val="4874CB" w:themeColor="accent1"/>
          <w:sz w:val="28"/>
          <w:szCs w:val="28"/>
          <w:lang w:eastAsia="zh-CN"/>
          <w14:textFill>
            <w14:solidFill>
              <w14:schemeClr w14:val="accent1"/>
            </w14:solidFill>
          </w14:textFill>
        </w:rPr>
        <w:t>年</w:t>
      </w:r>
      <w:r>
        <w:rPr>
          <w:rFonts w:hint="eastAsia" w:ascii="宋体" w:hAnsi="宋体" w:eastAsia="宋体" w:cs="宋体"/>
          <w:color w:val="4874CB" w:themeColor="accent1"/>
          <w:sz w:val="28"/>
          <w:szCs w:val="28"/>
          <w:lang w:val="en-US" w:eastAsia="zh-CN"/>
          <w14:textFill>
            <w14:solidFill>
              <w14:schemeClr w14:val="accent1"/>
            </w14:solidFill>
          </w14:textFill>
        </w:rPr>
        <w:t>4</w:t>
      </w:r>
      <w:r>
        <w:rPr>
          <w:rFonts w:hint="eastAsia" w:ascii="宋体" w:hAnsi="宋体" w:eastAsia="宋体" w:cs="宋体"/>
          <w:color w:val="4874CB" w:themeColor="accent1"/>
          <w:sz w:val="28"/>
          <w:szCs w:val="28"/>
          <w:lang w:eastAsia="zh-CN"/>
          <w14:textFill>
            <w14:solidFill>
              <w14:schemeClr w14:val="accent1"/>
            </w14:solidFill>
          </w14:textFill>
        </w:rPr>
        <w:t>月</w:t>
      </w:r>
      <w:r>
        <w:rPr>
          <w:rFonts w:hint="eastAsia" w:ascii="宋体" w:hAnsi="宋体" w:eastAsia="宋体" w:cs="宋体"/>
          <w:color w:val="4874CB" w:themeColor="accent1"/>
          <w:sz w:val="28"/>
          <w:szCs w:val="28"/>
          <w:lang w:val="en-US" w:eastAsia="zh-CN"/>
          <w14:textFill>
            <w14:solidFill>
              <w14:schemeClr w14:val="accent1"/>
            </w14:solidFill>
          </w14:textFill>
        </w:rPr>
        <w:t>10日通过专家组审查</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w:t>
      </w:r>
      <w:r>
        <w:rPr>
          <w:rFonts w:hint="eastAsia" w:ascii="宋体" w:hAnsi="宋体" w:eastAsia="宋体" w:cs="宋体"/>
          <w:color w:val="4874CB" w:themeColor="accent1"/>
          <w:sz w:val="28"/>
          <w:szCs w:val="28"/>
          <w:highlight w:val="none"/>
          <w:lang w:eastAsia="zh-CN"/>
          <w14:textFill>
            <w14:solidFill>
              <w14:schemeClr w14:val="accent1"/>
            </w14:solidFill>
          </w14:textFill>
        </w:rPr>
        <w:t>2024年</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11</w:t>
      </w:r>
      <w:r>
        <w:rPr>
          <w:rFonts w:hint="eastAsia" w:ascii="宋体" w:hAnsi="宋体" w:eastAsia="宋体" w:cs="宋体"/>
          <w:color w:val="4874CB" w:themeColor="accent1"/>
          <w:sz w:val="28"/>
          <w:szCs w:val="28"/>
          <w:highlight w:val="none"/>
          <w:lang w:eastAsia="zh-CN"/>
          <w14:textFill>
            <w14:solidFill>
              <w14:schemeClr w14:val="accent1"/>
            </w14:solidFill>
          </w14:textFill>
        </w:rPr>
        <w:t>月</w:t>
      </w:r>
      <w:r>
        <w:rPr>
          <w:rFonts w:hint="eastAsia" w:ascii="宋体" w:hAnsi="宋体" w:eastAsia="宋体" w:cs="宋体"/>
          <w:color w:val="4874CB" w:themeColor="accent1"/>
          <w:sz w:val="28"/>
          <w:szCs w:val="28"/>
          <w:lang w:eastAsia="zh-CN"/>
          <w14:textFill>
            <w14:solidFill>
              <w14:schemeClr w14:val="accent1"/>
            </w14:solidFill>
          </w14:textFill>
        </w:rPr>
        <w:t>施工单位</w:t>
      </w:r>
      <w:r>
        <w:rPr>
          <w:rFonts w:hint="eastAsia" w:ascii="宋体" w:hAnsi="宋体" w:eastAsia="宋体" w:cs="宋体"/>
          <w:color w:val="4874CB" w:themeColor="accent1"/>
          <w:sz w:val="28"/>
          <w:szCs w:val="28"/>
          <w:lang w:val="en-US" w:eastAsia="zh-CN"/>
          <w14:textFill>
            <w14:solidFill>
              <w14:schemeClr w14:val="accent1"/>
            </w14:solidFill>
          </w14:textFill>
        </w:rPr>
        <w:t>中国水利水电第九工程局有限公司</w:t>
      </w:r>
      <w:r>
        <w:rPr>
          <w:rFonts w:hint="eastAsia" w:ascii="宋体" w:hAnsi="宋体" w:eastAsia="宋体" w:cs="宋体"/>
          <w:color w:val="4874CB" w:themeColor="accent1"/>
          <w:sz w:val="28"/>
          <w:szCs w:val="28"/>
          <w:lang w:eastAsia="zh-CN"/>
          <w14:textFill>
            <w14:solidFill>
              <w14:schemeClr w14:val="accent1"/>
            </w14:solidFill>
          </w14:textFill>
        </w:rPr>
        <w:t>出具了项目施工总结报告。监理单位</w:t>
      </w:r>
      <w:r>
        <w:rPr>
          <w:rFonts w:hint="eastAsia" w:ascii="宋体" w:hAnsi="宋体" w:eastAsia="宋体" w:cs="宋体"/>
          <w:color w:val="4874CB" w:themeColor="accent1"/>
          <w:sz w:val="28"/>
          <w:szCs w:val="28"/>
          <w:lang w:val="en-US" w:eastAsia="zh-CN"/>
          <w14:textFill>
            <w14:solidFill>
              <w14:schemeClr w14:val="accent1"/>
            </w14:solidFill>
          </w14:textFill>
        </w:rPr>
        <w:t>江西同济建设项目管理股份有限公司</w:t>
      </w:r>
      <w:r>
        <w:rPr>
          <w:rFonts w:hint="eastAsia" w:ascii="宋体" w:hAnsi="宋体" w:eastAsia="宋体" w:cs="宋体"/>
          <w:color w:val="4874CB" w:themeColor="accent1"/>
          <w:sz w:val="28"/>
          <w:szCs w:val="28"/>
          <w:highlight w:val="none"/>
          <w:lang w:eastAsia="zh-CN"/>
          <w14:textFill>
            <w14:solidFill>
              <w14:schemeClr w14:val="accent1"/>
            </w14:solidFill>
          </w14:textFill>
        </w:rPr>
        <w:t>于2024年</w:t>
      </w:r>
      <w:r>
        <w:rPr>
          <w:rFonts w:hint="eastAsia" w:ascii="宋体" w:hAnsi="宋体" w:cs="宋体"/>
          <w:color w:val="4874CB" w:themeColor="accent1"/>
          <w:sz w:val="28"/>
          <w:szCs w:val="28"/>
          <w:highlight w:val="none"/>
          <w:lang w:val="en-US" w:eastAsia="zh-CN"/>
          <w14:textFill>
            <w14:solidFill>
              <w14:schemeClr w14:val="accent1"/>
            </w14:solidFill>
          </w14:textFill>
        </w:rPr>
        <w:t>8</w:t>
      </w:r>
      <w:r>
        <w:rPr>
          <w:rFonts w:hint="eastAsia" w:ascii="宋体" w:hAnsi="宋体" w:eastAsia="宋体" w:cs="宋体"/>
          <w:color w:val="4874CB" w:themeColor="accent1"/>
          <w:sz w:val="28"/>
          <w:szCs w:val="28"/>
          <w:highlight w:val="none"/>
          <w:lang w:eastAsia="zh-CN"/>
          <w14:textFill>
            <w14:solidFill>
              <w14:schemeClr w14:val="accent1"/>
            </w14:solidFill>
          </w14:textFill>
        </w:rPr>
        <w:t>月</w:t>
      </w:r>
      <w:r>
        <w:rPr>
          <w:rFonts w:hint="eastAsia" w:ascii="宋体" w:hAnsi="宋体" w:eastAsia="宋体" w:cs="宋体"/>
          <w:color w:val="4874CB" w:themeColor="accent1"/>
          <w:sz w:val="28"/>
          <w:szCs w:val="28"/>
          <w:lang w:eastAsia="zh-CN"/>
          <w14:textFill>
            <w14:solidFill>
              <w14:schemeClr w14:val="accent1"/>
            </w14:solidFill>
          </w14:textFill>
        </w:rPr>
        <w:t>出具了项目监理工作总结。</w:t>
      </w:r>
      <w:r>
        <w:rPr>
          <w:rFonts w:hint="eastAsia" w:ascii="宋体" w:hAnsi="宋体" w:eastAsia="宋体" w:cs="宋体"/>
          <w:color w:val="4874CB" w:themeColor="accent1"/>
          <w:sz w:val="28"/>
          <w:szCs w:val="28"/>
          <w:lang w:val="en-US" w:eastAsia="zh-CN"/>
          <w14:textFill>
            <w14:solidFill>
              <w14:schemeClr w14:val="accent1"/>
            </w14:solidFill>
          </w14:textFill>
        </w:rPr>
        <w:t>项目于</w:t>
      </w:r>
      <w:r>
        <w:rPr>
          <w:rFonts w:hint="eastAsia" w:ascii="宋体" w:hAnsi="宋体" w:eastAsia="宋体" w:cs="宋体"/>
          <w:color w:val="4874CB" w:themeColor="accent1"/>
          <w:sz w:val="28"/>
          <w:szCs w:val="28"/>
          <w:highlight w:val="none"/>
          <w14:textFill>
            <w14:solidFill>
              <w14:schemeClr w14:val="accent1"/>
            </w14:solidFill>
          </w14:textFill>
        </w:rPr>
        <w:t>202</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4</w:t>
      </w:r>
      <w:r>
        <w:rPr>
          <w:rFonts w:hint="eastAsia" w:ascii="宋体" w:hAnsi="宋体" w:eastAsia="宋体" w:cs="宋体"/>
          <w:color w:val="4874CB" w:themeColor="accent1"/>
          <w:sz w:val="28"/>
          <w:szCs w:val="28"/>
          <w:highlight w:val="none"/>
          <w14:textFill>
            <w14:solidFill>
              <w14:schemeClr w14:val="accent1"/>
            </w14:solidFill>
          </w14:textFill>
        </w:rPr>
        <w:t>年</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2</w:t>
      </w:r>
      <w:r>
        <w:rPr>
          <w:rFonts w:hint="eastAsia" w:ascii="宋体" w:hAnsi="宋体" w:eastAsia="宋体" w:cs="宋体"/>
          <w:color w:val="4874CB" w:themeColor="accent1"/>
          <w:sz w:val="28"/>
          <w:szCs w:val="28"/>
          <w:highlight w:val="none"/>
          <w14:textFill>
            <w14:solidFill>
              <w14:schemeClr w14:val="accent1"/>
            </w14:solidFill>
          </w14:textFill>
        </w:rPr>
        <w:t>月</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1</w:t>
      </w:r>
      <w:r>
        <w:rPr>
          <w:rFonts w:hint="eastAsia" w:ascii="宋体" w:hAnsi="宋体" w:eastAsia="宋体" w:cs="宋体"/>
          <w:color w:val="4874CB" w:themeColor="accent1"/>
          <w:sz w:val="28"/>
          <w:szCs w:val="28"/>
          <w:highlight w:val="none"/>
          <w14:textFill>
            <w14:solidFill>
              <w14:schemeClr w14:val="accent1"/>
            </w14:solidFill>
          </w14:textFill>
        </w:rPr>
        <w:t>日开始试运行。</w:t>
      </w:r>
    </w:p>
    <w:p w14:paraId="7C9AB321">
      <w:pPr>
        <w:pStyle w:val="3"/>
        <w:keepNext w:val="0"/>
        <w:keepLines w:val="0"/>
        <w:pageBreakBefore w:val="0"/>
        <w:widowControl w:val="0"/>
        <w:kinsoku/>
        <w:bidi w:val="0"/>
        <w:rPr>
          <w:rFonts w:hint="eastAsia" w:cs="Times New Roman"/>
          <w:color w:val="000000" w:themeColor="text1"/>
          <w:lang w:val="en-US" w:eastAsia="zh-CN"/>
          <w14:textFill>
            <w14:solidFill>
              <w14:schemeClr w14:val="tx1"/>
            </w14:solidFill>
          </w14:textFill>
        </w:rPr>
      </w:pPr>
      <w:bookmarkStart w:id="94" w:name="_Toc418"/>
      <w:bookmarkStart w:id="95" w:name="_Toc23338"/>
      <w:r>
        <w:rPr>
          <w:rFonts w:hint="eastAsia" w:cs="Times New Roman"/>
          <w:color w:val="000000" w:themeColor="text1"/>
          <w:lang w:val="en-US" w:eastAsia="zh-CN"/>
          <w14:textFill>
            <w14:solidFill>
              <w14:schemeClr w14:val="tx1"/>
            </w14:solidFill>
          </w14:textFill>
        </w:rPr>
        <w:t>相关建设</w:t>
      </w:r>
      <w:bookmarkEnd w:id="94"/>
      <w:r>
        <w:rPr>
          <w:rFonts w:hint="eastAsia" w:cs="Times New Roman"/>
          <w:color w:val="000000" w:themeColor="text1"/>
          <w:lang w:val="en-US" w:eastAsia="zh-CN"/>
          <w14:textFill>
            <w14:solidFill>
              <w14:schemeClr w14:val="tx1"/>
            </w14:solidFill>
          </w14:textFill>
        </w:rPr>
        <w:t>单位</w:t>
      </w:r>
      <w:bookmarkEnd w:id="95"/>
    </w:p>
    <w:p w14:paraId="12F5412A">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建设单位：</w:t>
      </w:r>
      <w:r>
        <w:rPr>
          <w:rFonts w:hint="eastAsia" w:ascii="宋体" w:hAnsi="宋体" w:eastAsia="宋体" w:cs="宋体"/>
          <w:color w:val="000000" w:themeColor="text1"/>
          <w:lang w:val="zh-CN" w:eastAsia="zh-CN"/>
          <w14:textFill>
            <w14:solidFill>
              <w14:schemeClr w14:val="tx1"/>
            </w14:solidFill>
          </w14:textFill>
        </w:rPr>
        <w:t>华能澜沧江(景洪)新能源有限公司</w:t>
      </w:r>
      <w:r>
        <w:rPr>
          <w:rFonts w:hint="eastAsia" w:ascii="宋体" w:hAnsi="宋体" w:eastAsia="宋体" w:cs="宋体"/>
          <w:color w:val="000000" w:themeColor="text1"/>
          <w:sz w:val="28"/>
          <w:szCs w:val="28"/>
          <w:lang w:val="en-US" w:eastAsia="zh-CN"/>
          <w14:textFill>
            <w14:solidFill>
              <w14:schemeClr w14:val="tx1"/>
            </w14:solidFill>
          </w14:textFill>
        </w:rPr>
        <w:t>；</w:t>
      </w:r>
    </w:p>
    <w:p w14:paraId="65138A4F">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设计单位：</w:t>
      </w:r>
      <w:r>
        <w:rPr>
          <w:rFonts w:hint="eastAsia" w:ascii="Times New Roman" w:hAnsi="Times New Roman" w:eastAsia="宋体" w:cs="Times New Roman"/>
          <w:color w:val="000000" w:themeColor="text1"/>
          <w:sz w:val="28"/>
          <w:szCs w:val="28"/>
          <w:lang w:val="zh-CN" w:eastAsia="zh-CN"/>
          <w14:textFill>
            <w14:solidFill>
              <w14:schemeClr w14:val="tx1"/>
            </w14:solidFill>
          </w14:textFill>
        </w:rPr>
        <w:t>中舜国际工</w:t>
      </w:r>
      <w:r>
        <w:rPr>
          <w:rFonts w:hint="eastAsia" w:ascii="宋体" w:hAnsi="宋体" w:eastAsia="宋体" w:cs="宋体"/>
          <w:color w:val="000000" w:themeColor="text1"/>
          <w:lang w:val="zh-CN" w:eastAsia="zh-CN"/>
          <w14:textFill>
            <w14:solidFill>
              <w14:schemeClr w14:val="tx1"/>
            </w14:solidFill>
          </w14:textFill>
        </w:rPr>
        <w:t>程设计有限公司</w:t>
      </w:r>
      <w:r>
        <w:rPr>
          <w:rFonts w:hint="eastAsia" w:ascii="宋体" w:hAnsi="宋体" w:eastAsia="宋体" w:cs="宋体"/>
          <w:color w:val="000000" w:themeColor="text1"/>
          <w:sz w:val="28"/>
          <w:szCs w:val="28"/>
          <w:lang w:val="en-US" w:eastAsia="zh-CN"/>
          <w14:textFill>
            <w14:solidFill>
              <w14:schemeClr w14:val="tx1"/>
            </w14:solidFill>
          </w14:textFill>
        </w:rPr>
        <w:t>；</w:t>
      </w:r>
    </w:p>
    <w:p w14:paraId="4ACD2C5E">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施工单位：中国水利水电第</w:t>
      </w:r>
      <w:r>
        <w:rPr>
          <w:rFonts w:hint="eastAsia" w:ascii="宋体" w:hAnsi="宋体" w:cs="宋体"/>
          <w:color w:val="000000" w:themeColor="text1"/>
          <w:sz w:val="28"/>
          <w:szCs w:val="28"/>
          <w:lang w:val="en-US" w:eastAsia="zh-CN"/>
          <w14:textFill>
            <w14:solidFill>
              <w14:schemeClr w14:val="tx1"/>
            </w14:solidFill>
          </w14:textFill>
        </w:rPr>
        <w:t>九</w:t>
      </w:r>
      <w:r>
        <w:rPr>
          <w:rFonts w:hint="eastAsia" w:ascii="宋体" w:hAnsi="宋体" w:eastAsia="宋体" w:cs="宋体"/>
          <w:color w:val="000000" w:themeColor="text1"/>
          <w:sz w:val="28"/>
          <w:szCs w:val="28"/>
          <w:lang w:val="en-US" w:eastAsia="zh-CN"/>
          <w14:textFill>
            <w14:solidFill>
              <w14:schemeClr w14:val="tx1"/>
            </w14:solidFill>
          </w14:textFill>
        </w:rPr>
        <w:t>工程局有限公司；</w:t>
      </w:r>
    </w:p>
    <w:p w14:paraId="233AA72F">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监理单位：</w:t>
      </w:r>
      <w:r>
        <w:rPr>
          <w:rFonts w:hint="eastAsia" w:ascii="宋体" w:hAnsi="宋体" w:cs="宋体"/>
          <w:color w:val="000000" w:themeColor="text1"/>
          <w:sz w:val="28"/>
          <w:szCs w:val="28"/>
          <w:lang w:val="en-US" w:eastAsia="zh-CN"/>
          <w14:textFill>
            <w14:solidFill>
              <w14:schemeClr w14:val="tx1"/>
            </w14:solidFill>
          </w14:textFill>
        </w:rPr>
        <w:t>江西同济建设项目管理股份有限公司。</w:t>
      </w:r>
    </w:p>
    <w:p w14:paraId="1DEBA0F7">
      <w:pPr>
        <w:pStyle w:val="3"/>
        <w:keepNext w:val="0"/>
        <w:keepLines w:val="0"/>
        <w:pageBreakBefore w:val="0"/>
        <w:widowControl w:val="0"/>
        <w:kinsoku/>
        <w:bidi w:val="0"/>
        <w:rPr>
          <w:rFonts w:hint="default" w:cs="Times New Roman"/>
          <w:color w:val="000000" w:themeColor="text1"/>
          <w:lang w:val="en-US" w:eastAsia="zh-CN"/>
          <w14:textFill>
            <w14:solidFill>
              <w14:schemeClr w14:val="tx1"/>
            </w14:solidFill>
          </w14:textFill>
        </w:rPr>
      </w:pPr>
      <w:bookmarkStart w:id="96" w:name="_Toc3225"/>
      <w:bookmarkStart w:id="97" w:name="_Toc12798"/>
      <w:r>
        <w:rPr>
          <w:rFonts w:hint="eastAsia" w:cs="Times New Roman"/>
          <w:color w:val="000000" w:themeColor="text1"/>
          <w:lang w:val="en-US" w:eastAsia="zh-CN"/>
          <w14:textFill>
            <w14:solidFill>
              <w14:schemeClr w14:val="tx1"/>
            </w14:solidFill>
          </w14:textFill>
        </w:rPr>
        <w:t>项目竣工验收情况</w:t>
      </w:r>
      <w:bookmarkEnd w:id="96"/>
      <w:bookmarkEnd w:id="97"/>
    </w:p>
    <w:p w14:paraId="5054548E">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00" w:lineRule="exact"/>
        <w:ind w:firstLine="560" w:firstLineChars="200"/>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sz w:val="28"/>
          <w:szCs w:val="28"/>
          <w:lang w:val="zh-CN" w:eastAsia="zh-CN"/>
          <w14:textFill>
            <w14:solidFill>
              <w14:schemeClr w14:val="tx1"/>
            </w14:solidFill>
          </w14:textFill>
        </w:rPr>
        <w:t>华能澜沧江（景洪）新能源有限公司</w:t>
      </w:r>
      <w:r>
        <w:rPr>
          <w:rFonts w:ascii="Times New Roman" w:hAnsi="Times New Roman" w:cs="Times New Roman"/>
          <w:color w:val="000000" w:themeColor="text1"/>
          <w:kern w:val="0"/>
          <w:sz w:val="28"/>
          <w:szCs w:val="28"/>
          <w14:textFill>
            <w14:solidFill>
              <w14:schemeClr w14:val="tx1"/>
            </w14:solidFill>
          </w14:textFill>
        </w:rPr>
        <w:t>基诺乡巴卡村洛科新寨光伏电站</w:t>
      </w:r>
      <w:r>
        <w:rPr>
          <w:rFonts w:hint="eastAsia" w:ascii="宋体" w:hAnsi="宋体" w:eastAsia="宋体" w:cs="宋体"/>
          <w:color w:val="000000" w:themeColor="text1"/>
          <w:sz w:val="28"/>
          <w:szCs w:val="28"/>
          <w:lang w:val="en-US" w:eastAsia="zh-CN"/>
          <w14:textFill>
            <w14:solidFill>
              <w14:schemeClr w14:val="tx1"/>
            </w14:solidFill>
          </w14:textFill>
        </w:rPr>
        <w:t>现已建成及投产使用，项目建设已按规范设计完成施工，经设计、监理、施工、建设单位等验收合格，工程质量符合要求。</w:t>
      </w:r>
      <w:bookmarkEnd w:id="88"/>
      <w:bookmarkEnd w:id="89"/>
      <w:bookmarkEnd w:id="90"/>
      <w:bookmarkEnd w:id="91"/>
    </w:p>
    <w:p w14:paraId="023B909E">
      <w:pPr>
        <w:pStyle w:val="3"/>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98" w:name="_Toc16779"/>
      <w:bookmarkStart w:id="99" w:name="_Toc6503"/>
      <w:r>
        <w:rPr>
          <w:rFonts w:hint="eastAsia"/>
          <w:color w:val="000000" w:themeColor="text1"/>
          <w:lang w:eastAsia="zh-CN"/>
          <w14:textFill>
            <w14:solidFill>
              <w14:schemeClr w14:val="tx1"/>
            </w14:solidFill>
          </w14:textFill>
        </w:rPr>
        <w:t>建设项目</w:t>
      </w:r>
      <w:bookmarkEnd w:id="98"/>
      <w:r>
        <w:rPr>
          <w:rFonts w:hint="eastAsia"/>
          <w:color w:val="000000" w:themeColor="text1"/>
          <w:lang w:val="en-US" w:eastAsia="zh-CN"/>
          <w14:textFill>
            <w14:solidFill>
              <w14:schemeClr w14:val="tx1"/>
            </w14:solidFill>
          </w14:textFill>
        </w:rPr>
        <w:t>地理</w:t>
      </w:r>
      <w:r>
        <w:rPr>
          <w:rFonts w:hint="eastAsia"/>
          <w:color w:val="000000" w:themeColor="text1"/>
          <w:kern w:val="0"/>
          <w:szCs w:val="28"/>
          <w:lang w:bidi="ar"/>
          <w14:textFill>
            <w14:solidFill>
              <w14:schemeClr w14:val="tx1"/>
            </w14:solidFill>
          </w14:textFill>
        </w:rPr>
        <w:t>位置</w:t>
      </w:r>
      <w:r>
        <w:rPr>
          <w:rFonts w:hint="eastAsia"/>
          <w:color w:val="000000" w:themeColor="text1"/>
          <w:kern w:val="0"/>
          <w:szCs w:val="28"/>
          <w:lang w:val="en-US" w:eastAsia="zh-CN" w:bidi="ar"/>
          <w14:textFill>
            <w14:solidFill>
              <w14:schemeClr w14:val="tx1"/>
            </w14:solidFill>
          </w14:textFill>
        </w:rPr>
        <w:t>及周边环境</w:t>
      </w:r>
      <w:bookmarkEnd w:id="99"/>
    </w:p>
    <w:p w14:paraId="1F6B2599">
      <w:pPr>
        <w:pStyle w:val="4"/>
        <w:keepNext w:val="0"/>
        <w:keepLines w:val="0"/>
        <w:pageBreakBefore w:val="0"/>
        <w:widowControl w:val="0"/>
        <w:kinsoku/>
        <w:bidi w:val="0"/>
        <w:rPr>
          <w:rFonts w:hint="eastAsia" w:ascii="宋体" w:hAnsi="宋体" w:eastAsia="宋体" w:cs="宋体"/>
          <w:color w:val="000000" w:themeColor="text1"/>
          <w:kern w:val="0"/>
          <w:sz w:val="32"/>
          <w:szCs w:val="32"/>
          <w:lang w:bidi="ar"/>
          <w14:textFill>
            <w14:solidFill>
              <w14:schemeClr w14:val="tx1"/>
            </w14:solidFill>
          </w14:textFill>
        </w:rPr>
      </w:pPr>
      <w:r>
        <w:rPr>
          <w:rFonts w:hint="eastAsia"/>
          <w:color w:val="000000" w:themeColor="text1"/>
          <w:sz w:val="32"/>
          <w:szCs w:val="32"/>
          <w:lang w:val="en-US" w:eastAsia="zh-CN"/>
          <w14:textFill>
            <w14:solidFill>
              <w14:schemeClr w14:val="tx1"/>
            </w14:solidFill>
          </w14:textFill>
        </w:rPr>
        <w:t>地理位置</w:t>
      </w:r>
    </w:p>
    <w:p w14:paraId="421C0AC2">
      <w:pPr>
        <w:keepNext w:val="0"/>
        <w:keepLines w:val="0"/>
        <w:pageBreakBefore w:val="0"/>
        <w:widowControl w:val="0"/>
        <w:kinsoku/>
        <w:bidi w:val="0"/>
        <w:rPr>
          <w:rFonts w:hint="eastAsia" w:ascii="宋体" w:hAnsi="宋体" w:eastAsia="宋体" w:cs="宋体"/>
          <w:color w:val="000000" w:themeColor="text1"/>
          <w:kern w:val="0"/>
          <w:szCs w:val="28"/>
          <w:lang w:val="en-US" w:bidi="ar"/>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本光伏发电项目场址位于云南省西双版纳自治州景洪市基诺乡境内，场区以山坡地为主；场区坡度集中在15°～40°之间，场址坐标东经101°10′10.17″～101°11′21.8″，北纬21°59′35.92″～22°0′26.06″，海拔介于1000m～1250m之间，场区范围约364亩。场址中部有乡村公路通过，交通运输条件较为便利。项目地理位置图如图2-1所示。</w:t>
      </w:r>
    </w:p>
    <w:p w14:paraId="653A24AA">
      <w:pPr>
        <w:keepNext w:val="0"/>
        <w:keepLines w:val="0"/>
        <w:pageBreakBefore w:val="0"/>
        <w:widowControl w:val="0"/>
        <w:kinsoku/>
        <w:bidi w:val="0"/>
        <w:spacing w:line="360" w:lineRule="auto"/>
        <w:rPr>
          <w:rFonts w:hint="eastAsia" w:ascii="宋体" w:hAnsi="宋体" w:eastAsia="宋体" w:cs="宋体"/>
          <w:color w:val="000000" w:themeColor="text1"/>
          <w:kern w:val="0"/>
          <w:szCs w:val="28"/>
          <w:lang w:bidi="ar"/>
          <w14:textFill>
            <w14:solidFill>
              <w14:schemeClr w14:val="tx1"/>
            </w14:solidFill>
          </w14:textFill>
        </w:rPr>
      </w:pPr>
      <w:r>
        <w:rPr>
          <w:color w:val="000000" w:themeColor="text1"/>
          <w14:textFill>
            <w14:solidFill>
              <w14:schemeClr w14:val="tx1"/>
            </w14:solidFill>
          </w14:textFill>
        </w:rPr>
        <w:drawing>
          <wp:inline distT="0" distB="0" distL="114300" distR="114300">
            <wp:extent cx="5195570" cy="8265160"/>
            <wp:effectExtent l="0" t="0" r="1270" b="1016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1"/>
                    <a:stretch>
                      <a:fillRect/>
                    </a:stretch>
                  </pic:blipFill>
                  <pic:spPr>
                    <a:xfrm>
                      <a:off x="0" y="0"/>
                      <a:ext cx="5195570" cy="8265160"/>
                    </a:xfrm>
                    <a:prstGeom prst="rect">
                      <a:avLst/>
                    </a:prstGeom>
                    <a:noFill/>
                    <a:ln>
                      <a:noFill/>
                    </a:ln>
                  </pic:spPr>
                </pic:pic>
              </a:graphicData>
            </a:graphic>
          </wp:inline>
        </w:drawing>
      </w:r>
    </w:p>
    <w:p w14:paraId="0FEFFF24">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0"/>
          <w:szCs w:val="28"/>
          <w:lang w:val="en-US" w:eastAsia="zh-CN" w:bidi="ar"/>
          <w14:textFill>
            <w14:solidFill>
              <w14:schemeClr w14:val="tx1"/>
            </w14:solidFill>
          </w14:textFill>
        </w:rPr>
      </w:pPr>
      <w:r>
        <w:rPr>
          <w:rFonts w:hint="eastAsia" w:ascii="宋体" w:hAnsi="宋体" w:eastAsia="宋体" w:cs="宋体"/>
          <w:color w:val="000000" w:themeColor="text1"/>
          <w:kern w:val="0"/>
          <w:szCs w:val="28"/>
          <w:lang w:bidi="ar"/>
          <w14:textFill>
            <w14:solidFill>
              <w14:schemeClr w14:val="tx1"/>
            </w14:solidFill>
          </w14:textFill>
        </w:rPr>
        <w:t>图2.</w:t>
      </w:r>
      <w:r>
        <w:rPr>
          <w:rFonts w:hint="eastAsia" w:ascii="宋体" w:hAnsi="宋体" w:eastAsia="宋体" w:cs="宋体"/>
          <w:color w:val="000000" w:themeColor="text1"/>
          <w:kern w:val="0"/>
          <w:szCs w:val="28"/>
          <w:lang w:val="en-US" w:eastAsia="zh-CN" w:bidi="ar"/>
          <w14:textFill>
            <w14:solidFill>
              <w14:schemeClr w14:val="tx1"/>
            </w14:solidFill>
          </w14:textFill>
        </w:rPr>
        <w:t>6</w:t>
      </w:r>
      <w:r>
        <w:rPr>
          <w:rFonts w:hint="eastAsia" w:ascii="宋体" w:hAnsi="宋体" w:eastAsia="宋体" w:cs="宋体"/>
          <w:color w:val="000000" w:themeColor="text1"/>
          <w:kern w:val="0"/>
          <w:szCs w:val="28"/>
          <w:lang w:bidi="ar"/>
          <w14:textFill>
            <w14:solidFill>
              <w14:schemeClr w14:val="tx1"/>
            </w14:solidFill>
          </w14:textFill>
        </w:rPr>
        <w:t>-1</w:t>
      </w:r>
      <w:r>
        <w:rPr>
          <w:rFonts w:hint="eastAsia" w:ascii="宋体" w:hAnsi="宋体" w:cs="宋体"/>
          <w:color w:val="000000" w:themeColor="text1"/>
          <w:kern w:val="0"/>
          <w:szCs w:val="28"/>
          <w:lang w:val="en-US" w:eastAsia="zh-CN" w:bidi="ar"/>
          <w14:textFill>
            <w14:solidFill>
              <w14:schemeClr w14:val="tx1"/>
            </w14:solidFill>
          </w14:textFill>
        </w:rPr>
        <w:t>项目</w:t>
      </w:r>
      <w:r>
        <w:rPr>
          <w:rFonts w:hint="eastAsia" w:ascii="宋体" w:hAnsi="宋体" w:eastAsia="宋体" w:cs="宋体"/>
          <w:color w:val="000000" w:themeColor="text1"/>
          <w:kern w:val="0"/>
          <w:szCs w:val="28"/>
          <w:lang w:bidi="ar"/>
          <w14:textFill>
            <w14:solidFill>
              <w14:schemeClr w14:val="tx1"/>
            </w14:solidFill>
          </w14:textFill>
        </w:rPr>
        <w:t>地理位置</w:t>
      </w:r>
      <w:r>
        <w:rPr>
          <w:rFonts w:hint="eastAsia" w:ascii="宋体" w:hAnsi="宋体" w:cs="宋体"/>
          <w:color w:val="000000" w:themeColor="text1"/>
          <w:kern w:val="0"/>
          <w:szCs w:val="28"/>
          <w:lang w:val="en-US" w:eastAsia="zh-CN" w:bidi="ar"/>
          <w14:textFill>
            <w14:solidFill>
              <w14:schemeClr w14:val="tx1"/>
            </w14:solidFill>
          </w14:textFill>
        </w:rPr>
        <w:t>图</w:t>
      </w:r>
    </w:p>
    <w:p w14:paraId="09BF92B0">
      <w:pPr>
        <w:pStyle w:val="4"/>
        <w:keepNext w:val="0"/>
        <w:keepLines w:val="0"/>
        <w:pageBreakBefore w:val="0"/>
        <w:widowControl w:val="0"/>
        <w:kinsoku/>
        <w:bidi w:val="0"/>
        <w:rPr>
          <w:rFonts w:hint="eastAsia" w:ascii="宋体" w:hAnsi="宋体" w:eastAsia="宋体" w:cs="宋体"/>
          <w:color w:val="000000" w:themeColor="text1"/>
          <w:kern w:val="0"/>
          <w:sz w:val="30"/>
          <w:szCs w:val="30"/>
          <w:lang w:bidi="ar"/>
          <w14:textFill>
            <w14:solidFill>
              <w14:schemeClr w14:val="tx1"/>
            </w14:solidFill>
          </w14:textFill>
        </w:rPr>
      </w:pPr>
      <w:r>
        <w:rPr>
          <w:rFonts w:hint="eastAsia" w:cs="宋体"/>
          <w:color w:val="000000" w:themeColor="text1"/>
          <w:kern w:val="0"/>
          <w:sz w:val="30"/>
          <w:szCs w:val="30"/>
          <w:lang w:val="en-US" w:eastAsia="zh-CN" w:bidi="ar"/>
          <w14:textFill>
            <w14:solidFill>
              <w14:schemeClr w14:val="tx1"/>
            </w14:solidFill>
          </w14:textFill>
        </w:rPr>
        <w:t>周边环境</w:t>
      </w:r>
    </w:p>
    <w:p w14:paraId="639622A6">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jc w:val="both"/>
        <w:textAlignment w:val="auto"/>
        <w:rPr>
          <w:rFonts w:hint="eastAsia" w:ascii="宋体" w:hAnsi="宋体" w:eastAsia="宋体" w:cs="宋体"/>
          <w:color w:val="000000" w:themeColor="text1"/>
          <w:spacing w:val="-8"/>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本光伏发电项目场址位于云南省西双版纳自治州景洪市基诺乡境内，</w:t>
      </w:r>
    </w:p>
    <w:p w14:paraId="22C82EF2">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pacing w:val="-8"/>
          <w14:textFill>
            <w14:solidFill>
              <w14:schemeClr w14:val="tx1"/>
            </w14:solidFill>
          </w14:textFill>
        </w:rPr>
        <w:t>场址内不涉及自然保护区、风景名胜区、文物古迹及鸟类迁徙通道等环境敏感区</w:t>
      </w:r>
      <w:r>
        <w:rPr>
          <w:rFonts w:hint="eastAsia" w:ascii="宋体" w:hAnsi="宋体" w:eastAsia="宋体" w:cs="宋体"/>
          <w:color w:val="000000" w:themeColor="text1"/>
          <w:spacing w:val="-9"/>
          <w14:textFill>
            <w14:solidFill>
              <w14:schemeClr w14:val="tx1"/>
            </w14:solidFill>
          </w14:textFill>
        </w:rPr>
        <w:t>域；</w:t>
      </w:r>
      <w:r>
        <w:rPr>
          <w:rFonts w:hint="eastAsia" w:ascii="宋体" w:hAnsi="宋体" w:eastAsia="宋体" w:cs="宋体"/>
          <w:color w:val="000000" w:themeColor="text1"/>
          <w14:textFill>
            <w14:solidFill>
              <w14:schemeClr w14:val="tx1"/>
            </w14:solidFill>
          </w14:textFill>
        </w:rPr>
        <w:t xml:space="preserve"> 厂址周边均为山坡。</w:t>
      </w:r>
      <w:r>
        <w:rPr>
          <w:rFonts w:hint="eastAsia" w:ascii="宋体" w:hAnsi="宋体" w:eastAsia="宋体" w:cs="宋体"/>
          <w:color w:val="000000" w:themeColor="text1"/>
          <w:kern w:val="0"/>
          <w:szCs w:val="28"/>
          <w:lang w:val="en-US" w:eastAsia="zh-CN" w:bidi="ar"/>
          <w14:textFill>
            <w14:solidFill>
              <w14:schemeClr w14:val="tx1"/>
            </w14:solidFill>
          </w14:textFill>
        </w:rPr>
        <w:t>周边环境卫星图见图2.6-2。</w:t>
      </w:r>
    </w:p>
    <w:p w14:paraId="562D83C7">
      <w:pPr>
        <w:keepNext w:val="0"/>
        <w:keepLines w:val="0"/>
        <w:pageBreakBefore w:val="0"/>
        <w:widowControl w:val="0"/>
        <w:kinsoku/>
        <w:bidi w:val="0"/>
        <w:spacing w:line="360" w:lineRule="auto"/>
        <w:ind w:left="0" w:leftChars="0" w:firstLine="0" w:firstLineChars="0"/>
        <w:jc w:val="both"/>
        <w:rPr>
          <w:rFonts w:hint="eastAsia"/>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645785" cy="3498850"/>
            <wp:effectExtent l="0" t="0" r="8255" b="635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22"/>
                    <a:stretch>
                      <a:fillRect/>
                    </a:stretch>
                  </pic:blipFill>
                  <pic:spPr>
                    <a:xfrm>
                      <a:off x="0" y="0"/>
                      <a:ext cx="5645785" cy="3498850"/>
                    </a:xfrm>
                    <a:prstGeom prst="rect">
                      <a:avLst/>
                    </a:prstGeom>
                    <a:noFill/>
                    <a:ln>
                      <a:noFill/>
                    </a:ln>
                  </pic:spPr>
                </pic:pic>
              </a:graphicData>
            </a:graphic>
          </wp:inline>
        </w:drawing>
      </w:r>
    </w:p>
    <w:p w14:paraId="3309BF9C">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0"/>
          <w:szCs w:val="28"/>
          <w:lang w:bidi="ar"/>
          <w14:textFill>
            <w14:solidFill>
              <w14:schemeClr w14:val="tx1"/>
            </w14:solidFill>
          </w14:textFill>
        </w:rPr>
      </w:pPr>
      <w:r>
        <w:rPr>
          <w:rFonts w:hint="eastAsia" w:ascii="宋体" w:hAnsi="宋体" w:eastAsia="宋体" w:cs="宋体"/>
          <w:color w:val="000000" w:themeColor="text1"/>
          <w:kern w:val="0"/>
          <w:szCs w:val="28"/>
          <w:lang w:val="en-US" w:eastAsia="zh-CN" w:bidi="ar"/>
          <w14:textFill>
            <w14:solidFill>
              <w14:schemeClr w14:val="tx1"/>
            </w14:solidFill>
          </w14:textFill>
        </w:rPr>
        <w:t>图</w:t>
      </w:r>
      <w:r>
        <w:rPr>
          <w:rFonts w:hint="eastAsia" w:ascii="宋体" w:hAnsi="宋体" w:cs="宋体"/>
          <w:color w:val="000000" w:themeColor="text1"/>
          <w:kern w:val="0"/>
          <w:szCs w:val="28"/>
          <w:lang w:val="en-US" w:eastAsia="zh-CN" w:bidi="ar"/>
          <w14:textFill>
            <w14:solidFill>
              <w14:schemeClr w14:val="tx1"/>
            </w14:solidFill>
          </w14:textFill>
        </w:rPr>
        <w:t xml:space="preserve">2.6-2 </w:t>
      </w:r>
      <w:r>
        <w:rPr>
          <w:rFonts w:hint="eastAsia" w:ascii="宋体" w:hAnsi="宋体" w:eastAsia="宋体" w:cs="宋体"/>
          <w:color w:val="000000" w:themeColor="text1"/>
          <w:kern w:val="0"/>
          <w:szCs w:val="28"/>
          <w:lang w:val="en-US" w:eastAsia="zh-CN" w:bidi="ar"/>
          <w14:textFill>
            <w14:solidFill>
              <w14:schemeClr w14:val="tx1"/>
            </w14:solidFill>
          </w14:textFill>
        </w:rPr>
        <w:t>周边环境卫星图</w:t>
      </w:r>
    </w:p>
    <w:p w14:paraId="4782AFD4">
      <w:pPr>
        <w:pStyle w:val="3"/>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100" w:name="_Toc24178"/>
      <w:bookmarkStart w:id="101" w:name="_Toc24912"/>
      <w:r>
        <w:rPr>
          <w:color w:val="000000" w:themeColor="text1"/>
          <w14:textFill>
            <w14:solidFill>
              <w14:schemeClr w14:val="tx1"/>
            </w14:solidFill>
          </w14:textFill>
        </w:rPr>
        <w:t>项目自然条件</w:t>
      </w:r>
      <w:bookmarkEnd w:id="100"/>
      <w:bookmarkEnd w:id="101"/>
    </w:p>
    <w:p w14:paraId="52D71F8C">
      <w:pPr>
        <w:pStyle w:val="4"/>
        <w:keepNext w:val="0"/>
        <w:keepLines w:val="0"/>
        <w:pageBreakBefore w:val="0"/>
        <w:widowControl w:val="0"/>
        <w:kinsoku/>
        <w:bidi w:val="0"/>
        <w:rPr>
          <w:color w:val="000000" w:themeColor="text1"/>
          <w:sz w:val="30"/>
          <w:szCs w:val="30"/>
          <w14:textFill>
            <w14:solidFill>
              <w14:schemeClr w14:val="tx1"/>
            </w14:solidFill>
          </w14:textFill>
        </w:rPr>
      </w:pPr>
      <w:bookmarkStart w:id="102" w:name="_Toc17688"/>
      <w:r>
        <w:rPr>
          <w:color w:val="000000" w:themeColor="text1"/>
          <w:sz w:val="30"/>
          <w:szCs w:val="30"/>
          <w14:textFill>
            <w14:solidFill>
              <w14:schemeClr w14:val="tx1"/>
            </w14:solidFill>
          </w14:textFill>
        </w:rPr>
        <w:t>气象</w:t>
      </w:r>
      <w:r>
        <w:rPr>
          <w:color w:val="000000" w:themeColor="text1"/>
          <w:sz w:val="30"/>
          <w:szCs w:val="30"/>
          <w:lang w:eastAsia="zh-CN"/>
          <w14:textFill>
            <w14:solidFill>
              <w14:schemeClr w14:val="tx1"/>
            </w14:solidFill>
          </w14:textFill>
        </w:rPr>
        <w:t>、</w:t>
      </w:r>
      <w:r>
        <w:rPr>
          <w:color w:val="000000" w:themeColor="text1"/>
          <w:sz w:val="30"/>
          <w:szCs w:val="30"/>
          <w:lang w:val="en-US" w:eastAsia="zh-CN"/>
          <w14:textFill>
            <w14:solidFill>
              <w14:schemeClr w14:val="tx1"/>
            </w14:solidFill>
          </w14:textFill>
        </w:rPr>
        <w:t>气候</w:t>
      </w:r>
      <w:r>
        <w:rPr>
          <w:color w:val="000000" w:themeColor="text1"/>
          <w:sz w:val="30"/>
          <w:szCs w:val="30"/>
          <w14:textFill>
            <w14:solidFill>
              <w14:schemeClr w14:val="tx1"/>
            </w14:solidFill>
          </w14:textFill>
        </w:rPr>
        <w:t>条件</w:t>
      </w:r>
      <w:bookmarkEnd w:id="102"/>
    </w:p>
    <w:p w14:paraId="671428AF">
      <w:pPr>
        <w:keepNext w:val="0"/>
        <w:keepLines w:val="0"/>
        <w:pageBreakBefore w:val="0"/>
        <w:widowControl w:val="0"/>
        <w:kinsoku/>
        <w:wordWrap/>
        <w:overflowPunct/>
        <w:topLinePunct w:val="0"/>
        <w:autoSpaceDE/>
        <w:autoSpaceDN/>
        <w:bidi w:val="0"/>
        <w:adjustRightInd/>
        <w:snapToGrid/>
        <w:spacing w:line="500" w:lineRule="exact"/>
        <w:ind w:left="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8"/>
          <w:sz w:val="28"/>
          <w:szCs w:val="28"/>
          <w14:textFill>
            <w14:solidFill>
              <w14:schemeClr w14:val="tx1"/>
            </w14:solidFill>
          </w14:textFill>
        </w:rPr>
        <w:t>根据景洪气象站多年观测数据，景洪市多年气象特征值如下所示：</w:t>
      </w:r>
    </w:p>
    <w:p w14:paraId="6A186D91">
      <w:pPr>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b/>
          <w:bCs/>
          <w:color w:val="000000" w:themeColor="text1"/>
          <w:spacing w:val="-4"/>
          <w:sz w:val="24"/>
          <w:szCs w:val="24"/>
          <w14:textFill>
            <w14:solidFill>
              <w14:schemeClr w14:val="tx1"/>
            </w14:solidFill>
          </w14:textFill>
        </w:rPr>
        <w:t>表</w:t>
      </w:r>
      <w:r>
        <w:rPr>
          <w:rFonts w:hint="eastAsia" w:ascii="宋体" w:hAnsi="宋体" w:eastAsia="宋体" w:cs="宋体"/>
          <w:b/>
          <w:bCs/>
          <w:color w:val="000000" w:themeColor="text1"/>
          <w:spacing w:val="-4"/>
          <w:sz w:val="24"/>
          <w:szCs w:val="24"/>
          <w:lang w:val="en-US" w:eastAsia="zh-CN"/>
          <w14:textFill>
            <w14:solidFill>
              <w14:schemeClr w14:val="tx1"/>
            </w14:solidFill>
          </w14:textFill>
        </w:rPr>
        <w:t>2</w:t>
      </w:r>
      <w:r>
        <w:rPr>
          <w:rFonts w:hint="eastAsia" w:ascii="宋体" w:hAnsi="宋体" w:cs="宋体"/>
          <w:b/>
          <w:bCs/>
          <w:color w:val="000000" w:themeColor="text1"/>
          <w:spacing w:val="-4"/>
          <w:sz w:val="24"/>
          <w:szCs w:val="24"/>
          <w:lang w:val="en-US" w:eastAsia="zh-CN"/>
          <w14:textFill>
            <w14:solidFill>
              <w14:schemeClr w14:val="tx1"/>
            </w14:solidFill>
          </w14:textFill>
        </w:rPr>
        <w:t>.7</w:t>
      </w:r>
      <w:r>
        <w:rPr>
          <w:rFonts w:ascii="宋体" w:hAnsi="宋体" w:eastAsia="宋体" w:cs="宋体"/>
          <w:b/>
          <w:bCs/>
          <w:color w:val="000000" w:themeColor="text1"/>
          <w:spacing w:val="-4"/>
          <w:sz w:val="24"/>
          <w:szCs w:val="24"/>
          <w14:textFill>
            <w14:solidFill>
              <w14:schemeClr w14:val="tx1"/>
            </w14:solidFill>
          </w14:textFill>
        </w:rPr>
        <w:t>-1景洪市气象站多年气象特征值</w:t>
      </w:r>
    </w:p>
    <w:tbl>
      <w:tblPr>
        <w:tblStyle w:val="4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48"/>
        <w:gridCol w:w="2952"/>
      </w:tblGrid>
      <w:tr w14:paraId="54CB7D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4" w:hRule="atLeast"/>
        </w:trPr>
        <w:tc>
          <w:tcPr>
            <w:tcW w:w="5848" w:type="dxa"/>
            <w:noWrap w:val="0"/>
            <w:vAlign w:val="top"/>
          </w:tcPr>
          <w:p w14:paraId="1EACBB5D">
            <w:pPr>
              <w:pStyle w:val="42"/>
              <w:spacing w:before="63" w:line="222" w:lineRule="auto"/>
              <w:ind w:left="281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3"/>
                <w:sz w:val="21"/>
                <w:szCs w:val="21"/>
                <w:lang w:val="en-US" w:eastAsia="zh-CN"/>
                <w14:textFill>
                  <w14:solidFill>
                    <w14:schemeClr w14:val="tx1"/>
                  </w14:solidFill>
                </w14:textFill>
              </w:rPr>
              <w:t>项</w:t>
            </w:r>
            <w:r>
              <w:rPr>
                <w:rFonts w:hint="eastAsia" w:ascii="宋体" w:hAnsi="宋体" w:eastAsia="宋体" w:cs="宋体"/>
                <w:b/>
                <w:bCs/>
                <w:color w:val="000000" w:themeColor="text1"/>
                <w:spacing w:val="-3"/>
                <w:sz w:val="21"/>
                <w:szCs w:val="21"/>
                <w14:textFill>
                  <w14:solidFill>
                    <w14:schemeClr w14:val="tx1"/>
                  </w14:solidFill>
                </w14:textFill>
              </w:rPr>
              <w:t>目</w:t>
            </w:r>
          </w:p>
        </w:tc>
        <w:tc>
          <w:tcPr>
            <w:tcW w:w="2952" w:type="dxa"/>
            <w:noWrap w:val="0"/>
            <w:vAlign w:val="top"/>
          </w:tcPr>
          <w:p w14:paraId="57133E6F">
            <w:pPr>
              <w:pStyle w:val="42"/>
              <w:spacing w:before="60" w:line="219" w:lineRule="auto"/>
              <w:ind w:left="126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数值</w:t>
            </w:r>
          </w:p>
        </w:tc>
      </w:tr>
      <w:tr w14:paraId="563EC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5848" w:type="dxa"/>
            <w:noWrap w:val="0"/>
            <w:vAlign w:val="top"/>
          </w:tcPr>
          <w:p w14:paraId="62F25349">
            <w:pPr>
              <w:pStyle w:val="42"/>
              <w:spacing w:before="80" w:line="221" w:lineRule="auto"/>
              <w:ind w:left="246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0"/>
                <w:sz w:val="21"/>
                <w:szCs w:val="21"/>
                <w14:textFill>
                  <w14:solidFill>
                    <w14:schemeClr w14:val="tx1"/>
                  </w14:solidFill>
                </w14:textFill>
              </w:rPr>
              <w:t>气压(</w:t>
            </w:r>
            <w:r>
              <w:rPr>
                <w:rFonts w:hint="eastAsia" w:ascii="宋体" w:hAnsi="宋体" w:eastAsia="宋体" w:cs="宋体"/>
                <w:color w:val="000000" w:themeColor="text1"/>
                <w:sz w:val="21"/>
                <w:szCs w:val="21"/>
                <w14:textFill>
                  <w14:solidFill>
                    <w14:schemeClr w14:val="tx1"/>
                  </w14:solidFill>
                </w14:textFill>
              </w:rPr>
              <w:t>hPa</w:t>
            </w:r>
            <w:r>
              <w:rPr>
                <w:rFonts w:hint="eastAsia" w:ascii="宋体" w:hAnsi="宋体" w:eastAsia="宋体" w:cs="宋体"/>
                <w:color w:val="000000" w:themeColor="text1"/>
                <w:spacing w:val="10"/>
                <w:sz w:val="21"/>
                <w:szCs w:val="21"/>
                <w14:textFill>
                  <w14:solidFill>
                    <w14:schemeClr w14:val="tx1"/>
                  </w14:solidFill>
                </w14:textFill>
              </w:rPr>
              <w:t>)</w:t>
            </w:r>
          </w:p>
        </w:tc>
        <w:tc>
          <w:tcPr>
            <w:tcW w:w="2952" w:type="dxa"/>
            <w:noWrap w:val="0"/>
            <w:vAlign w:val="top"/>
          </w:tcPr>
          <w:p w14:paraId="287F2A74">
            <w:pPr>
              <w:rPr>
                <w:rFonts w:hint="eastAsia" w:ascii="宋体" w:hAnsi="宋体" w:eastAsia="宋体" w:cs="宋体"/>
                <w:color w:val="000000" w:themeColor="text1"/>
                <w:sz w:val="21"/>
                <w:szCs w:val="21"/>
                <w14:textFill>
                  <w14:solidFill>
                    <w14:schemeClr w14:val="tx1"/>
                  </w14:solidFill>
                </w14:textFill>
              </w:rPr>
            </w:pPr>
          </w:p>
        </w:tc>
      </w:tr>
      <w:tr w14:paraId="36C76E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848" w:type="dxa"/>
            <w:noWrap w:val="0"/>
            <w:vAlign w:val="top"/>
          </w:tcPr>
          <w:p w14:paraId="5D64A24D">
            <w:pPr>
              <w:pStyle w:val="42"/>
              <w:spacing w:before="69"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多年平均最低气压</w:t>
            </w:r>
          </w:p>
        </w:tc>
        <w:tc>
          <w:tcPr>
            <w:tcW w:w="2952" w:type="dxa"/>
            <w:noWrap w:val="0"/>
            <w:vAlign w:val="top"/>
          </w:tcPr>
          <w:p w14:paraId="7D628A7D">
            <w:pPr>
              <w:pStyle w:val="42"/>
              <w:spacing w:before="120" w:line="183" w:lineRule="auto"/>
              <w:ind w:left="121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939.3</w:t>
            </w:r>
          </w:p>
        </w:tc>
      </w:tr>
      <w:tr w14:paraId="60014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5848" w:type="dxa"/>
            <w:noWrap w:val="0"/>
            <w:vAlign w:val="top"/>
          </w:tcPr>
          <w:p w14:paraId="4D6FC364">
            <w:pPr>
              <w:pStyle w:val="42"/>
              <w:spacing w:before="80"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多年平均最高气压</w:t>
            </w:r>
          </w:p>
        </w:tc>
        <w:tc>
          <w:tcPr>
            <w:tcW w:w="2952" w:type="dxa"/>
            <w:noWrap w:val="0"/>
            <w:vAlign w:val="top"/>
          </w:tcPr>
          <w:p w14:paraId="1396D671">
            <w:pPr>
              <w:pStyle w:val="42"/>
              <w:spacing w:before="131" w:line="183" w:lineRule="auto"/>
              <w:ind w:left="121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948.4</w:t>
            </w:r>
          </w:p>
        </w:tc>
      </w:tr>
      <w:tr w14:paraId="27596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848" w:type="dxa"/>
            <w:noWrap w:val="0"/>
            <w:vAlign w:val="top"/>
          </w:tcPr>
          <w:p w14:paraId="27AF9AB8">
            <w:pPr>
              <w:pStyle w:val="42"/>
              <w:spacing w:before="72" w:line="221" w:lineRule="auto"/>
              <w:ind w:left="251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气温(℃)</w:t>
            </w:r>
          </w:p>
        </w:tc>
        <w:tc>
          <w:tcPr>
            <w:tcW w:w="2952" w:type="dxa"/>
            <w:noWrap w:val="0"/>
            <w:vAlign w:val="top"/>
          </w:tcPr>
          <w:p w14:paraId="541CE58F">
            <w:pPr>
              <w:rPr>
                <w:rFonts w:hint="eastAsia" w:ascii="宋体" w:hAnsi="宋体" w:eastAsia="宋体" w:cs="宋体"/>
                <w:color w:val="000000" w:themeColor="text1"/>
                <w:sz w:val="21"/>
                <w:szCs w:val="21"/>
                <w14:textFill>
                  <w14:solidFill>
                    <w14:schemeClr w14:val="tx1"/>
                  </w14:solidFill>
                </w14:textFill>
              </w:rPr>
            </w:pPr>
          </w:p>
        </w:tc>
      </w:tr>
      <w:tr w14:paraId="6FE39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5848" w:type="dxa"/>
            <w:noWrap w:val="0"/>
            <w:vAlign w:val="top"/>
          </w:tcPr>
          <w:p w14:paraId="44670247">
            <w:pPr>
              <w:pStyle w:val="42"/>
              <w:spacing w:before="72" w:line="219" w:lineRule="auto"/>
              <w:ind w:left="231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多年平均气温</w:t>
            </w:r>
          </w:p>
        </w:tc>
        <w:tc>
          <w:tcPr>
            <w:tcW w:w="2952" w:type="dxa"/>
            <w:noWrap w:val="0"/>
            <w:vAlign w:val="top"/>
          </w:tcPr>
          <w:p w14:paraId="59F3D1E2">
            <w:pPr>
              <w:pStyle w:val="42"/>
              <w:spacing w:before="100" w:line="183" w:lineRule="auto"/>
              <w:ind w:left="12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23,4</w:t>
            </w:r>
          </w:p>
        </w:tc>
      </w:tr>
      <w:tr w14:paraId="06DC99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848" w:type="dxa"/>
            <w:noWrap w:val="0"/>
            <w:vAlign w:val="top"/>
          </w:tcPr>
          <w:p w14:paraId="108E7F1E">
            <w:pPr>
              <w:pStyle w:val="42"/>
              <w:spacing w:before="73"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多年极端最高气温</w:t>
            </w:r>
          </w:p>
        </w:tc>
        <w:tc>
          <w:tcPr>
            <w:tcW w:w="2952" w:type="dxa"/>
            <w:noWrap w:val="0"/>
            <w:vAlign w:val="top"/>
          </w:tcPr>
          <w:p w14:paraId="7399561E">
            <w:pPr>
              <w:pStyle w:val="42"/>
              <w:spacing w:before="123" w:line="181" w:lineRule="auto"/>
              <w:ind w:left="12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41.3</w:t>
            </w:r>
          </w:p>
        </w:tc>
      </w:tr>
      <w:tr w14:paraId="72A89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5848" w:type="dxa"/>
            <w:noWrap w:val="0"/>
            <w:vAlign w:val="top"/>
          </w:tcPr>
          <w:p w14:paraId="42371B9F">
            <w:pPr>
              <w:pStyle w:val="42"/>
              <w:spacing w:before="73"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多年极增最低气温</w:t>
            </w:r>
          </w:p>
        </w:tc>
        <w:tc>
          <w:tcPr>
            <w:tcW w:w="2952" w:type="dxa"/>
            <w:noWrap w:val="0"/>
            <w:vAlign w:val="top"/>
          </w:tcPr>
          <w:p w14:paraId="591CFF2F">
            <w:pPr>
              <w:pStyle w:val="42"/>
              <w:spacing w:before="125" w:line="179" w:lineRule="auto"/>
              <w:ind w:left="1316"/>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5.3</w:t>
            </w:r>
          </w:p>
        </w:tc>
      </w:tr>
      <w:tr w14:paraId="0D562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848" w:type="dxa"/>
            <w:noWrap w:val="0"/>
            <w:vAlign w:val="top"/>
          </w:tcPr>
          <w:p w14:paraId="0735E796">
            <w:pPr>
              <w:pStyle w:val="42"/>
              <w:spacing w:before="74" w:line="220" w:lineRule="auto"/>
              <w:ind w:left="236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相对湿度(%)</w:t>
            </w:r>
          </w:p>
        </w:tc>
        <w:tc>
          <w:tcPr>
            <w:tcW w:w="2952" w:type="dxa"/>
            <w:noWrap w:val="0"/>
            <w:vAlign w:val="top"/>
          </w:tcPr>
          <w:p w14:paraId="3971BB39">
            <w:pPr>
              <w:rPr>
                <w:rFonts w:hint="eastAsia" w:ascii="宋体" w:hAnsi="宋体" w:eastAsia="宋体" w:cs="宋体"/>
                <w:color w:val="000000" w:themeColor="text1"/>
                <w:sz w:val="21"/>
                <w:szCs w:val="21"/>
                <w14:textFill>
                  <w14:solidFill>
                    <w14:schemeClr w14:val="tx1"/>
                  </w14:solidFill>
                </w14:textFill>
              </w:rPr>
            </w:pPr>
          </w:p>
        </w:tc>
      </w:tr>
      <w:tr w14:paraId="46334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5848" w:type="dxa"/>
            <w:noWrap w:val="0"/>
            <w:vAlign w:val="top"/>
          </w:tcPr>
          <w:p w14:paraId="20F645CA">
            <w:pPr>
              <w:pStyle w:val="42"/>
              <w:spacing w:before="74"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多年平均最低湿度</w:t>
            </w:r>
          </w:p>
        </w:tc>
        <w:tc>
          <w:tcPr>
            <w:tcW w:w="2952" w:type="dxa"/>
            <w:noWrap w:val="0"/>
            <w:vAlign w:val="top"/>
          </w:tcPr>
          <w:p w14:paraId="1E7CB22F">
            <w:pPr>
              <w:pStyle w:val="42"/>
              <w:spacing w:before="126" w:line="178" w:lineRule="auto"/>
              <w:ind w:left="13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27</w:t>
            </w:r>
          </w:p>
        </w:tc>
      </w:tr>
      <w:tr w14:paraId="4C598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5848" w:type="dxa"/>
            <w:noWrap w:val="0"/>
            <w:vAlign w:val="top"/>
          </w:tcPr>
          <w:p w14:paraId="5D5E4D5A">
            <w:pPr>
              <w:pStyle w:val="42"/>
              <w:spacing w:before="75"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多年平均最高湿度</w:t>
            </w:r>
          </w:p>
        </w:tc>
        <w:tc>
          <w:tcPr>
            <w:tcW w:w="2952" w:type="dxa"/>
            <w:noWrap w:val="0"/>
            <w:vAlign w:val="top"/>
          </w:tcPr>
          <w:p w14:paraId="54D4549E">
            <w:pPr>
              <w:pStyle w:val="42"/>
              <w:spacing w:before="127" w:line="182" w:lineRule="auto"/>
              <w:ind w:left="13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75</w:t>
            </w:r>
          </w:p>
        </w:tc>
      </w:tr>
      <w:tr w14:paraId="2A50B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5848" w:type="dxa"/>
            <w:noWrap w:val="0"/>
            <w:vAlign w:val="top"/>
          </w:tcPr>
          <w:p w14:paraId="56F829AE">
            <w:pPr>
              <w:pStyle w:val="42"/>
              <w:spacing w:before="65" w:line="219" w:lineRule="auto"/>
              <w:ind w:left="24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降水量(</w:t>
            </w:r>
            <w:r>
              <w:rPr>
                <w:rFonts w:hint="eastAsia" w:ascii="宋体" w:hAnsi="宋体" w:eastAsia="宋体" w:cs="宋体"/>
                <w:color w:val="000000" w:themeColor="text1"/>
                <w:sz w:val="21"/>
                <w:szCs w:val="21"/>
                <w14:textFill>
                  <w14:solidFill>
                    <w14:schemeClr w14:val="tx1"/>
                  </w14:solidFill>
                </w14:textFill>
              </w:rPr>
              <w:t>mm</w:t>
            </w:r>
            <w:r>
              <w:rPr>
                <w:rFonts w:hint="eastAsia" w:ascii="宋体" w:hAnsi="宋体" w:eastAsia="宋体" w:cs="宋体"/>
                <w:color w:val="000000" w:themeColor="text1"/>
                <w:spacing w:val="8"/>
                <w:sz w:val="21"/>
                <w:szCs w:val="21"/>
                <w14:textFill>
                  <w14:solidFill>
                    <w14:schemeClr w14:val="tx1"/>
                  </w14:solidFill>
                </w14:textFill>
              </w:rPr>
              <w:t>)</w:t>
            </w:r>
          </w:p>
        </w:tc>
        <w:tc>
          <w:tcPr>
            <w:tcW w:w="2952" w:type="dxa"/>
            <w:noWrap w:val="0"/>
            <w:vAlign w:val="top"/>
          </w:tcPr>
          <w:p w14:paraId="029739BF">
            <w:pPr>
              <w:rPr>
                <w:rFonts w:hint="eastAsia" w:ascii="宋体" w:hAnsi="宋体" w:eastAsia="宋体" w:cs="宋体"/>
                <w:color w:val="000000" w:themeColor="text1"/>
                <w:sz w:val="21"/>
                <w:szCs w:val="21"/>
                <w14:textFill>
                  <w14:solidFill>
                    <w14:schemeClr w14:val="tx1"/>
                  </w14:solidFill>
                </w14:textFill>
              </w:rPr>
            </w:pPr>
          </w:p>
        </w:tc>
      </w:tr>
      <w:tr w14:paraId="187CB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5848" w:type="dxa"/>
            <w:noWrap w:val="0"/>
            <w:vAlign w:val="top"/>
          </w:tcPr>
          <w:p w14:paraId="556487D9">
            <w:pPr>
              <w:pStyle w:val="42"/>
              <w:spacing w:before="75"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多年年平均降水量</w:t>
            </w:r>
          </w:p>
        </w:tc>
        <w:tc>
          <w:tcPr>
            <w:tcW w:w="2952" w:type="dxa"/>
            <w:noWrap w:val="0"/>
            <w:vAlign w:val="top"/>
          </w:tcPr>
          <w:p w14:paraId="5C8B40EA">
            <w:pPr>
              <w:pStyle w:val="42"/>
              <w:spacing w:before="126" w:line="178" w:lineRule="auto"/>
              <w:ind w:left="11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1214.9</w:t>
            </w:r>
          </w:p>
        </w:tc>
      </w:tr>
      <w:tr w14:paraId="740693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5848" w:type="dxa"/>
            <w:noWrap w:val="0"/>
            <w:vAlign w:val="top"/>
          </w:tcPr>
          <w:p w14:paraId="388DA55A">
            <w:pPr>
              <w:pStyle w:val="42"/>
              <w:spacing w:before="76" w:line="220" w:lineRule="auto"/>
              <w:ind w:left="246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风速(m/s)</w:t>
            </w:r>
          </w:p>
        </w:tc>
        <w:tc>
          <w:tcPr>
            <w:tcW w:w="2952" w:type="dxa"/>
            <w:noWrap w:val="0"/>
            <w:vAlign w:val="top"/>
          </w:tcPr>
          <w:p w14:paraId="579D749F">
            <w:pPr>
              <w:rPr>
                <w:rFonts w:hint="eastAsia" w:ascii="宋体" w:hAnsi="宋体" w:eastAsia="宋体" w:cs="宋体"/>
                <w:color w:val="000000" w:themeColor="text1"/>
                <w:sz w:val="21"/>
                <w:szCs w:val="21"/>
                <w14:textFill>
                  <w14:solidFill>
                    <w14:schemeClr w14:val="tx1"/>
                  </w14:solidFill>
                </w14:textFill>
              </w:rPr>
            </w:pPr>
          </w:p>
        </w:tc>
      </w:tr>
      <w:tr w14:paraId="3D2F7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5848" w:type="dxa"/>
            <w:noWrap w:val="0"/>
            <w:vAlign w:val="top"/>
          </w:tcPr>
          <w:p w14:paraId="0F763E34">
            <w:pPr>
              <w:pStyle w:val="42"/>
              <w:spacing w:before="76" w:line="219" w:lineRule="auto"/>
              <w:ind w:left="231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多年平均风速</w:t>
            </w:r>
          </w:p>
        </w:tc>
        <w:tc>
          <w:tcPr>
            <w:tcW w:w="2952" w:type="dxa"/>
            <w:noWrap w:val="0"/>
            <w:vAlign w:val="top"/>
          </w:tcPr>
          <w:p w14:paraId="134E2806">
            <w:pPr>
              <w:pStyle w:val="42"/>
              <w:spacing w:before="127" w:line="177" w:lineRule="auto"/>
              <w:ind w:left="1316"/>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1.1</w:t>
            </w:r>
          </w:p>
        </w:tc>
      </w:tr>
      <w:tr w14:paraId="15E2FA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5848" w:type="dxa"/>
            <w:noWrap w:val="0"/>
            <w:vAlign w:val="top"/>
          </w:tcPr>
          <w:p w14:paraId="144DBAE4">
            <w:pPr>
              <w:pStyle w:val="42"/>
              <w:spacing w:before="87" w:line="219" w:lineRule="auto"/>
              <w:ind w:left="211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历史极端最大风速</w:t>
            </w:r>
          </w:p>
        </w:tc>
        <w:tc>
          <w:tcPr>
            <w:tcW w:w="2952" w:type="dxa"/>
            <w:noWrap w:val="0"/>
            <w:vAlign w:val="top"/>
          </w:tcPr>
          <w:p w14:paraId="3BEF03D6">
            <w:pPr>
              <w:pStyle w:val="42"/>
              <w:spacing w:before="138" w:line="183" w:lineRule="auto"/>
              <w:ind w:left="13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29</w:t>
            </w:r>
          </w:p>
        </w:tc>
      </w:tr>
      <w:tr w14:paraId="6DC6E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5848" w:type="dxa"/>
            <w:noWrap w:val="0"/>
            <w:vAlign w:val="top"/>
          </w:tcPr>
          <w:p w14:paraId="06B0CA21">
            <w:pPr>
              <w:pStyle w:val="42"/>
              <w:spacing w:before="76" w:line="219" w:lineRule="auto"/>
              <w:ind w:left="201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多年年平均雷暴日数</w:t>
            </w:r>
          </w:p>
        </w:tc>
        <w:tc>
          <w:tcPr>
            <w:tcW w:w="2952" w:type="dxa"/>
            <w:noWrap w:val="0"/>
            <w:vAlign w:val="top"/>
          </w:tcPr>
          <w:p w14:paraId="305E4797">
            <w:pPr>
              <w:pStyle w:val="42"/>
              <w:spacing w:before="77" w:line="220" w:lineRule="auto"/>
              <w:ind w:left="121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103天</w:t>
            </w:r>
          </w:p>
        </w:tc>
      </w:tr>
      <w:tr w14:paraId="64828B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5848" w:type="dxa"/>
            <w:noWrap w:val="0"/>
            <w:vAlign w:val="top"/>
          </w:tcPr>
          <w:p w14:paraId="1FF01F1A">
            <w:pPr>
              <w:pStyle w:val="42"/>
              <w:spacing w:before="78" w:line="219" w:lineRule="auto"/>
              <w:ind w:left="2015"/>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多年平均日照小时数</w:t>
            </w:r>
          </w:p>
        </w:tc>
        <w:tc>
          <w:tcPr>
            <w:tcW w:w="2952" w:type="dxa"/>
            <w:noWrap w:val="0"/>
            <w:vAlign w:val="top"/>
          </w:tcPr>
          <w:p w14:paraId="69C93C7B">
            <w:pPr>
              <w:pStyle w:val="42"/>
              <w:spacing w:before="98" w:line="209" w:lineRule="auto"/>
              <w:ind w:left="106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2126.6hr</w:t>
            </w:r>
          </w:p>
        </w:tc>
      </w:tr>
    </w:tbl>
    <w:p w14:paraId="598B1FBB">
      <w:pPr>
        <w:keepNext w:val="0"/>
        <w:keepLines w:val="0"/>
        <w:pageBreakBefore w:val="0"/>
        <w:widowControl w:val="0"/>
        <w:kinsoku/>
        <w:bidi w:val="0"/>
        <w:spacing w:line="83" w:lineRule="exact"/>
        <w:ind w:left="0" w:leftChars="0" w:firstLine="0" w:firstLineChars="0"/>
        <w:rPr>
          <w:color w:val="000000" w:themeColor="text1"/>
          <w14:textFill>
            <w14:solidFill>
              <w14:schemeClr w14:val="tx1"/>
            </w14:solidFill>
          </w14:textFill>
        </w:rPr>
      </w:pPr>
    </w:p>
    <w:p w14:paraId="732865CC">
      <w:pPr>
        <w:pStyle w:val="4"/>
        <w:keepNext w:val="0"/>
        <w:keepLines w:val="0"/>
        <w:pageBreakBefore w:val="0"/>
        <w:widowControl w:val="0"/>
        <w:kinsoku/>
        <w:bidi w:val="0"/>
        <w:rPr>
          <w:color w:val="000000" w:themeColor="text1"/>
          <w:sz w:val="30"/>
          <w:szCs w:val="30"/>
          <w14:textFill>
            <w14:solidFill>
              <w14:schemeClr w14:val="tx1"/>
            </w14:solidFill>
          </w14:textFill>
        </w:rPr>
      </w:pPr>
      <w:bookmarkStart w:id="103" w:name="_Toc28116"/>
      <w:r>
        <w:rPr>
          <w:rFonts w:hint="eastAsia"/>
          <w:color w:val="000000" w:themeColor="text1"/>
          <w:sz w:val="30"/>
          <w:szCs w:val="30"/>
          <w:lang w:val="en-US" w:eastAsia="zh-CN"/>
          <w14:textFill>
            <w14:solidFill>
              <w14:schemeClr w14:val="tx1"/>
            </w14:solidFill>
          </w14:textFill>
        </w:rPr>
        <w:t>场地</w:t>
      </w:r>
      <w:r>
        <w:rPr>
          <w:color w:val="000000" w:themeColor="text1"/>
          <w:sz w:val="30"/>
          <w:szCs w:val="30"/>
          <w14:textFill>
            <w14:solidFill>
              <w14:schemeClr w14:val="tx1"/>
            </w14:solidFill>
          </w14:textFill>
        </w:rPr>
        <w:t>地质条件</w:t>
      </w:r>
      <w:bookmarkEnd w:id="103"/>
    </w:p>
    <w:p w14:paraId="020C25F2">
      <w:pPr>
        <w:pStyle w:val="5"/>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地形地貌</w:t>
      </w:r>
    </w:p>
    <w:p w14:paraId="18B2682E">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pacing w:val="-2"/>
          <w14:textFill>
            <w14:solidFill>
              <w14:schemeClr w14:val="tx1"/>
            </w14:solidFill>
          </w14:textFill>
        </w:rPr>
      </w:pPr>
      <w:bookmarkStart w:id="104" w:name="_Toc291151520"/>
      <w:bookmarkStart w:id="105" w:name="_Toc161126179"/>
      <w:bookmarkStart w:id="106" w:name="_Toc290719305"/>
      <w:bookmarkStart w:id="107" w:name="_Toc290882056"/>
      <w:bookmarkStart w:id="108" w:name="_Toc290881966"/>
      <w:bookmarkStart w:id="109" w:name="_Toc186117054"/>
      <w:bookmarkStart w:id="110" w:name="_Toc258272220"/>
      <w:r>
        <w:rPr>
          <w:rFonts w:hint="eastAsia" w:ascii="宋体" w:hAnsi="宋体" w:eastAsia="宋体" w:cs="宋体"/>
          <w:color w:val="000000" w:themeColor="text1"/>
          <w:spacing w:val="-2"/>
          <w14:textFill>
            <w14:solidFill>
              <w14:schemeClr w14:val="tx1"/>
            </w14:solidFill>
          </w14:textFill>
        </w:rPr>
        <w:t>本工程受生态红线、基本农田、林地及地形等限制因素，场址区初拟光伏阵列区布置相对分散，场区位于一近东西向山脊南南侧，区内地形主要为斜坡、宽缓台地组成，原地面高程在1050</w:t>
      </w:r>
      <w:r>
        <w:rPr>
          <w:rFonts w:hint="eastAsia" w:ascii="宋体" w:hAnsi="宋体" w:eastAsia="宋体" w:cs="宋体"/>
          <w:color w:val="000000" w:themeColor="text1"/>
          <w:spacing w:val="-6"/>
          <w14:textFill>
            <w14:solidFill>
              <w14:schemeClr w14:val="tx1"/>
            </w14:solidFill>
          </w14:textFill>
        </w:rPr>
        <w:t>～</w:t>
      </w:r>
      <w:r>
        <w:rPr>
          <w:rFonts w:hint="eastAsia" w:ascii="宋体" w:hAnsi="宋体" w:eastAsia="宋体" w:cs="宋体"/>
          <w:color w:val="000000" w:themeColor="text1"/>
          <w:spacing w:val="-2"/>
          <w14:textFill>
            <w14:solidFill>
              <w14:schemeClr w14:val="tx1"/>
            </w14:solidFill>
          </w14:textFill>
        </w:rPr>
        <w:t>1300m之间，自然坡角10°</w:t>
      </w:r>
      <w:r>
        <w:rPr>
          <w:rFonts w:hint="eastAsia" w:ascii="宋体" w:hAnsi="宋体" w:eastAsia="宋体" w:cs="宋体"/>
          <w:color w:val="000000" w:themeColor="text1"/>
          <w:spacing w:val="-6"/>
          <w14:textFill>
            <w14:solidFill>
              <w14:schemeClr w14:val="tx1"/>
            </w14:solidFill>
          </w14:textFill>
        </w:rPr>
        <w:t>～</w:t>
      </w:r>
      <w:r>
        <w:rPr>
          <w:rFonts w:hint="eastAsia" w:ascii="宋体" w:hAnsi="宋体" w:eastAsia="宋体" w:cs="宋体"/>
          <w:color w:val="000000" w:themeColor="text1"/>
          <w:spacing w:val="-2"/>
          <w14:textFill>
            <w14:solidFill>
              <w14:schemeClr w14:val="tx1"/>
            </w14:solidFill>
          </w14:textFill>
        </w:rPr>
        <w:t>25°，局部大于25°，区内及周边冲沟较发育，多呈北东向，规模较小，切割浅，热水河从场区外围南西侧由北西向南东向通过，地表植被较发育。</w:t>
      </w:r>
    </w:p>
    <w:p w14:paraId="4B18471F">
      <w:pPr>
        <w:pStyle w:val="5"/>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不良地质现象</w:t>
      </w:r>
    </w:p>
    <w:p w14:paraId="00A9B5A9">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区内出露地层岩性主要为泥岩、粉砂质泥岩、粉砂岩等非可溶岩，出露基岩多呈强风化，岩层倾角较陡，区内地表覆盖层分布广泛且厚度总体较薄，其物质成分主要以粉质粘土、粘土夹少量碎石为主，未见大规模滑动、蠕变等迹象区内自然坡角一般在10°</w:t>
      </w:r>
      <w:r>
        <w:rPr>
          <w:rFonts w:hint="eastAsia" w:ascii="宋体" w:hAnsi="宋体" w:eastAsia="宋体" w:cs="宋体"/>
          <w:color w:val="000000" w:themeColor="text1"/>
          <w:spacing w:val="-6"/>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25°，局部大于25°。经现场调查，区内及周边未见滑坡、泥石流、危岩和崩塌等不良地质作用及地质灾害分布。自然边坡现状整体稳定。不良地质现象主要存在以下问题：</w:t>
      </w:r>
    </w:p>
    <w:p w14:paraId="3FAB08A1">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（1）岩体的不均匀风化，覆盖层内部、冲沟两侧局部存在小规模崩塌。</w:t>
      </w:r>
    </w:p>
    <w:p w14:paraId="5656906F">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场区可能发生的地质灾害为局部覆盖层斜坡、场区公路开挖边坡局部地段土层和基岩在暴雨触发下产生的小范围变形、滑动，以及部分施工期间不合理堆放弃渣和场平后的填土层在暴雨触发下产生的小规模的滑动或垮塌，</w:t>
      </w:r>
    </w:p>
    <w:p w14:paraId="11D5056F">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综上所述，场区内未见滑坡、泥石流、危岩和崩塌、等不良地质作用及地质灾害分布，不良地质灾害弱发育，对场地整体稳定影响较小。</w:t>
      </w:r>
    </w:p>
    <w:p w14:paraId="7E91D80B">
      <w:pPr>
        <w:pStyle w:val="5"/>
        <w:keepNext w:val="0"/>
        <w:keepLines w:val="0"/>
        <w:pageBreakBefore w:val="0"/>
        <w:widowControl w:val="0"/>
        <w:kinsoku/>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场地水文地质条件</w:t>
      </w:r>
    </w:p>
    <w:p w14:paraId="3B1E123C">
      <w:pPr>
        <w:pStyle w:val="14"/>
        <w:keepNext w:val="0"/>
        <w:keepLines w:val="0"/>
        <w:pageBreakBefore w:val="0"/>
        <w:widowControl w:val="0"/>
        <w:kinsoku/>
        <w:wordWrap/>
        <w:overflowPunct/>
        <w:topLinePunct w:val="0"/>
        <w:autoSpaceDE/>
        <w:autoSpaceDN/>
        <w:bidi w:val="0"/>
        <w:adjustRightInd/>
        <w:snapToGrid/>
        <w:spacing w:after="0" w:afterLines="0" w:line="500" w:lineRule="exact"/>
        <w:ind w:left="0" w:right="0" w:rightChars="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pacing w:val="-9"/>
          <w14:textFill>
            <w14:solidFill>
              <w14:schemeClr w14:val="tx1"/>
            </w14:solidFill>
          </w14:textFill>
        </w:rPr>
        <w:t>(1)地表水</w:t>
      </w:r>
    </w:p>
    <w:p w14:paraId="0DDA4482">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区内地形主要为斜坡、宽缓台地组成，热水河从场区外围南西侧由北西向南东向通过，光伏板布置所在山脊南面发育多条北西、北东向冲沟，冲沟切割规模较小，沟内常年有水，其流量受季节变化较大，地表水排泄条件较为通畅，未见流量较大的泉水发育。场区内地表水主要来源于大气降水，所形成的面流均通过坡面向冲沟自然排泄，最终汇入附近冲沟或河流中。场地总体汇水面积不大，但在汛期暴雨时会形成短暂性地表明流，但形成大面积集中径流冲刷的可能性小，对拟建筑物基础影响程度小。</w:t>
      </w:r>
    </w:p>
    <w:p w14:paraId="0DE65207">
      <w:pPr>
        <w:pStyle w:val="14"/>
        <w:keepNext w:val="0"/>
        <w:keepLines w:val="0"/>
        <w:pageBreakBefore w:val="0"/>
        <w:widowControl w:val="0"/>
        <w:kinsoku/>
        <w:wordWrap/>
        <w:overflowPunct/>
        <w:topLinePunct w:val="0"/>
        <w:autoSpaceDE/>
        <w:autoSpaceDN/>
        <w:bidi w:val="0"/>
        <w:adjustRightInd/>
        <w:snapToGrid/>
        <w:spacing w:after="0" w:afterLines="0" w:line="500" w:lineRule="exact"/>
        <w:ind w:left="0" w:right="0" w:rightChars="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pacing w:val="-9"/>
          <w14:textFill>
            <w14:solidFill>
              <w14:schemeClr w14:val="tx1"/>
            </w14:solidFill>
          </w14:textFill>
        </w:rPr>
        <w:t>(</w:t>
      </w:r>
      <w:r>
        <w:rPr>
          <w:rFonts w:hint="eastAsia" w:ascii="宋体" w:hAnsi="宋体" w:eastAsia="宋体" w:cs="宋体"/>
          <w:color w:val="000000" w:themeColor="text1"/>
          <w:spacing w:val="-9"/>
          <w:lang w:val="en-US" w:eastAsia="zh-CN"/>
          <w14:textFill>
            <w14:solidFill>
              <w14:schemeClr w14:val="tx1"/>
            </w14:solidFill>
          </w14:textFill>
        </w:rPr>
        <w:t>2</w:t>
      </w:r>
      <w:r>
        <w:rPr>
          <w:rFonts w:hint="eastAsia" w:ascii="宋体" w:hAnsi="宋体" w:eastAsia="宋体" w:cs="宋体"/>
          <w:color w:val="000000" w:themeColor="text1"/>
          <w:spacing w:val="-9"/>
          <w14:textFill>
            <w14:solidFill>
              <w14:schemeClr w14:val="tx1"/>
            </w14:solidFill>
          </w14:textFill>
        </w:rPr>
        <w:t>)地</w:t>
      </w:r>
      <w:r>
        <w:rPr>
          <w:rFonts w:hint="eastAsia" w:ascii="宋体" w:hAnsi="宋体" w:eastAsia="宋体" w:cs="宋体"/>
          <w:color w:val="000000" w:themeColor="text1"/>
          <w:spacing w:val="-9"/>
          <w:lang w:val="en-US" w:eastAsia="zh-CN"/>
          <w14:textFill>
            <w14:solidFill>
              <w14:schemeClr w14:val="tx1"/>
            </w14:solidFill>
          </w14:textFill>
        </w:rPr>
        <w:t>下</w:t>
      </w:r>
      <w:r>
        <w:rPr>
          <w:rFonts w:hint="eastAsia" w:ascii="宋体" w:hAnsi="宋体" w:eastAsia="宋体" w:cs="宋体"/>
          <w:color w:val="000000" w:themeColor="text1"/>
          <w:spacing w:val="-9"/>
          <w14:textFill>
            <w14:solidFill>
              <w14:schemeClr w14:val="tx1"/>
            </w14:solidFill>
          </w14:textFill>
        </w:rPr>
        <w:t>水</w:t>
      </w:r>
    </w:p>
    <w:p w14:paraId="0249500A">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根据区域水文地质资料和地表调查，场区地下水类型主要为孔隙水、裂隙水两类。</w:t>
      </w:r>
    </w:p>
    <w:p w14:paraId="31AB0329">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孔隙水：残坡积层（Qeld）成分以粉质粘土、粘土夹少量碎石为主，分布于整个场内。未发现流量较大的泉水发育。地下水类型以孔隙水为主，其补给源主要为大气降水，最终向下或向低处沟谷及小溪排泄。</w:t>
      </w:r>
    </w:p>
    <w:p w14:paraId="26C837BD">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裂隙水：该场区下伏基岩岩性主要为泥岩、粉砂质泥岩、粉砂岩等非可溶岩，总体属于相对隔水层。地下水类型以基岩裂隙水为主，属潜水性质，赋藏于风化裂隙和构造破碎带内，其补给源主要为地表降水及上部覆盖层内孔隙水，最低向地处沟谷或小溪排泄。</w:t>
      </w:r>
    </w:p>
    <w:p w14:paraId="045E8D5F">
      <w:pPr>
        <w:keepNext w:val="0"/>
        <w:keepLines w:val="0"/>
        <w:pageBreakBefore w:val="0"/>
        <w:widowControl w:val="0"/>
        <w:kinsoku/>
        <w:wordWrap/>
        <w:overflowPunct/>
        <w:topLinePunct w:val="0"/>
        <w:autoSpaceDE/>
        <w:autoSpaceDN/>
        <w:bidi w:val="0"/>
        <w:adjustRightInd/>
        <w:snapToGrid/>
        <w:spacing w:line="500" w:lineRule="exact"/>
        <w:ind w:right="0" w:rightChars="0" w:firstLine="57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根据现场地质测绘及收集的水文地质资料，场区地下水埋深较深，地下水埋藏大于地基基础，其活动对地基稳定基本无影响。</w:t>
      </w:r>
    </w:p>
    <w:bookmarkEnd w:id="104"/>
    <w:bookmarkEnd w:id="105"/>
    <w:bookmarkEnd w:id="106"/>
    <w:bookmarkEnd w:id="107"/>
    <w:bookmarkEnd w:id="108"/>
    <w:bookmarkEnd w:id="109"/>
    <w:bookmarkEnd w:id="110"/>
    <w:p w14:paraId="5B239AD0">
      <w:pPr>
        <w:pStyle w:val="5"/>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地质情况</w:t>
      </w:r>
    </w:p>
    <w:p w14:paraId="51B8B1F8">
      <w:pPr>
        <w:keepNext w:val="0"/>
        <w:keepLines w:val="0"/>
        <w:pageBreakBefore w:val="0"/>
        <w:widowControl w:val="0"/>
        <w:tabs>
          <w:tab w:val="left" w:pos="5296"/>
        </w:tabs>
        <w:kinsoku/>
        <w:wordWrap/>
        <w:overflowPunct/>
        <w:topLinePunct w:val="0"/>
        <w:autoSpaceDE/>
        <w:autoSpaceDN/>
        <w:bidi w:val="0"/>
        <w:adjustRightInd/>
        <w:snapToGrid/>
        <w:ind w:left="0" w:leftChars="0" w:firstLine="560" w:firstLineChars="200"/>
        <w:textAlignment w:val="auto"/>
        <w:rPr>
          <w:rFonts w:hint="eastAsia" w:eastAsiaTheme="minorEastAsia"/>
          <w:color w:val="000000" w:themeColor="text1"/>
          <w14:textFill>
            <w14:solidFill>
              <w14:schemeClr w14:val="tx1"/>
            </w14:solidFill>
          </w14:textFill>
        </w:rPr>
      </w:pPr>
      <w:r>
        <w:rPr>
          <w:rFonts w:hint="eastAsia" w:eastAsiaTheme="minorEastAsia"/>
          <w:color w:val="000000" w:themeColor="text1"/>
          <w14:textFill>
            <w14:solidFill>
              <w14:schemeClr w14:val="tx1"/>
            </w14:solidFill>
          </w14:textFill>
        </w:rPr>
        <w:t>以下引用长江勘测规划设计研究有限责任公司</w:t>
      </w:r>
      <w:r>
        <w:rPr>
          <w:rFonts w:hint="eastAsia" w:eastAsiaTheme="minorEastAsia"/>
          <w:color w:val="000000" w:themeColor="text1"/>
          <w:lang w:eastAsia="zh-CN"/>
          <w14:textFill>
            <w14:solidFill>
              <w14:schemeClr w14:val="tx1"/>
            </w14:solidFill>
          </w14:textFill>
        </w:rPr>
        <w:t>《</w:t>
      </w:r>
      <w:r>
        <w:rPr>
          <w:rFonts w:hint="eastAsia" w:eastAsiaTheme="minorEastAsia"/>
          <w:color w:val="000000" w:themeColor="text1"/>
          <w14:textFill>
            <w14:solidFill>
              <w14:schemeClr w14:val="tx1"/>
            </w14:solidFill>
          </w14:textFill>
        </w:rPr>
        <w:t>基诺乡巴卡村洛科新寨光伏电站岩土工程勘察报告（详细勘察阶段）》结论和建议：</w:t>
      </w:r>
    </w:p>
    <w:p w14:paraId="7E2610E8">
      <w:pPr>
        <w:keepNext w:val="0"/>
        <w:keepLines w:val="0"/>
        <w:pageBreakBefore w:val="0"/>
        <w:widowControl w:val="0"/>
        <w:numPr>
          <w:ilvl w:val="0"/>
          <w:numId w:val="12"/>
        </w:numPr>
        <w:tabs>
          <w:tab w:val="left" w:pos="5296"/>
        </w:tabs>
        <w:kinsoku/>
        <w:wordWrap/>
        <w:overflowPunct/>
        <w:topLinePunct w:val="0"/>
        <w:autoSpaceDE/>
        <w:autoSpaceDN/>
        <w:bidi w:val="0"/>
        <w:adjustRightInd/>
        <w:snapToGrid/>
        <w:ind w:left="0" w:leftChars="0" w:firstLine="560" w:firstLineChars="200"/>
        <w:textAlignment w:val="auto"/>
        <w:rPr>
          <w:rFonts w:hint="eastAsia" w:eastAsiaTheme="minorEastAsia"/>
          <w:color w:val="000000" w:themeColor="text1"/>
          <w:sz w:val="28"/>
          <w:szCs w:val="24"/>
          <w:lang w:eastAsia="zh-CN"/>
          <w14:textFill>
            <w14:solidFill>
              <w14:schemeClr w14:val="tx1"/>
            </w14:solidFill>
          </w14:textFill>
        </w:rPr>
      </w:pPr>
      <w:r>
        <w:rPr>
          <w:rFonts w:hint="eastAsia" w:eastAsiaTheme="minorEastAsia"/>
          <w:color w:val="000000" w:themeColor="text1"/>
          <w:sz w:val="28"/>
          <w:szCs w:val="24"/>
          <w:lang w:eastAsia="zh-CN"/>
          <w14:textFill>
            <w14:solidFill>
              <w14:schemeClr w14:val="tx1"/>
            </w14:solidFill>
          </w14:textFill>
        </w:rPr>
        <w:t>勘察区位于地震烈度Ⅷ度区，工程区建筑工程抗震设计时所采用的抗震设防烈度为8度、设计基本地震加速度值为0.20g、设计地震分组为第三组；建筑场地类别为Ⅱ类，场地属于抗震一般地段。</w:t>
      </w:r>
    </w:p>
    <w:p w14:paraId="75E6E7A1">
      <w:pPr>
        <w:keepNext w:val="0"/>
        <w:keepLines w:val="0"/>
        <w:pageBreakBefore w:val="0"/>
        <w:widowControl w:val="0"/>
        <w:numPr>
          <w:ilvl w:val="0"/>
          <w:numId w:val="12"/>
        </w:numPr>
        <w:tabs>
          <w:tab w:val="left" w:pos="5296"/>
        </w:tabs>
        <w:kinsoku/>
        <w:wordWrap/>
        <w:overflowPunct/>
        <w:topLinePunct w:val="0"/>
        <w:autoSpaceDE/>
        <w:autoSpaceDN/>
        <w:bidi w:val="0"/>
        <w:adjustRightInd/>
        <w:snapToGrid/>
        <w:ind w:left="0" w:leftChars="0" w:firstLine="560" w:firstLineChars="200"/>
        <w:textAlignment w:val="auto"/>
        <w:rPr>
          <w:rFonts w:hint="eastAsia" w:eastAsiaTheme="minorEastAsia"/>
          <w:color w:val="000000" w:themeColor="text1"/>
          <w:sz w:val="28"/>
          <w:szCs w:val="24"/>
          <w:lang w:eastAsia="zh-CN"/>
          <w14:textFill>
            <w14:solidFill>
              <w14:schemeClr w14:val="tx1"/>
            </w14:solidFill>
          </w14:textFill>
        </w:rPr>
      </w:pPr>
      <w:r>
        <w:rPr>
          <w:rFonts w:hint="eastAsia" w:eastAsiaTheme="minorEastAsia"/>
          <w:color w:val="000000" w:themeColor="text1"/>
          <w:sz w:val="28"/>
          <w:szCs w:val="24"/>
          <w:lang w:eastAsia="zh-CN"/>
          <w14:textFill>
            <w14:solidFill>
              <w14:schemeClr w14:val="tx1"/>
            </w14:solidFill>
          </w14:textFill>
        </w:rPr>
        <w:t>工程区区域构造相对稳定，场地及其附近无一定规模的崩塌、滑坡、泥石流、采空、塌陷性岩溶等不良地质作用，场地基本稳定；场地施工条件一般，工程建设诱发的次生地质灾害易治理，采取一定的工程措施后可以建设本项工程，场地建设较适宜。</w:t>
      </w:r>
    </w:p>
    <w:p w14:paraId="3ACACDB8">
      <w:pPr>
        <w:keepNext w:val="0"/>
        <w:keepLines w:val="0"/>
        <w:pageBreakBefore w:val="0"/>
        <w:widowControl w:val="0"/>
        <w:numPr>
          <w:ilvl w:val="0"/>
          <w:numId w:val="12"/>
        </w:numPr>
        <w:tabs>
          <w:tab w:val="left" w:pos="5296"/>
        </w:tabs>
        <w:kinsoku/>
        <w:wordWrap/>
        <w:overflowPunct/>
        <w:topLinePunct w:val="0"/>
        <w:autoSpaceDE/>
        <w:autoSpaceDN/>
        <w:bidi w:val="0"/>
        <w:adjustRightInd/>
        <w:snapToGrid/>
        <w:ind w:left="0" w:leftChars="0" w:firstLine="560" w:firstLineChars="200"/>
        <w:textAlignment w:val="auto"/>
        <w:rPr>
          <w:rFonts w:hint="eastAsia" w:eastAsiaTheme="minorEastAsia"/>
          <w:color w:val="000000" w:themeColor="text1"/>
          <w:sz w:val="28"/>
          <w:szCs w:val="24"/>
          <w:lang w:eastAsia="zh-CN"/>
          <w14:textFill>
            <w14:solidFill>
              <w14:schemeClr w14:val="tx1"/>
            </w14:solidFill>
          </w14:textFill>
        </w:rPr>
      </w:pPr>
      <w:r>
        <w:rPr>
          <w:rFonts w:hint="eastAsia" w:eastAsiaTheme="minorEastAsia"/>
          <w:color w:val="000000" w:themeColor="text1"/>
          <w:sz w:val="28"/>
          <w:szCs w:val="24"/>
          <w:lang w:eastAsia="zh-CN"/>
          <w14:textFill>
            <w14:solidFill>
              <w14:schemeClr w14:val="tx1"/>
            </w14:solidFill>
          </w14:textFill>
        </w:rPr>
        <w:t xml:space="preserve">场地出露主要为①第四系残坡积层（Q </w:t>
      </w:r>
      <w:r>
        <w:rPr>
          <w:rFonts w:hint="eastAsia" w:eastAsiaTheme="minorEastAsia"/>
          <w:color w:val="000000" w:themeColor="text1"/>
          <w:sz w:val="28"/>
          <w:szCs w:val="24"/>
          <w:vertAlign w:val="subscript"/>
          <w:lang w:eastAsia="zh-CN"/>
          <w14:textFill>
            <w14:solidFill>
              <w14:schemeClr w14:val="tx1"/>
            </w14:solidFill>
          </w14:textFill>
        </w:rPr>
        <w:t>4</w:t>
      </w:r>
      <w:r>
        <w:rPr>
          <w:rFonts w:hint="eastAsia" w:eastAsiaTheme="minorEastAsia"/>
          <w:color w:val="000000" w:themeColor="text1"/>
          <w:sz w:val="28"/>
          <w:szCs w:val="24"/>
          <w:lang w:eastAsia="zh-CN"/>
          <w14:textFill>
            <w14:solidFill>
              <w14:schemeClr w14:val="tx1"/>
            </w14:solidFill>
          </w14:textFill>
        </w:rPr>
        <w:t xml:space="preserve"> </w:t>
      </w:r>
      <w:r>
        <w:rPr>
          <w:rFonts w:hint="eastAsia" w:eastAsiaTheme="minorEastAsia"/>
          <w:color w:val="000000" w:themeColor="text1"/>
          <w:sz w:val="28"/>
          <w:szCs w:val="24"/>
          <w:vertAlign w:val="superscript"/>
          <w:lang w:eastAsia="zh-CN"/>
          <w14:textFill>
            <w14:solidFill>
              <w14:schemeClr w14:val="tx1"/>
            </w14:solidFill>
          </w14:textFill>
        </w:rPr>
        <w:t>edl</w:t>
      </w:r>
      <w:r>
        <w:rPr>
          <w:rFonts w:hint="eastAsia" w:eastAsiaTheme="minorEastAsia"/>
          <w:color w:val="000000" w:themeColor="text1"/>
          <w:sz w:val="28"/>
          <w:szCs w:val="24"/>
          <w:lang w:eastAsia="zh-CN"/>
          <w14:textFill>
            <w14:solidFill>
              <w14:schemeClr w14:val="tx1"/>
            </w14:solidFill>
          </w14:textFill>
        </w:rPr>
        <w:t>）粉质粘土：呈黄、黄褐色，可塑，厚度 0.5-2.3m，承载力较好，厚度较薄处不宜作为拟建建筑物的基础持力层；②全风化泥岩、泥质粉砂岩（J</w:t>
      </w:r>
      <w:r>
        <w:rPr>
          <w:rFonts w:hint="eastAsia" w:eastAsiaTheme="minorEastAsia"/>
          <w:color w:val="000000" w:themeColor="text1"/>
          <w:sz w:val="28"/>
          <w:szCs w:val="24"/>
          <w:vertAlign w:val="subscript"/>
          <w:lang w:eastAsia="zh-CN"/>
          <w14:textFill>
            <w14:solidFill>
              <w14:schemeClr w14:val="tx1"/>
            </w14:solidFill>
          </w14:textFill>
        </w:rPr>
        <w:t xml:space="preserve"> 2</w:t>
      </w:r>
      <w:r>
        <w:rPr>
          <w:rFonts w:hint="eastAsia" w:eastAsiaTheme="minorEastAsia"/>
          <w:color w:val="000000" w:themeColor="text1"/>
          <w:sz w:val="28"/>
          <w:szCs w:val="24"/>
          <w:lang w:eastAsia="zh-CN"/>
          <w14:textFill>
            <w14:solidFill>
              <w14:schemeClr w14:val="tx1"/>
            </w14:solidFill>
          </w14:textFill>
        </w:rPr>
        <w:t xml:space="preserve"> h）：黄绿色、紫红色，揭露厚度 2.1-3.2m,承载力较好，可作为拟建建筑物的基础持力层；③强风化泥岩、泥质粉砂岩（J</w:t>
      </w:r>
      <w:r>
        <w:rPr>
          <w:rFonts w:hint="eastAsia" w:eastAsiaTheme="minorEastAsia"/>
          <w:color w:val="000000" w:themeColor="text1"/>
          <w:sz w:val="28"/>
          <w:szCs w:val="24"/>
          <w:vertAlign w:val="subscript"/>
          <w:lang w:eastAsia="zh-CN"/>
          <w14:textFill>
            <w14:solidFill>
              <w14:schemeClr w14:val="tx1"/>
            </w14:solidFill>
          </w14:textFill>
        </w:rPr>
        <w:t xml:space="preserve"> 2</w:t>
      </w:r>
      <w:r>
        <w:rPr>
          <w:rFonts w:hint="eastAsia" w:eastAsiaTheme="minorEastAsia"/>
          <w:color w:val="000000" w:themeColor="text1"/>
          <w:sz w:val="28"/>
          <w:szCs w:val="24"/>
          <w:lang w:eastAsia="zh-CN"/>
          <w14:textFill>
            <w14:solidFill>
              <w14:schemeClr w14:val="tx1"/>
            </w14:solidFill>
          </w14:textFill>
        </w:rPr>
        <w:t xml:space="preserve"> h）：黄绿色、紫红色，揭露厚度 1.2-5.1m，承载力较好，工程性状较好，可作为拟建建筑物的基础持力层及良好下卧层；④中风化泥岩、泥质粉砂岩（J </w:t>
      </w:r>
      <w:r>
        <w:rPr>
          <w:rFonts w:hint="eastAsia" w:eastAsiaTheme="minorEastAsia"/>
          <w:color w:val="000000" w:themeColor="text1"/>
          <w:sz w:val="28"/>
          <w:szCs w:val="24"/>
          <w:vertAlign w:val="subscript"/>
          <w:lang w:eastAsia="zh-CN"/>
          <w14:textFill>
            <w14:solidFill>
              <w14:schemeClr w14:val="tx1"/>
            </w14:solidFill>
          </w14:textFill>
        </w:rPr>
        <w:t>2</w:t>
      </w:r>
      <w:r>
        <w:rPr>
          <w:rFonts w:hint="eastAsia" w:eastAsiaTheme="minorEastAsia"/>
          <w:color w:val="000000" w:themeColor="text1"/>
          <w:sz w:val="28"/>
          <w:szCs w:val="24"/>
          <w:lang w:eastAsia="zh-CN"/>
          <w14:textFill>
            <w14:solidFill>
              <w14:schemeClr w14:val="tx1"/>
            </w14:solidFill>
          </w14:textFill>
        </w:rPr>
        <w:t xml:space="preserve"> h）：黄绿色、紫红色,承载力较好，工程性状较好，可作为拟建建筑物的基础持力层及良好下卧层。</w:t>
      </w:r>
    </w:p>
    <w:p w14:paraId="122ED9B3">
      <w:pPr>
        <w:keepNext w:val="0"/>
        <w:keepLines w:val="0"/>
        <w:pageBreakBefore w:val="0"/>
        <w:widowControl w:val="0"/>
        <w:numPr>
          <w:ilvl w:val="0"/>
          <w:numId w:val="12"/>
        </w:numPr>
        <w:tabs>
          <w:tab w:val="left" w:pos="5296"/>
        </w:tabs>
        <w:kinsoku/>
        <w:wordWrap/>
        <w:overflowPunct/>
        <w:topLinePunct w:val="0"/>
        <w:autoSpaceDE/>
        <w:autoSpaceDN/>
        <w:bidi w:val="0"/>
        <w:adjustRightInd/>
        <w:snapToGrid/>
        <w:ind w:left="0" w:leftChars="0" w:firstLine="560" w:firstLineChars="200"/>
        <w:textAlignment w:val="auto"/>
        <w:rPr>
          <w:rFonts w:hint="eastAsia" w:eastAsiaTheme="minorEastAsia"/>
          <w:color w:val="000000" w:themeColor="text1"/>
          <w:sz w:val="28"/>
          <w:szCs w:val="24"/>
          <w:lang w:eastAsia="zh-CN"/>
          <w14:textFill>
            <w14:solidFill>
              <w14:schemeClr w14:val="tx1"/>
            </w14:solidFill>
          </w14:textFill>
        </w:rPr>
      </w:pPr>
      <w:r>
        <w:rPr>
          <w:rFonts w:hint="eastAsia" w:eastAsiaTheme="minorEastAsia"/>
          <w:color w:val="000000" w:themeColor="text1"/>
          <w:sz w:val="28"/>
          <w:szCs w:val="24"/>
          <w:lang w:eastAsia="zh-CN"/>
          <w14:textFill>
            <w14:solidFill>
              <w14:schemeClr w14:val="tx1"/>
            </w14:solidFill>
          </w14:textFill>
        </w:rPr>
        <w:t>面板区：场区建（构）筑物采用天然地基是可行的，面板区持力层选择②-③、全-强风化泥岩、泥质粉砂岩为基础持力层，基础形式建议采用灌注桩，局部①粉质粘土厚处亦可作为基础持力层。</w:t>
      </w:r>
    </w:p>
    <w:p w14:paraId="430F57FC">
      <w:pPr>
        <w:keepNext w:val="0"/>
        <w:keepLines w:val="0"/>
        <w:pageBreakBefore w:val="0"/>
        <w:widowControl w:val="0"/>
        <w:numPr>
          <w:ilvl w:val="0"/>
          <w:numId w:val="12"/>
        </w:numPr>
        <w:tabs>
          <w:tab w:val="left" w:pos="5296"/>
        </w:tabs>
        <w:kinsoku/>
        <w:wordWrap/>
        <w:overflowPunct/>
        <w:topLinePunct w:val="0"/>
        <w:autoSpaceDE/>
        <w:autoSpaceDN/>
        <w:bidi w:val="0"/>
        <w:adjustRightInd/>
        <w:snapToGrid/>
        <w:ind w:left="0" w:leftChars="0" w:firstLine="560" w:firstLineChars="200"/>
        <w:textAlignment w:val="auto"/>
        <w:rPr>
          <w:rFonts w:hint="eastAsia" w:eastAsiaTheme="minorEastAsia"/>
          <w:color w:val="000000" w:themeColor="text1"/>
          <w:sz w:val="28"/>
          <w:szCs w:val="24"/>
          <w:lang w:eastAsia="zh-CN"/>
          <w14:textFill>
            <w14:solidFill>
              <w14:schemeClr w14:val="tx1"/>
            </w14:solidFill>
          </w14:textFill>
        </w:rPr>
      </w:pPr>
      <w:r>
        <w:rPr>
          <w:rFonts w:hint="eastAsia" w:eastAsiaTheme="minorEastAsia"/>
          <w:color w:val="000000" w:themeColor="text1"/>
          <w:sz w:val="28"/>
          <w:szCs w:val="24"/>
          <w:lang w:eastAsia="zh-CN"/>
          <w14:textFill>
            <w14:solidFill>
              <w14:schemeClr w14:val="tx1"/>
            </w14:solidFill>
          </w14:textFill>
        </w:rPr>
        <w:t>场地土对混凝土结构具有弱腐蚀性、对钢筋混凝土中的钢筋具有微腐蚀性，场地土对钢结构具弱腐蚀性，根据腐蚀性情况，建议对建筑材料采取相应的防护措施。</w:t>
      </w:r>
    </w:p>
    <w:p w14:paraId="4CC9233C">
      <w:pPr>
        <w:pStyle w:val="3"/>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111" w:name="_Toc8363"/>
      <w:bookmarkStart w:id="112" w:name="_Toc15574"/>
      <w:r>
        <w:rPr>
          <w:rFonts w:hint="eastAsia"/>
          <w:color w:val="000000" w:themeColor="text1"/>
          <w:lang w:eastAsia="zh-CN"/>
          <w14:textFill>
            <w14:solidFill>
              <w14:schemeClr w14:val="tx1"/>
            </w14:solidFill>
          </w14:textFill>
        </w:rPr>
        <w:t>总平面布置</w:t>
      </w:r>
      <w:bookmarkEnd w:id="111"/>
      <w:bookmarkEnd w:id="112"/>
    </w:p>
    <w:p w14:paraId="72D92D89">
      <w:pPr>
        <w:pStyle w:val="4"/>
        <w:keepNext w:val="0"/>
        <w:keepLines w:val="0"/>
        <w:pageBreakBefore w:val="0"/>
        <w:widowControl w:val="0"/>
        <w:kinsoku/>
        <w:bidi w:val="0"/>
        <w:rPr>
          <w:rFonts w:hint="eastAsia"/>
          <w:color w:val="000000" w:themeColor="text1"/>
          <w:lang w:eastAsia="zh-CN"/>
          <w14:textFill>
            <w14:solidFill>
              <w14:schemeClr w14:val="tx1"/>
            </w14:solidFill>
          </w14:textFill>
        </w:rPr>
      </w:pPr>
      <w:bookmarkStart w:id="113" w:name="_Toc25560"/>
      <w:r>
        <w:rPr>
          <w:rFonts w:hint="eastAsia"/>
          <w:color w:val="000000" w:themeColor="text1"/>
          <w:lang w:eastAsia="zh-CN"/>
          <w14:textFill>
            <w14:solidFill>
              <w14:schemeClr w14:val="tx1"/>
            </w14:solidFill>
          </w14:textFill>
        </w:rPr>
        <w:t>总平面布置</w:t>
      </w:r>
      <w:bookmarkEnd w:id="113"/>
    </w:p>
    <w:p w14:paraId="543E2493">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b w:val="0"/>
          <w:bCs w:val="0"/>
          <w:color w:val="000000" w:themeColor="text1"/>
          <w:lang w:val="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本项目</w:t>
      </w:r>
      <w:r>
        <w:rPr>
          <w:rFonts w:hint="eastAsia" w:ascii="宋体" w:hAnsi="宋体" w:eastAsia="宋体" w:cs="宋体"/>
          <w:color w:val="000000" w:themeColor="text1"/>
          <w:lang w:val="en-US" w:eastAsia="zh-CN"/>
          <w14:textFill>
            <w14:solidFill>
              <w14:schemeClr w14:val="tx1"/>
            </w14:solidFill>
          </w14:textFill>
        </w:rPr>
        <w:t>额定</w:t>
      </w:r>
      <w:r>
        <w:rPr>
          <w:rFonts w:hint="eastAsia" w:ascii="宋体" w:hAnsi="宋体" w:eastAsia="宋体" w:cs="宋体"/>
          <w:color w:val="000000" w:themeColor="text1"/>
          <w14:textFill>
            <w14:solidFill>
              <w14:schemeClr w14:val="tx1"/>
            </w14:solidFill>
          </w14:textFill>
        </w:rPr>
        <w:t>容量为</w:t>
      </w:r>
      <w:r>
        <w:rPr>
          <w:rFonts w:hint="eastAsia" w:ascii="宋体" w:hAnsi="宋体" w:eastAsia="宋体" w:cs="宋体"/>
          <w:color w:val="000000" w:themeColor="text1"/>
          <w:lang w:val="en-US" w:eastAsia="zh-CN"/>
          <w14:textFill>
            <w14:solidFill>
              <w14:schemeClr w14:val="tx1"/>
            </w14:solidFill>
          </w14:textFill>
        </w:rPr>
        <w:t>15</w:t>
      </w:r>
      <w:r>
        <w:rPr>
          <w:rFonts w:hint="eastAsia" w:ascii="宋体" w:hAnsi="宋体" w:eastAsia="宋体" w:cs="宋体"/>
          <w:color w:val="000000" w:themeColor="text1"/>
          <w14:textFill>
            <w14:solidFill>
              <w14:schemeClr w14:val="tx1"/>
            </w14:solidFill>
          </w14:textFill>
        </w:rPr>
        <w:t>MW，电池组选用5</w:t>
      </w:r>
      <w:r>
        <w:rPr>
          <w:rFonts w:hint="eastAsia" w:ascii="宋体" w:hAnsi="宋体" w:eastAsia="宋体" w:cs="宋体"/>
          <w:color w:val="000000" w:themeColor="text1"/>
          <w:lang w:val="en-US" w:eastAsia="zh-CN"/>
          <w14:textFill>
            <w14:solidFill>
              <w14:schemeClr w14:val="tx1"/>
            </w14:solidFill>
          </w14:textFill>
        </w:rPr>
        <w:t>7</w:t>
      </w:r>
      <w:r>
        <w:rPr>
          <w:rFonts w:hint="eastAsia" w:ascii="宋体" w:hAnsi="宋体" w:eastAsia="宋体" w:cs="宋体"/>
          <w:color w:val="000000" w:themeColor="text1"/>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/580</w:t>
      </w:r>
      <w:r>
        <w:rPr>
          <w:rFonts w:hint="eastAsia" w:ascii="宋体" w:hAnsi="宋体" w:eastAsia="宋体" w:cs="宋体"/>
          <w:color w:val="000000" w:themeColor="text1"/>
          <w14:textFill>
            <w14:solidFill>
              <w14:schemeClr w14:val="tx1"/>
            </w14:solidFill>
          </w14:textFill>
        </w:rPr>
        <w:t>Wp双面双玻单晶硅组件，在布置时按倾角2</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°固定安装在支架上。共计安装30772/2828块光伏组件。由</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个</w:t>
      </w:r>
      <w:r>
        <w:rPr>
          <w:rFonts w:hint="eastAsia" w:ascii="宋体" w:hAnsi="宋体" w:eastAsia="宋体" w:cs="宋体"/>
          <w:color w:val="000000" w:themeColor="text1"/>
          <w:lang w:val="en-US" w:eastAsia="zh-CN"/>
          <w14:textFill>
            <w14:solidFill>
              <w14:schemeClr w14:val="tx1"/>
            </w14:solidFill>
          </w14:textFill>
        </w:rPr>
        <w:t>2.6</w:t>
      </w:r>
      <w:r>
        <w:rPr>
          <w:rFonts w:hint="eastAsia" w:ascii="宋体" w:hAnsi="宋体" w:eastAsia="宋体" w:cs="宋体"/>
          <w:color w:val="000000" w:themeColor="text1"/>
          <w14:textFill>
            <w14:solidFill>
              <w14:schemeClr w14:val="tx1"/>
            </w14:solidFill>
          </w14:textFill>
        </w:rPr>
        <w:t>MW单晶硅光伏方阵组成。每个光伏组串由28块光伏组件串联。全站共配置</w:t>
      </w:r>
      <w:r>
        <w:rPr>
          <w:rFonts w:hint="eastAsia" w:ascii="宋体" w:hAnsi="宋体" w:eastAsia="宋体" w:cs="宋体"/>
          <w:color w:val="000000" w:themeColor="text1"/>
          <w:lang w:val="en-US" w:eastAsia="zh-CN"/>
          <w14:textFill>
            <w14:solidFill>
              <w14:schemeClr w14:val="tx1"/>
            </w14:solidFill>
          </w14:textFill>
        </w:rPr>
        <w:t>48</w:t>
      </w:r>
      <w:r>
        <w:rPr>
          <w:rFonts w:hint="eastAsia" w:ascii="宋体" w:hAnsi="宋体" w:eastAsia="宋体" w:cs="宋体"/>
          <w:color w:val="000000" w:themeColor="text1"/>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320</w:t>
      </w:r>
      <w:r>
        <w:rPr>
          <w:rFonts w:hint="eastAsia" w:ascii="宋体" w:hAnsi="宋体" w:eastAsia="宋体" w:cs="宋体"/>
          <w:color w:val="000000" w:themeColor="text1"/>
          <w14:textFill>
            <w14:solidFill>
              <w14:schemeClr w14:val="tx1"/>
            </w14:solidFill>
          </w14:textFill>
        </w:rPr>
        <w:t>kW的组串式逆变器、</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260</w:t>
      </w:r>
      <w:r>
        <w:rPr>
          <w:rFonts w:hint="eastAsia" w:ascii="宋体" w:hAnsi="宋体" w:eastAsia="宋体" w:cs="宋体"/>
          <w:color w:val="000000" w:themeColor="text1"/>
          <w14:textFill>
            <w14:solidFill>
              <w14:schemeClr w14:val="tx1"/>
            </w14:solidFill>
          </w14:textFill>
        </w:rPr>
        <w:t>0kVA箱式变压器。</w:t>
      </w:r>
    </w:p>
    <w:p w14:paraId="7436824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b w:val="0"/>
          <w:bCs w:val="0"/>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5602605" cy="3437255"/>
            <wp:effectExtent l="0" t="0" r="5715" b="6985"/>
            <wp:docPr id="2" name="图片 1" descr="建设项目环境影响报告表-基诺乡巴卡村洛科新寨光伏电站项目（审定稿）_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建设项目环境影响报告表-基诺乡巴卡村洛科新寨光伏电站项目（审定稿）_254"/>
                    <pic:cNvPicPr>
                      <a:picLocks noChangeAspect="1"/>
                    </pic:cNvPicPr>
                  </pic:nvPicPr>
                  <pic:blipFill>
                    <a:blip r:embed="rId23"/>
                    <a:srcRect l="3236" t="2066" r="4099" b="5031"/>
                    <a:stretch>
                      <a:fillRect/>
                    </a:stretch>
                  </pic:blipFill>
                  <pic:spPr>
                    <a:xfrm>
                      <a:off x="0" y="0"/>
                      <a:ext cx="5602605" cy="3437255"/>
                    </a:xfrm>
                    <a:prstGeom prst="rect">
                      <a:avLst/>
                    </a:prstGeom>
                    <a:noFill/>
                    <a:ln>
                      <a:noFill/>
                    </a:ln>
                  </pic:spPr>
                </pic:pic>
              </a:graphicData>
            </a:graphic>
          </wp:inline>
        </w:drawing>
      </w:r>
    </w:p>
    <w:p w14:paraId="581C53D6">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宋体" w:hAnsi="宋体" w:eastAsia="宋体" w:cs="宋体"/>
          <w:b w:val="0"/>
          <w:bCs w:val="0"/>
          <w:color w:val="000000" w:themeColor="text1"/>
          <w:lang w:val="en-US" w:eastAsia="zh-CN"/>
          <w14:textFill>
            <w14:solidFill>
              <w14:schemeClr w14:val="tx1"/>
            </w14:solidFill>
          </w14:textFill>
        </w:rPr>
      </w:pPr>
      <w:r>
        <w:rPr>
          <w:rFonts w:hint="eastAsia" w:ascii="宋体" w:hAnsi="宋体" w:cs="宋体"/>
          <w:b w:val="0"/>
          <w:bCs w:val="0"/>
          <w:color w:val="000000" w:themeColor="text1"/>
          <w:lang w:val="en-US" w:eastAsia="zh-CN"/>
          <w14:textFill>
            <w14:solidFill>
              <w14:schemeClr w14:val="tx1"/>
            </w14:solidFill>
          </w14:textFill>
        </w:rPr>
        <w:t>图2.7-1 光伏区总平面布置图</w:t>
      </w:r>
    </w:p>
    <w:p w14:paraId="36F27F23">
      <w:pPr>
        <w:pStyle w:val="5"/>
        <w:keepNext w:val="0"/>
        <w:keepLines w:val="0"/>
        <w:pageBreakBefore w:val="0"/>
        <w:widowControl w:val="0"/>
        <w:kinsoku/>
        <w:wordWrap/>
        <w:overflowPunct/>
        <w:topLinePunct w:val="0"/>
        <w:autoSpaceDE/>
        <w:autoSpaceDN/>
        <w:bidi w:val="0"/>
        <w:adjustRightInd/>
        <w:snapToGrid/>
        <w:spacing w:before="160" w:beforeLines="50" w:after="160" w:afterLines="50" w:line="400" w:lineRule="exact"/>
        <w:ind w:left="0" w:firstLine="453" w:firstLineChars="151"/>
        <w:textAlignment w:val="auto"/>
        <w:rPr>
          <w:rFonts w:hint="eastAsia" w:ascii="宋体" w:hAnsi="宋体" w:eastAsia="宋体" w:cs="宋体"/>
          <w:b w:val="0"/>
          <w:bCs w:val="0"/>
          <w:color w:val="000000" w:themeColor="text1"/>
          <w:spacing w:val="-6"/>
          <w:sz w:val="28"/>
          <w:szCs w:val="28"/>
          <w14:textFill>
            <w14:solidFill>
              <w14:schemeClr w14:val="tx1"/>
            </w14:solidFill>
          </w14:textFill>
        </w:rPr>
      </w:pPr>
      <w:r>
        <w:rPr>
          <w:rFonts w:hint="eastAsia"/>
          <w:color w:val="000000" w:themeColor="text1"/>
          <w:lang w:val="en-US" w:eastAsia="zh-CN"/>
          <w14:textFill>
            <w14:solidFill>
              <w14:schemeClr w14:val="tx1"/>
            </w14:solidFill>
          </w14:textFill>
        </w:rPr>
        <w:t>道路及运输</w:t>
      </w:r>
    </w:p>
    <w:p w14:paraId="02A88A34">
      <w:pPr>
        <w:keepNext w:val="0"/>
        <w:keepLines w:val="0"/>
        <w:pageBreakBefore w:val="0"/>
        <w:widowControl w:val="0"/>
        <w:numPr>
          <w:ilvl w:val="0"/>
          <w:numId w:val="0"/>
        </w:numPr>
        <w:kinsoku/>
        <w:wordWrap/>
        <w:overflowPunct/>
        <w:topLinePunct w:val="0"/>
        <w:autoSpaceDE/>
        <w:autoSpaceDN/>
        <w:bidi w:val="0"/>
        <w:adjustRightInd w:val="0"/>
        <w:snapToGrid w:val="0"/>
        <w:ind w:leftChars="0" w:firstLine="560" w:firstLineChars="200"/>
        <w:textAlignment w:val="auto"/>
        <w:outlineLvl w:val="9"/>
        <w:rPr>
          <w:rFonts w:hint="eastAsia" w:ascii="宋体" w:hAnsi="宋体" w:eastAsia="宋体" w:cs="宋体"/>
          <w:b w:val="0"/>
          <w:bCs w:val="0"/>
          <w:color w:val="000000" w:themeColor="text1"/>
          <w:spacing w:val="-6"/>
          <w:sz w:val="28"/>
          <w:szCs w:val="28"/>
          <w14:textFill>
            <w14:solidFill>
              <w14:schemeClr w14:val="tx1"/>
            </w14:solidFill>
          </w14:textFill>
        </w:rPr>
      </w:pPr>
      <w:r>
        <w:rPr>
          <w:rFonts w:hint="eastAsia" w:ascii="宋体" w:hAnsi="宋体" w:eastAsia="宋体" w:cs="宋体"/>
          <w:b w:val="0"/>
          <w:bCs w:val="0"/>
          <w:color w:val="000000" w:themeColor="text1"/>
          <w:spacing w:val="0"/>
          <w:kern w:val="2"/>
          <w:sz w:val="28"/>
          <w:szCs w:val="24"/>
          <w:lang w:val="en-US" w:eastAsia="zh-CN" w:bidi="ar-SA"/>
          <w14:textFill>
            <w14:solidFill>
              <w14:schemeClr w14:val="tx1"/>
            </w14:solidFill>
          </w14:textFill>
        </w:rPr>
        <w:t>场内道路路面全部采用15cm碎石面层。道路边沟采用M10浆砌石排水沟，排水沟为矩形断面，尺寸为40cm×40cm，采用砂浆抹面。在地形较陡地段，为防止路面被雨水冲刷而产生的破坏，在运维期加强路面维护。</w:t>
      </w:r>
    </w:p>
    <w:p w14:paraId="4DC1F25C">
      <w:pPr>
        <w:pStyle w:val="5"/>
        <w:keepNext w:val="0"/>
        <w:keepLines w:val="0"/>
        <w:pageBreakBefore w:val="0"/>
        <w:widowControl w:val="0"/>
        <w:kinsoku/>
        <w:wordWrap/>
        <w:overflowPunct/>
        <w:topLinePunct w:val="0"/>
        <w:autoSpaceDE/>
        <w:autoSpaceDN/>
        <w:bidi w:val="0"/>
        <w:adjustRightInd/>
        <w:snapToGrid/>
        <w:spacing w:before="160" w:beforeLines="50" w:after="160" w:afterLines="50" w:line="400" w:lineRule="exact"/>
        <w:ind w:left="0" w:firstLine="406" w:firstLineChars="151"/>
        <w:textAlignment w:val="auto"/>
        <w:rPr>
          <w:rFonts w:hint="eastAsia" w:ascii="宋体" w:hAnsi="宋体" w:eastAsia="宋体" w:cs="宋体"/>
          <w:b/>
          <w:bCs/>
          <w:color w:val="000000" w:themeColor="text1"/>
          <w:spacing w:val="-6"/>
          <w:sz w:val="28"/>
          <w:szCs w:val="28"/>
          <w14:textFill>
            <w14:solidFill>
              <w14:schemeClr w14:val="tx1"/>
            </w14:solidFill>
          </w14:textFill>
        </w:rPr>
      </w:pPr>
      <w:r>
        <w:rPr>
          <w:rFonts w:hint="eastAsia" w:cs="宋体"/>
          <w:b/>
          <w:bCs/>
          <w:color w:val="000000" w:themeColor="text1"/>
          <w:spacing w:val="-6"/>
          <w:sz w:val="28"/>
          <w:szCs w:val="28"/>
          <w:lang w:val="en-US" w:eastAsia="zh-CN"/>
          <w14:textFill>
            <w14:solidFill>
              <w14:schemeClr w14:val="tx1"/>
            </w14:solidFill>
          </w14:textFill>
        </w:rPr>
        <w:t>升压站</w:t>
      </w:r>
    </w:p>
    <w:p w14:paraId="7C9D90E8">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36" w:firstLineChars="200"/>
        <w:textAlignment w:val="auto"/>
        <w:outlineLvl w:val="9"/>
        <w:rPr>
          <w:rFonts w:hint="eastAsia" w:ascii="宋体" w:hAnsi="宋体" w:eastAsia="宋体" w:cs="宋体"/>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 w:val="0"/>
          <w:bCs w:val="0"/>
          <w:color w:val="000000" w:themeColor="text1"/>
          <w:spacing w:val="-6"/>
          <w:sz w:val="28"/>
          <w:szCs w:val="28"/>
          <w14:textFill>
            <w14:solidFill>
              <w14:schemeClr w14:val="tx1"/>
            </w14:solidFill>
          </w14:textFill>
        </w:rPr>
        <w:t>本</w:t>
      </w:r>
      <w:r>
        <w:rPr>
          <w:rFonts w:hint="eastAsia" w:ascii="宋体" w:hAnsi="宋体" w:eastAsia="宋体" w:cs="宋体"/>
          <w:b w:val="0"/>
          <w:bCs w:val="0"/>
          <w:color w:val="000000" w:themeColor="text1"/>
          <w:spacing w:val="-6"/>
          <w:sz w:val="28"/>
          <w:szCs w:val="28"/>
          <w:lang w:val="en-US" w:eastAsia="zh-CN"/>
          <w14:textFill>
            <w14:solidFill>
              <w14:schemeClr w14:val="tx1"/>
            </w14:solidFill>
          </w14:textFill>
        </w:rPr>
        <w:t>电站不建</w:t>
      </w:r>
      <w:r>
        <w:rPr>
          <w:rFonts w:hint="eastAsia" w:ascii="宋体" w:hAnsi="宋体" w:eastAsia="宋体" w:cs="宋体"/>
          <w:b w:val="0"/>
          <w:bCs w:val="0"/>
          <w:color w:val="000000" w:themeColor="text1"/>
          <w:spacing w:val="-6"/>
          <w:sz w:val="28"/>
          <w:szCs w:val="28"/>
          <w14:textFill>
            <w14:solidFill>
              <w14:schemeClr w14:val="tx1"/>
            </w14:solidFill>
          </w14:textFill>
        </w:rPr>
        <w:t>升压站，</w:t>
      </w:r>
      <w:r>
        <w:rPr>
          <w:rFonts w:hint="eastAsia" w:ascii="宋体" w:hAnsi="宋体" w:eastAsia="宋体" w:cs="宋体"/>
          <w:color w:val="000000" w:themeColor="text1"/>
          <w:spacing w:val="0"/>
          <w:kern w:val="2"/>
          <w:sz w:val="28"/>
          <w:szCs w:val="24"/>
          <w:lang w:val="en-US" w:eastAsia="zh-CN" w:bidi="ar-SA"/>
          <w14:textFill>
            <w14:solidFill>
              <w14:schemeClr w14:val="tx1"/>
            </w14:solidFill>
          </w14:textFill>
        </w:rPr>
        <w:t>场区以1回集电线路送至110kV大寨升压站。</w:t>
      </w:r>
    </w:p>
    <w:p w14:paraId="5BB8FB95">
      <w:pPr>
        <w:pStyle w:val="4"/>
        <w:keepNext w:val="0"/>
        <w:keepLines w:val="0"/>
        <w:pageBreakBefore w:val="0"/>
        <w:widowControl w:val="0"/>
        <w:kinsoku/>
        <w:bidi w:val="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工艺流程</w:t>
      </w:r>
    </w:p>
    <w:p w14:paraId="0F15C6F1">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eastAsia"/>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光伏</w:t>
      </w:r>
      <w:r>
        <w:rPr>
          <w:rFonts w:hint="eastAsia"/>
          <w:b/>
          <w:bCs/>
          <w:color w:val="000000" w:themeColor="text1"/>
          <w:lang w:val="en-US" w:eastAsia="zh-CN"/>
          <w14:textFill>
            <w14:solidFill>
              <w14:schemeClr w14:val="tx1"/>
            </w14:solidFill>
          </w14:textFill>
        </w:rPr>
        <w:t>组件</w:t>
      </w:r>
    </w:p>
    <w:p w14:paraId="1B434C41">
      <w:pPr>
        <w:keepNext w:val="0"/>
        <w:keepLines w:val="0"/>
        <w:pageBreakBefore w:val="0"/>
        <w:widowControl w:val="0"/>
        <w:kinsoku/>
        <w:bidi w:val="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光伏组件选择峰值功率为5</w:t>
      </w:r>
      <w:r>
        <w:rPr>
          <w:rFonts w:hint="eastAsia" w:ascii="宋体" w:hAnsi="宋体" w:eastAsia="宋体" w:cs="宋体"/>
          <w:color w:val="000000" w:themeColor="text1"/>
          <w:lang w:val="en-US" w:eastAsia="zh-CN"/>
          <w14:textFill>
            <w14:solidFill>
              <w14:schemeClr w14:val="tx1"/>
            </w14:solidFill>
          </w14:textFill>
        </w:rPr>
        <w:t>7</w:t>
      </w:r>
      <w:r>
        <w:rPr>
          <w:rFonts w:hint="eastAsia" w:ascii="宋体" w:hAnsi="宋体" w:eastAsia="宋体" w:cs="宋体"/>
          <w:color w:val="000000" w:themeColor="text1"/>
          <w:lang w:eastAsia="zh-CN"/>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/580</w:t>
      </w:r>
      <w:r>
        <w:rPr>
          <w:rFonts w:hint="eastAsia" w:ascii="宋体" w:hAnsi="宋体" w:eastAsia="宋体" w:cs="宋体"/>
          <w:color w:val="000000" w:themeColor="text1"/>
          <w:lang w:eastAsia="zh-CN"/>
          <w14:textFill>
            <w14:solidFill>
              <w14:schemeClr w14:val="tx1"/>
            </w14:solidFill>
          </w14:textFill>
        </w:rPr>
        <w:t>Wp单晶硅双面双玻光伏组件。</w:t>
      </w:r>
    </w:p>
    <w:p w14:paraId="3EFD1E05">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default"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光伏阵列运行方式</w:t>
      </w:r>
    </w:p>
    <w:p w14:paraId="063BCBB0">
      <w:pPr>
        <w:keepNext w:val="0"/>
        <w:keepLines w:val="0"/>
        <w:pageBreakBefore w:val="0"/>
        <w:widowControl w:val="0"/>
        <w:kinsoku/>
        <w:bidi w:val="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本项目</w:t>
      </w:r>
      <w:r>
        <w:rPr>
          <w:rFonts w:hint="eastAsia" w:ascii="宋体" w:hAnsi="宋体" w:eastAsia="宋体" w:cs="宋体"/>
          <w:color w:val="000000" w:themeColor="text1"/>
          <w:lang w:eastAsia="zh-CN"/>
          <w14:textFill>
            <w14:solidFill>
              <w14:schemeClr w14:val="tx1"/>
            </w14:solidFill>
          </w14:textFill>
        </w:rPr>
        <w:t>采用固定倾角式的运行方式，支架倾角为22°。</w:t>
      </w:r>
    </w:p>
    <w:p w14:paraId="06E0DE95">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default" w:ascii="宋体" w:hAnsi="宋体" w:eastAsia="宋体"/>
          <w:b/>
          <w:bCs/>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逆变器</w:t>
      </w:r>
    </w:p>
    <w:p w14:paraId="5842FA9B">
      <w:pPr>
        <w:keepNext w:val="0"/>
        <w:keepLines w:val="0"/>
        <w:pageBreakBefore w:val="0"/>
        <w:widowControl w:val="0"/>
        <w:kinsoku/>
        <w:bidi w:val="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采用320kW组串式逆变器。</w:t>
      </w:r>
    </w:p>
    <w:p w14:paraId="031F49B4">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光伏方阵布置</w:t>
      </w:r>
    </w:p>
    <w:p w14:paraId="4608004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电池组选用5</w:t>
      </w:r>
      <w:r>
        <w:rPr>
          <w:rFonts w:hint="eastAsia" w:ascii="宋体" w:hAnsi="宋体" w:eastAsia="宋体" w:cs="宋体"/>
          <w:color w:val="000000" w:themeColor="text1"/>
          <w:lang w:val="en-US" w:eastAsia="zh-CN"/>
          <w14:textFill>
            <w14:solidFill>
              <w14:schemeClr w14:val="tx1"/>
            </w14:solidFill>
          </w14:textFill>
        </w:rPr>
        <w:t>7</w:t>
      </w:r>
      <w:r>
        <w:rPr>
          <w:rFonts w:hint="eastAsia" w:ascii="宋体" w:hAnsi="宋体" w:eastAsia="宋体" w:cs="宋体"/>
          <w:color w:val="000000" w:themeColor="text1"/>
          <w:lang w:eastAsia="zh-CN"/>
          <w14:textFill>
            <w14:solidFill>
              <w14:schemeClr w14:val="tx1"/>
            </w14:solidFill>
          </w14:textFill>
        </w:rPr>
        <w:t>5</w:t>
      </w:r>
      <w:r>
        <w:rPr>
          <w:rFonts w:hint="eastAsia" w:ascii="宋体" w:hAnsi="宋体" w:eastAsia="宋体" w:cs="宋体"/>
          <w:color w:val="000000" w:themeColor="text1"/>
          <w:lang w:val="en-US" w:eastAsia="zh-CN"/>
          <w14:textFill>
            <w14:solidFill>
              <w14:schemeClr w14:val="tx1"/>
            </w14:solidFill>
          </w14:textFill>
        </w:rPr>
        <w:t>/580</w:t>
      </w:r>
      <w:r>
        <w:rPr>
          <w:rFonts w:hint="eastAsia" w:ascii="宋体" w:hAnsi="宋体" w:eastAsia="宋体" w:cs="宋体"/>
          <w:color w:val="000000" w:themeColor="text1"/>
          <w:lang w:eastAsia="zh-CN"/>
          <w14:textFill>
            <w14:solidFill>
              <w14:schemeClr w14:val="tx1"/>
            </w14:solidFill>
          </w14:textFill>
        </w:rPr>
        <w:t>Wp双面双玻单晶硅组件，在布置时按倾角2</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lang w:eastAsia="zh-CN"/>
          <w14:textFill>
            <w14:solidFill>
              <w14:schemeClr w14:val="tx1"/>
            </w14:solidFill>
          </w14:textFill>
        </w:rPr>
        <w:t>°固定安装在支架上。共计安装30772/2828块光伏组件。由</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eastAsia="zh-CN"/>
          <w14:textFill>
            <w14:solidFill>
              <w14:schemeClr w14:val="tx1"/>
            </w14:solidFill>
          </w14:textFill>
        </w:rPr>
        <w:t>个</w:t>
      </w:r>
      <w:r>
        <w:rPr>
          <w:rFonts w:hint="eastAsia" w:ascii="宋体" w:hAnsi="宋体" w:eastAsia="宋体" w:cs="宋体"/>
          <w:color w:val="000000" w:themeColor="text1"/>
          <w:lang w:val="en-US" w:eastAsia="zh-CN"/>
          <w14:textFill>
            <w14:solidFill>
              <w14:schemeClr w14:val="tx1"/>
            </w14:solidFill>
          </w14:textFill>
        </w:rPr>
        <w:t>2.6</w:t>
      </w:r>
      <w:r>
        <w:rPr>
          <w:rFonts w:hint="eastAsia" w:ascii="宋体" w:hAnsi="宋体" w:eastAsia="宋体" w:cs="宋体"/>
          <w:color w:val="000000" w:themeColor="text1"/>
          <w:lang w:eastAsia="zh-CN"/>
          <w14:textFill>
            <w14:solidFill>
              <w14:schemeClr w14:val="tx1"/>
            </w14:solidFill>
          </w14:textFill>
        </w:rPr>
        <w:t>MW单晶硅光伏方阵组成。每个光伏组串由28块光伏组件串联。全站共配置</w:t>
      </w:r>
      <w:r>
        <w:rPr>
          <w:rFonts w:hint="eastAsia" w:ascii="宋体" w:hAnsi="宋体" w:eastAsia="宋体" w:cs="宋体"/>
          <w:color w:val="000000" w:themeColor="text1"/>
          <w:lang w:val="en-US" w:eastAsia="zh-CN"/>
          <w14:textFill>
            <w14:solidFill>
              <w14:schemeClr w14:val="tx1"/>
            </w14:solidFill>
          </w14:textFill>
        </w:rPr>
        <w:t>48</w:t>
      </w:r>
      <w:r>
        <w:rPr>
          <w:rFonts w:hint="eastAsia" w:ascii="宋体" w:hAnsi="宋体" w:eastAsia="宋体" w:cs="宋体"/>
          <w:color w:val="000000" w:themeColor="text1"/>
          <w:lang w:eastAsia="zh-CN"/>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320</w:t>
      </w:r>
      <w:r>
        <w:rPr>
          <w:rFonts w:hint="eastAsia" w:ascii="宋体" w:hAnsi="宋体" w:eastAsia="宋体" w:cs="宋体"/>
          <w:color w:val="000000" w:themeColor="text1"/>
          <w:lang w:eastAsia="zh-CN"/>
          <w14:textFill>
            <w14:solidFill>
              <w14:schemeClr w14:val="tx1"/>
            </w14:solidFill>
          </w14:textFill>
        </w:rPr>
        <w:t>kW的组串式逆变器、</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lang w:eastAsia="zh-CN"/>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260</w:t>
      </w:r>
      <w:r>
        <w:rPr>
          <w:rFonts w:hint="eastAsia" w:ascii="宋体" w:hAnsi="宋体" w:eastAsia="宋体" w:cs="宋体"/>
          <w:color w:val="000000" w:themeColor="text1"/>
          <w:lang w:eastAsia="zh-CN"/>
          <w14:textFill>
            <w14:solidFill>
              <w14:schemeClr w14:val="tx1"/>
            </w14:solidFill>
          </w14:textFill>
        </w:rPr>
        <w:t>0kVA箱式变压器。</w:t>
      </w:r>
    </w:p>
    <w:p w14:paraId="511BE229">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光伏</w:t>
      </w:r>
      <w:r>
        <w:rPr>
          <w:rFonts w:hint="eastAsia"/>
          <w:b/>
          <w:bCs/>
          <w:color w:val="000000" w:themeColor="text1"/>
          <w:lang w:val="en-US" w:eastAsia="zh-CN"/>
          <w14:textFill>
            <w14:solidFill>
              <w14:schemeClr w14:val="tx1"/>
            </w14:solidFill>
          </w14:textFill>
        </w:rPr>
        <w:t>组串组合</w:t>
      </w:r>
    </w:p>
    <w:p w14:paraId="352982B9">
      <w:pPr>
        <w:keepNext w:val="0"/>
        <w:keepLines w:val="0"/>
        <w:widowControl/>
        <w:suppressLineNumbers w:val="0"/>
        <w:jc w:val="left"/>
        <w:rPr>
          <w:rFonts w:hint="eastAsia" w:ascii="宋体" w:hAnsi="宋体" w:cs="宋体" w:eastAsiaTheme="minorEastAsia"/>
          <w:color w:val="000000" w:themeColor="text1"/>
          <w:spacing w:val="-2"/>
          <w:kern w:val="2"/>
          <w:sz w:val="28"/>
          <w:szCs w:val="24"/>
          <w:lang w:val="en-US" w:eastAsia="zh-CN" w:bidi="ar-SA"/>
          <w14:textFill>
            <w14:solidFill>
              <w14:schemeClr w14:val="tx1"/>
            </w14:solidFill>
          </w14:textFill>
        </w:rPr>
      </w:pPr>
      <w:r>
        <w:rPr>
          <w:rFonts w:hint="eastAsia" w:ascii="宋体" w:hAnsi="宋体" w:eastAsia="宋体" w:cs="宋体"/>
          <w:color w:val="000000" w:themeColor="text1"/>
          <w:spacing w:val="-2"/>
          <w:kern w:val="2"/>
          <w:sz w:val="28"/>
          <w:szCs w:val="24"/>
          <w:lang w:val="en-US" w:eastAsia="zh-CN" w:bidi="ar-SA"/>
          <w14:textFill>
            <w14:solidFill>
              <w14:schemeClr w14:val="tx1"/>
            </w14:solidFill>
          </w14:textFill>
        </w:rPr>
        <w:t>本工程组件</w:t>
      </w:r>
      <w:r>
        <w:rPr>
          <w:rFonts w:hint="eastAsia" w:eastAsiaTheme="minorEastAsia"/>
          <w:color w:val="000000" w:themeColor="text1"/>
          <w:lang w:val="en-US" w:eastAsia="zh-CN"/>
          <w14:textFill>
            <w14:solidFill>
              <w14:schemeClr w14:val="tx1"/>
            </w14:solidFill>
          </w14:textFill>
        </w:rPr>
        <w:t>按</w:t>
      </w:r>
      <w:r>
        <w:rPr>
          <w:rFonts w:hint="eastAsia" w:eastAsiaTheme="minorEastAsia"/>
          <w:color w:val="000000" w:themeColor="text1"/>
          <w14:textFill>
            <w14:solidFill>
              <w14:schemeClr w14:val="tx1"/>
            </w14:solidFill>
          </w14:textFill>
        </w:rPr>
        <w:t>纵向排列</w:t>
      </w:r>
      <w:r>
        <w:rPr>
          <w:rFonts w:hint="eastAsia" w:ascii="宋体" w:hAnsi="宋体" w:eastAsia="宋体" w:cs="宋体"/>
          <w:color w:val="000000" w:themeColor="text1"/>
          <w:spacing w:val="-2"/>
          <w:kern w:val="2"/>
          <w:sz w:val="28"/>
          <w:szCs w:val="24"/>
          <w:lang w:val="en-US" w:eastAsia="zh-CN" w:bidi="ar-SA"/>
          <w14:textFill>
            <w14:solidFill>
              <w14:schemeClr w14:val="tx1"/>
            </w14:solidFill>
          </w14:textFill>
        </w:rPr>
        <w:t>设置，每个支架按2排、每排14个组件进行设计，即：每个支架上安装28块</w:t>
      </w:r>
      <w:r>
        <w:rPr>
          <w:rFonts w:hint="eastAsia" w:eastAsiaTheme="minorEastAsia"/>
          <w:color w:val="000000" w:themeColor="text1"/>
          <w14:textFill>
            <w14:solidFill>
              <w14:schemeClr w14:val="tx1"/>
            </w14:solidFill>
          </w14:textFill>
        </w:rPr>
        <w:t>双面双玻光伏组件，构成1个组串</w:t>
      </w:r>
      <w:r>
        <w:rPr>
          <w:rFonts w:hint="eastAsia" w:eastAsiaTheme="minorEastAsia"/>
          <w:color w:val="000000" w:themeColor="text1"/>
          <w:lang w:eastAsia="zh-CN"/>
          <w14:textFill>
            <w14:solidFill>
              <w14:schemeClr w14:val="tx1"/>
            </w14:solidFill>
          </w14:textFill>
        </w:rPr>
        <w:t>。</w:t>
      </w:r>
    </w:p>
    <w:p w14:paraId="08204B39">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b/>
          <w:bCs/>
          <w:color w:val="000000" w:themeColor="text1"/>
          <w:lang w:val="en-US" w:eastAsia="zh-CN"/>
          <w14:textFill>
            <w14:solidFill>
              <w14:schemeClr w14:val="tx1"/>
            </w14:solidFill>
          </w14:textFill>
        </w:rPr>
        <w:t>光伏</w:t>
      </w:r>
      <w:r>
        <w:rPr>
          <w:rFonts w:hint="eastAsia"/>
          <w:b/>
          <w:bCs/>
          <w:color w:val="000000" w:themeColor="text1"/>
          <w:lang w:val="en-US" w:eastAsia="zh-CN"/>
          <w14:textFill>
            <w14:solidFill>
              <w14:schemeClr w14:val="tx1"/>
            </w14:solidFill>
          </w14:textFill>
        </w:rPr>
        <w:t>电缆敷设</w:t>
      </w:r>
    </w:p>
    <w:p w14:paraId="49EA856D">
      <w:pPr>
        <w:keepNext w:val="0"/>
        <w:keepLines w:val="0"/>
        <w:pageBreakBefore w:val="0"/>
        <w:widowControl w:val="0"/>
        <w:tabs>
          <w:tab w:val="left" w:pos="5296"/>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发电系统的太阳电池方阵，组串直流输出电缆通道东西方向沿太阳能组件的安装支架进入组串式逆变器，南北方向电缆采用沿电缆穿保护管进入纵向设置的直埋电缆沟敷设至组串式逆变器。组串式逆变器出线交流电缆沿着纵向设置的电缆沟至方阵对应的箱变。</w:t>
      </w:r>
    </w:p>
    <w:p w14:paraId="09DD0B69">
      <w:pPr>
        <w:keepNext w:val="0"/>
        <w:keepLines w:val="0"/>
        <w:pageBreakBefore w:val="0"/>
        <w:widowControl w:val="0"/>
        <w:tabs>
          <w:tab w:val="left" w:pos="5296"/>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箱变高压侧电缆即集电线路电缆沿场内道路边布置的电缆沟敷设并最终引至升压站35kV配电装置。</w:t>
      </w:r>
    </w:p>
    <w:p w14:paraId="55A024C7">
      <w:pPr>
        <w:keepNext w:val="0"/>
        <w:keepLines w:val="0"/>
        <w:pageBreakBefore w:val="0"/>
        <w:widowControl w:val="0"/>
        <w:tabs>
          <w:tab w:val="left" w:pos="5296"/>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电缆过道路部分埋管敷设的部分，埋管长度各伸出道路两侧不小于1m，埋地深度不小于1.0m。</w:t>
      </w:r>
    </w:p>
    <w:p w14:paraId="53E99A9E">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default" w:ascii="宋体" w:hAnsi="宋体" w:eastAsia="宋体" w:cs="宋体"/>
          <w:b/>
          <w:bCs/>
          <w:color w:val="000000" w:themeColor="text1"/>
          <w:lang w:val="en-US" w:eastAsia="zh-CN"/>
          <w14:textFill>
            <w14:solidFill>
              <w14:schemeClr w14:val="tx1"/>
            </w14:solidFill>
          </w14:textFill>
        </w:rPr>
      </w:pPr>
      <w:r>
        <w:rPr>
          <w:rFonts w:hint="eastAsia" w:cs="宋体"/>
          <w:b/>
          <w:bCs/>
          <w:color w:val="000000" w:themeColor="text1"/>
          <w:lang w:val="en-US" w:eastAsia="zh-CN"/>
          <w14:textFill>
            <w14:solidFill>
              <w14:schemeClr w14:val="tx1"/>
            </w14:solidFill>
          </w14:textFill>
        </w:rPr>
        <w:t>集电线路汇集</w:t>
      </w:r>
    </w:p>
    <w:p w14:paraId="3FC78C51">
      <w:pPr>
        <w:tabs>
          <w:tab w:val="left" w:pos="5296"/>
        </w:tabs>
        <w:ind w:left="0" w:leftChars="0" w:firstLine="560" w:firstLineChars="20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本项目由</w:t>
      </w:r>
      <w:r>
        <w:rPr>
          <w:rFonts w:hint="eastAsia" w:ascii="宋体" w:hAnsi="宋体" w:eastAsia="宋体" w:cs="宋体"/>
          <w:color w:val="000000" w:themeColor="text1"/>
          <w:kern w:val="2"/>
          <w:sz w:val="28"/>
          <w:szCs w:val="24"/>
          <w:lang w:val="en-US" w:eastAsia="zh-CN" w:bidi="ar-SA"/>
          <w14:textFill>
            <w14:solidFill>
              <w14:schemeClr w14:val="tx1"/>
            </w14:solidFill>
          </w14:textFill>
        </w:rPr>
        <w:t>6个2.6MW的方阵</w:t>
      </w:r>
      <w:r>
        <w:rPr>
          <w:rFonts w:hint="eastAsia" w:ascii="宋体" w:hAnsi="宋体" w:eastAsia="宋体" w:cs="宋体"/>
          <w:color w:val="000000" w:themeColor="text1"/>
          <w14:textFill>
            <w14:solidFill>
              <w14:schemeClr w14:val="tx1"/>
            </w14:solidFill>
          </w14:textFill>
        </w:rPr>
        <w:t>组成</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全站共配置</w:t>
      </w:r>
      <w:r>
        <w:rPr>
          <w:rFonts w:hint="eastAsia" w:ascii="宋体" w:hAnsi="宋体" w:eastAsia="宋体" w:cs="宋体"/>
          <w:color w:val="000000" w:themeColor="text1"/>
          <w:lang w:val="en-US" w:eastAsia="zh-CN"/>
          <w14:textFill>
            <w14:solidFill>
              <w14:schemeClr w14:val="tx1"/>
            </w14:solidFill>
          </w14:textFill>
        </w:rPr>
        <w:t>48</w:t>
      </w:r>
      <w:r>
        <w:rPr>
          <w:rFonts w:hint="eastAsia" w:ascii="宋体" w:hAnsi="宋体" w:eastAsia="宋体" w:cs="宋体"/>
          <w:color w:val="000000" w:themeColor="text1"/>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320</w:t>
      </w:r>
      <w:r>
        <w:rPr>
          <w:rFonts w:hint="eastAsia" w:ascii="宋体" w:hAnsi="宋体" w:eastAsia="宋体" w:cs="宋体"/>
          <w:color w:val="000000" w:themeColor="text1"/>
          <w14:textFill>
            <w14:solidFill>
              <w14:schemeClr w14:val="tx1"/>
            </w14:solidFill>
          </w14:textFill>
        </w:rPr>
        <w:t>kW的组串式逆变器、</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台</w:t>
      </w:r>
      <w:r>
        <w:rPr>
          <w:rFonts w:hint="eastAsia" w:ascii="宋体" w:hAnsi="宋体" w:eastAsia="宋体" w:cs="宋体"/>
          <w:color w:val="000000" w:themeColor="text1"/>
          <w:lang w:val="en-US" w:eastAsia="zh-CN"/>
          <w14:textFill>
            <w14:solidFill>
              <w14:schemeClr w14:val="tx1"/>
            </w14:solidFill>
          </w14:textFill>
        </w:rPr>
        <w:t>260</w:t>
      </w:r>
      <w:r>
        <w:rPr>
          <w:rFonts w:hint="eastAsia" w:ascii="宋体" w:hAnsi="宋体" w:eastAsia="宋体" w:cs="宋体"/>
          <w:color w:val="000000" w:themeColor="text1"/>
          <w14:textFill>
            <w14:solidFill>
              <w14:schemeClr w14:val="tx1"/>
            </w14:solidFill>
          </w14:textFill>
        </w:rPr>
        <w:t>0kVA</w:t>
      </w:r>
      <w:r>
        <w:rPr>
          <w:rFonts w:hint="eastAsia" w:ascii="宋体" w:hAnsi="宋体" w:eastAsia="宋体" w:cs="宋体"/>
          <w:color w:val="000000" w:themeColor="text1"/>
          <w:lang w:eastAsia="zh-CN"/>
          <w14:textFill>
            <w14:solidFill>
              <w14:schemeClr w14:val="tx1"/>
            </w14:solidFill>
          </w14:textFill>
        </w:rPr>
        <w:t>的</w:t>
      </w:r>
      <w:r>
        <w:rPr>
          <w:rFonts w:hint="eastAsia" w:ascii="宋体" w:hAnsi="宋体" w:eastAsia="宋体" w:cs="宋体"/>
          <w:color w:val="000000" w:themeColor="text1"/>
          <w14:textFill>
            <w14:solidFill>
              <w14:schemeClr w14:val="tx1"/>
            </w14:solidFill>
          </w14:textFill>
        </w:rPr>
        <w:t>箱式变压器。每个光伏方阵电力经箱变升压至35kV后，通过35kV集电线路（直埋电缆，</w:t>
      </w:r>
      <w:r>
        <w:rPr>
          <w:rFonts w:hint="eastAsia" w:ascii="宋体" w:hAnsi="宋体" w:eastAsia="宋体" w:cs="宋体"/>
          <w:color w:val="000000" w:themeColor="text1"/>
          <w:lang w:val="en-US" w:eastAsia="zh-CN"/>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回路）输送至</w:t>
      </w:r>
      <w:r>
        <w:rPr>
          <w:rFonts w:hint="eastAsia" w:ascii="宋体" w:hAnsi="宋体" w:eastAsia="宋体" w:cs="宋体"/>
          <w:color w:val="000000" w:themeColor="text1"/>
          <w:kern w:val="2"/>
          <w:sz w:val="28"/>
          <w:szCs w:val="24"/>
          <w:lang w:val="en-US" w:eastAsia="zh-CN" w:bidi="ar-SA"/>
          <w14:textFill>
            <w14:solidFill>
              <w14:schemeClr w14:val="tx1"/>
            </w14:solidFill>
          </w14:textFill>
        </w:rPr>
        <w:t>洛科大寨110kV</w:t>
      </w:r>
      <w:r>
        <w:rPr>
          <w:rFonts w:hint="eastAsia" w:ascii="宋体" w:hAnsi="宋体" w:eastAsia="宋体" w:cs="宋体"/>
          <w:color w:val="000000" w:themeColor="text1"/>
          <w14:textFill>
            <w14:solidFill>
              <w14:schemeClr w14:val="tx1"/>
            </w14:solidFill>
          </w14:textFill>
        </w:rPr>
        <w:t>升压站。本工程不新建升压站。</w:t>
      </w:r>
      <w:r>
        <w:rPr>
          <w:rFonts w:hint="eastAsia" w:ascii="宋体" w:hAnsi="宋体" w:eastAsia="宋体" w:cs="宋体"/>
          <w:color w:val="000000" w:themeColor="text1"/>
          <w:highlight w:val="none"/>
          <w14:textFill>
            <w14:solidFill>
              <w14:schemeClr w14:val="tx1"/>
            </w14:solidFill>
          </w14:textFill>
        </w:rPr>
        <w:t>集电线路电缆长度约</w:t>
      </w:r>
      <w:r>
        <w:rPr>
          <w:rFonts w:hint="eastAsia" w:ascii="宋体" w:hAnsi="宋体" w:eastAsia="宋体" w:cs="宋体"/>
          <w:color w:val="000000" w:themeColor="text1"/>
          <w:highlight w:val="none"/>
          <w:lang w:val="en-US" w:eastAsia="zh-CN"/>
          <w14:textFill>
            <w14:solidFill>
              <w14:schemeClr w14:val="tx1"/>
            </w14:solidFill>
          </w14:textFill>
        </w:rPr>
        <w:t>7.65</w:t>
      </w:r>
      <w:r>
        <w:rPr>
          <w:rFonts w:hint="eastAsia" w:ascii="宋体" w:hAnsi="宋体" w:eastAsia="宋体" w:cs="宋体"/>
          <w:color w:val="000000" w:themeColor="text1"/>
          <w:highlight w:val="none"/>
          <w14:textFill>
            <w14:solidFill>
              <w14:schemeClr w14:val="tx1"/>
            </w14:solidFill>
          </w14:textFill>
        </w:rPr>
        <w:t>km。</w:t>
      </w:r>
    </w:p>
    <w:p w14:paraId="7FF208A7">
      <w:pPr>
        <w:pStyle w:val="5"/>
        <w:keepNext w:val="0"/>
        <w:keepLines w:val="0"/>
        <w:pageBreakBefore w:val="0"/>
        <w:widowControl w:val="0"/>
        <w:kinsoku/>
        <w:wordWrap/>
        <w:overflowPunct/>
        <w:topLinePunct w:val="0"/>
        <w:autoSpaceDE/>
        <w:autoSpaceDN/>
        <w:bidi w:val="0"/>
        <w:adjustRightInd/>
        <w:snapToGrid/>
        <w:spacing w:before="0" w:beforeLines="0" w:after="0" w:afterLines="0"/>
        <w:ind w:left="862" w:hanging="862"/>
        <w:textAlignment w:val="auto"/>
        <w:rPr>
          <w:rFonts w:hint="default" w:ascii="宋体" w:hAnsi="宋体"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主要生产设备</w:t>
      </w:r>
    </w:p>
    <w:p w14:paraId="6E7305A5">
      <w:pPr>
        <w:keepNext w:val="0"/>
        <w:keepLines w:val="0"/>
        <w:pageBreakBefore w:val="0"/>
        <w:widowControl w:val="0"/>
        <w:kinsoku/>
        <w:bidi w:val="0"/>
        <w:rPr>
          <w:rFonts w:ascii="宋体" w:hAnsi="宋体" w:eastAsia="宋体" w:cs="宋体"/>
          <w:b/>
          <w:bCs/>
          <w:color w:val="000000" w:themeColor="text1"/>
          <w:spacing w:val="-4"/>
          <w:sz w:val="23"/>
          <w:szCs w:val="23"/>
          <w14:textFill>
            <w14:solidFill>
              <w14:schemeClr w14:val="tx1"/>
            </w14:solidFill>
          </w14:textFill>
        </w:rPr>
      </w:pPr>
      <w:r>
        <w:rPr>
          <w:rFonts w:hint="eastAsia" w:cs="Times New Roman"/>
          <w:color w:val="000000" w:themeColor="text1"/>
          <w:lang w:val="en-US" w:eastAsia="zh-CN"/>
          <w14:textFill>
            <w14:solidFill>
              <w14:schemeClr w14:val="tx1"/>
            </w14:solidFill>
          </w14:textFill>
        </w:rPr>
        <w:t>主要设备如下表：</w:t>
      </w:r>
    </w:p>
    <w:p w14:paraId="7B98D772">
      <w:pPr>
        <w:spacing w:before="194" w:line="209" w:lineRule="auto"/>
        <w:ind w:left="3288"/>
        <w:rPr>
          <w:rFonts w:hint="eastAsia" w:ascii="宋体" w:hAnsi="宋体" w:eastAsia="宋体" w:cs="宋体"/>
          <w:b/>
          <w:bCs/>
          <w:color w:val="000000" w:themeColor="text1"/>
          <w:spacing w:val="-4"/>
          <w:sz w:val="23"/>
          <w:szCs w:val="23"/>
          <w:lang w:val="en-US" w:eastAsia="zh-CN"/>
          <w14:textFill>
            <w14:solidFill>
              <w14:schemeClr w14:val="tx1"/>
            </w14:solidFill>
          </w14:textFill>
        </w:rPr>
      </w:pPr>
      <w:r>
        <w:rPr>
          <w:rFonts w:ascii="宋体" w:hAnsi="宋体" w:eastAsia="宋体" w:cs="宋体"/>
          <w:b/>
          <w:bCs/>
          <w:color w:val="000000" w:themeColor="text1"/>
          <w:spacing w:val="-4"/>
          <w:sz w:val="23"/>
          <w:szCs w:val="23"/>
          <w14:textFill>
            <w14:solidFill>
              <w14:schemeClr w14:val="tx1"/>
            </w14:solidFill>
          </w14:textFill>
        </w:rPr>
        <w:t>表2.</w:t>
      </w:r>
      <w:r>
        <w:rPr>
          <w:rFonts w:hint="eastAsia" w:ascii="宋体" w:hAnsi="宋体" w:eastAsia="宋体" w:cs="宋体"/>
          <w:b/>
          <w:bCs/>
          <w:color w:val="000000" w:themeColor="text1"/>
          <w:spacing w:val="-4"/>
          <w:sz w:val="23"/>
          <w:szCs w:val="23"/>
          <w:lang w:val="en-US" w:eastAsia="zh-CN"/>
          <w14:textFill>
            <w14:solidFill>
              <w14:schemeClr w14:val="tx1"/>
            </w14:solidFill>
          </w14:textFill>
        </w:rPr>
        <w:t>8</w:t>
      </w:r>
      <w:r>
        <w:rPr>
          <w:rFonts w:ascii="宋体" w:hAnsi="宋体" w:eastAsia="宋体" w:cs="宋体"/>
          <w:b/>
          <w:bCs/>
          <w:color w:val="000000" w:themeColor="text1"/>
          <w:spacing w:val="-4"/>
          <w:sz w:val="23"/>
          <w:szCs w:val="23"/>
          <w14:textFill>
            <w14:solidFill>
              <w14:schemeClr w14:val="tx1"/>
            </w14:solidFill>
          </w14:textFill>
        </w:rPr>
        <w:t>-1</w:t>
      </w:r>
      <w:r>
        <w:rPr>
          <w:rFonts w:hint="eastAsia" w:ascii="宋体" w:hAnsi="宋体" w:eastAsia="宋体" w:cs="宋体"/>
          <w:b/>
          <w:bCs/>
          <w:color w:val="000000" w:themeColor="text1"/>
          <w:spacing w:val="-4"/>
          <w:sz w:val="23"/>
          <w:szCs w:val="23"/>
          <w:lang w:val="en-US" w:eastAsia="zh-CN"/>
          <w14:textFill>
            <w14:solidFill>
              <w14:schemeClr w14:val="tx1"/>
            </w14:solidFill>
          </w14:textFill>
        </w:rPr>
        <w:t>主要设备清单</w:t>
      </w:r>
    </w:p>
    <w:tbl>
      <w:tblPr>
        <w:tblStyle w:val="2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5805"/>
        <w:gridCol w:w="664"/>
        <w:gridCol w:w="1318"/>
        <w:gridCol w:w="664"/>
      </w:tblGrid>
      <w:tr w14:paraId="6DCD3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364" w:type="pct"/>
            <w:vAlign w:val="center"/>
          </w:tcPr>
          <w:p w14:paraId="0C686651">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3183" w:type="pct"/>
            <w:vAlign w:val="center"/>
          </w:tcPr>
          <w:p w14:paraId="7E7ECA97">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设备名称</w:t>
            </w:r>
          </w:p>
        </w:tc>
        <w:tc>
          <w:tcPr>
            <w:tcW w:w="364" w:type="pct"/>
            <w:vAlign w:val="center"/>
          </w:tcPr>
          <w:p w14:paraId="7416B55C">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单位</w:t>
            </w:r>
          </w:p>
        </w:tc>
        <w:tc>
          <w:tcPr>
            <w:tcW w:w="723" w:type="pct"/>
            <w:vAlign w:val="center"/>
          </w:tcPr>
          <w:p w14:paraId="235A633F">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数量</w:t>
            </w:r>
          </w:p>
        </w:tc>
        <w:tc>
          <w:tcPr>
            <w:tcW w:w="364" w:type="pct"/>
            <w:vAlign w:val="center"/>
          </w:tcPr>
          <w:p w14:paraId="1EE6C1E4">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备注</w:t>
            </w:r>
          </w:p>
        </w:tc>
      </w:tr>
      <w:tr w14:paraId="7BCCA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61A2325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w:t>
            </w:r>
          </w:p>
        </w:tc>
        <w:tc>
          <w:tcPr>
            <w:tcW w:w="3183" w:type="pct"/>
            <w:vAlign w:val="center"/>
          </w:tcPr>
          <w:p w14:paraId="6112454B">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单晶硅组件（Wp） 575/580</w:t>
            </w:r>
          </w:p>
        </w:tc>
        <w:tc>
          <w:tcPr>
            <w:tcW w:w="364" w:type="pct"/>
            <w:vAlign w:val="center"/>
          </w:tcPr>
          <w:p w14:paraId="6568DDD8">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块</w:t>
            </w:r>
          </w:p>
        </w:tc>
        <w:tc>
          <w:tcPr>
            <w:tcW w:w="723" w:type="pct"/>
            <w:noWrap/>
            <w:vAlign w:val="center"/>
          </w:tcPr>
          <w:p w14:paraId="34F9E2D0">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30772/2828</w:t>
            </w:r>
          </w:p>
        </w:tc>
        <w:tc>
          <w:tcPr>
            <w:tcW w:w="364" w:type="pct"/>
            <w:noWrap/>
            <w:vAlign w:val="center"/>
          </w:tcPr>
          <w:p w14:paraId="58037DC5">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76A1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0C9365D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w:t>
            </w:r>
          </w:p>
        </w:tc>
        <w:tc>
          <w:tcPr>
            <w:tcW w:w="3183" w:type="pct"/>
            <w:vAlign w:val="center"/>
          </w:tcPr>
          <w:p w14:paraId="32C13539">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组串式逆变器 320kW</w:t>
            </w:r>
          </w:p>
        </w:tc>
        <w:tc>
          <w:tcPr>
            <w:tcW w:w="364" w:type="pct"/>
            <w:vAlign w:val="center"/>
          </w:tcPr>
          <w:p w14:paraId="608EE9DA">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台</w:t>
            </w:r>
          </w:p>
        </w:tc>
        <w:tc>
          <w:tcPr>
            <w:tcW w:w="723" w:type="pct"/>
            <w:noWrap/>
            <w:vAlign w:val="center"/>
          </w:tcPr>
          <w:p w14:paraId="57ED58AF">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48</w:t>
            </w:r>
          </w:p>
        </w:tc>
        <w:tc>
          <w:tcPr>
            <w:tcW w:w="364" w:type="pct"/>
            <w:noWrap/>
            <w:vAlign w:val="center"/>
          </w:tcPr>
          <w:p w14:paraId="0FD09D23">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485C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690D032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3</w:t>
            </w:r>
          </w:p>
        </w:tc>
        <w:tc>
          <w:tcPr>
            <w:tcW w:w="3183" w:type="pct"/>
            <w:vAlign w:val="center"/>
          </w:tcPr>
          <w:p w14:paraId="5AD9CA36">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箱变 2600kVA</w:t>
            </w:r>
          </w:p>
        </w:tc>
        <w:tc>
          <w:tcPr>
            <w:tcW w:w="364" w:type="pct"/>
            <w:vAlign w:val="center"/>
          </w:tcPr>
          <w:p w14:paraId="35A301E0">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台</w:t>
            </w:r>
          </w:p>
        </w:tc>
        <w:tc>
          <w:tcPr>
            <w:tcW w:w="723" w:type="pct"/>
            <w:noWrap/>
            <w:vAlign w:val="center"/>
          </w:tcPr>
          <w:p w14:paraId="30B80231">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6</w:t>
            </w:r>
          </w:p>
        </w:tc>
        <w:tc>
          <w:tcPr>
            <w:tcW w:w="364" w:type="pct"/>
            <w:noWrap/>
            <w:vAlign w:val="center"/>
          </w:tcPr>
          <w:p w14:paraId="2E7A0DCA">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5BE0A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22936A9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w:t>
            </w:r>
          </w:p>
        </w:tc>
        <w:tc>
          <w:tcPr>
            <w:tcW w:w="3183" w:type="pct"/>
            <w:shd w:val="clear" w:color="auto" w:fill="auto"/>
            <w:vAlign w:val="center"/>
          </w:tcPr>
          <w:p w14:paraId="0325B98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光伏线缆H1Z2Z2-K1×4mm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615F792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km</w:t>
            </w:r>
          </w:p>
        </w:tc>
        <w:tc>
          <w:tcPr>
            <w:tcW w:w="723" w:type="pct"/>
            <w:shd w:val="clear" w:color="auto" w:fill="auto"/>
            <w:noWrap/>
            <w:vAlign w:val="center"/>
          </w:tcPr>
          <w:p w14:paraId="21FA111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145</w:t>
            </w:r>
          </w:p>
        </w:tc>
        <w:tc>
          <w:tcPr>
            <w:tcW w:w="364" w:type="pct"/>
            <w:noWrap/>
            <w:vAlign w:val="center"/>
          </w:tcPr>
          <w:p w14:paraId="2F3077F4">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027D4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12A0A93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p>
        </w:tc>
        <w:tc>
          <w:tcPr>
            <w:tcW w:w="3183" w:type="pct"/>
            <w:shd w:val="clear" w:color="auto" w:fill="auto"/>
            <w:vAlign w:val="center"/>
          </w:tcPr>
          <w:p w14:paraId="443F2D0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低压交流电缆(铝合金)ZRC-YJLHV22-1.8/3kV-3×240mm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104ABCF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7D99B7B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5242</w:t>
            </w:r>
          </w:p>
        </w:tc>
        <w:tc>
          <w:tcPr>
            <w:tcW w:w="364" w:type="pct"/>
            <w:noWrap/>
            <w:vAlign w:val="center"/>
          </w:tcPr>
          <w:p w14:paraId="74B76694">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50E32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414DD66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6</w:t>
            </w:r>
          </w:p>
        </w:tc>
        <w:tc>
          <w:tcPr>
            <w:tcW w:w="3183" w:type="pct"/>
            <w:shd w:val="clear" w:color="auto" w:fill="auto"/>
            <w:vAlign w:val="center"/>
          </w:tcPr>
          <w:p w14:paraId="1564963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COM100电源电缆ZRC-YJV22-1.8/3kV-4×10</w:t>
            </w:r>
          </w:p>
        </w:tc>
        <w:tc>
          <w:tcPr>
            <w:tcW w:w="364" w:type="pct"/>
            <w:shd w:val="clear" w:color="auto" w:fill="auto"/>
            <w:vAlign w:val="center"/>
          </w:tcPr>
          <w:p w14:paraId="59B100B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772711A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850</w:t>
            </w:r>
          </w:p>
        </w:tc>
        <w:tc>
          <w:tcPr>
            <w:tcW w:w="364" w:type="pct"/>
            <w:noWrap/>
            <w:vAlign w:val="center"/>
          </w:tcPr>
          <w:p w14:paraId="75D9993E">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19FA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37DA756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7</w:t>
            </w:r>
          </w:p>
        </w:tc>
        <w:tc>
          <w:tcPr>
            <w:tcW w:w="3183" w:type="pct"/>
            <w:shd w:val="clear" w:color="auto" w:fill="auto"/>
            <w:vAlign w:val="center"/>
          </w:tcPr>
          <w:p w14:paraId="7D3CF20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通信模块电源电缆ZRC-YJV22-0.6/1kV-3×10</w:t>
            </w:r>
          </w:p>
        </w:tc>
        <w:tc>
          <w:tcPr>
            <w:tcW w:w="364" w:type="pct"/>
            <w:shd w:val="clear" w:color="auto" w:fill="auto"/>
            <w:vAlign w:val="center"/>
          </w:tcPr>
          <w:p w14:paraId="47D5041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70E7630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r>
              <w:rPr>
                <w:rFonts w:hint="eastAsia" w:ascii="宋体" w:hAnsi="宋体" w:eastAsia="宋体" w:cs="宋体"/>
                <w:color w:val="000000" w:themeColor="text1"/>
                <w:kern w:val="0"/>
                <w:sz w:val="21"/>
                <w:szCs w:val="21"/>
                <w14:textFill>
                  <w14:solidFill>
                    <w14:schemeClr w14:val="tx1"/>
                  </w14:solidFill>
                </w14:textFill>
              </w:rPr>
              <w:t>50</w:t>
            </w:r>
          </w:p>
        </w:tc>
        <w:tc>
          <w:tcPr>
            <w:tcW w:w="364" w:type="pct"/>
            <w:noWrap/>
            <w:vAlign w:val="center"/>
          </w:tcPr>
          <w:p w14:paraId="75FE6ABD">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590D2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29EE2A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p>
        </w:tc>
        <w:tc>
          <w:tcPr>
            <w:tcW w:w="3183" w:type="pct"/>
            <w:shd w:val="clear" w:color="auto" w:fill="auto"/>
            <w:vAlign w:val="center"/>
          </w:tcPr>
          <w:p w14:paraId="4B4A669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高压交流电缆(铝合金)ZRC-YJLHV22-26/35kV-3×95mm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3C3FBF0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675065A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1647</w:t>
            </w:r>
          </w:p>
        </w:tc>
        <w:tc>
          <w:tcPr>
            <w:tcW w:w="364" w:type="pct"/>
            <w:noWrap/>
            <w:vAlign w:val="center"/>
          </w:tcPr>
          <w:p w14:paraId="3370A1D9">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0CB4D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23186D5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9</w:t>
            </w:r>
          </w:p>
        </w:tc>
        <w:tc>
          <w:tcPr>
            <w:tcW w:w="3183" w:type="pct"/>
            <w:shd w:val="clear" w:color="auto" w:fill="auto"/>
            <w:vAlign w:val="center"/>
          </w:tcPr>
          <w:p w14:paraId="1BB4C2E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高压交流电缆(铝合金)ZRC-YJLHV22-26/35kV-3×</w:t>
            </w:r>
            <w:r>
              <w:rPr>
                <w:rFonts w:hint="eastAsia" w:ascii="宋体" w:hAnsi="宋体" w:eastAsia="宋体" w:cs="宋体"/>
                <w:color w:val="000000" w:themeColor="text1"/>
                <w:kern w:val="0"/>
                <w:sz w:val="21"/>
                <w:szCs w:val="21"/>
                <w:lang w:val="en-US" w:eastAsia="zh-CN"/>
                <w14:textFill>
                  <w14:solidFill>
                    <w14:schemeClr w14:val="tx1"/>
                  </w14:solidFill>
                </w14:textFill>
              </w:rPr>
              <w:t>300</w:t>
            </w:r>
            <w:r>
              <w:rPr>
                <w:rFonts w:hint="eastAsia" w:ascii="宋体" w:hAnsi="宋体" w:eastAsia="宋体" w:cs="宋体"/>
                <w:color w:val="000000" w:themeColor="text1"/>
                <w:kern w:val="0"/>
                <w:sz w:val="21"/>
                <w:szCs w:val="21"/>
                <w14:textFill>
                  <w14:solidFill>
                    <w14:schemeClr w14:val="tx1"/>
                  </w14:solidFill>
                </w14:textFill>
              </w:rPr>
              <w:t>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6D183DC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5C24793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246</w:t>
            </w:r>
          </w:p>
        </w:tc>
        <w:tc>
          <w:tcPr>
            <w:tcW w:w="364" w:type="pct"/>
            <w:noWrap/>
            <w:vAlign w:val="center"/>
          </w:tcPr>
          <w:p w14:paraId="39607199">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18605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3F4A51F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w:t>
            </w:r>
          </w:p>
        </w:tc>
        <w:tc>
          <w:tcPr>
            <w:tcW w:w="3183" w:type="pct"/>
            <w:shd w:val="clear" w:color="auto" w:fill="auto"/>
            <w:vAlign w:val="center"/>
          </w:tcPr>
          <w:p w14:paraId="7F58E08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高压交流电缆</w:t>
            </w:r>
            <w:r>
              <w:rPr>
                <w:rFonts w:hint="eastAsia" w:ascii="宋体" w:hAnsi="宋体" w:eastAsia="宋体" w:cs="宋体"/>
                <w:color w:val="000000" w:themeColor="text1"/>
                <w:kern w:val="0"/>
                <w:sz w:val="21"/>
                <w:szCs w:val="21"/>
                <w:lang w:eastAsia="zh-CN"/>
                <w14:textFill>
                  <w14:solidFill>
                    <w14:schemeClr w14:val="tx1"/>
                  </w14:solidFill>
                </w14:textFill>
              </w:rPr>
              <w:t>冷缩终端头</w:t>
            </w:r>
            <w:r>
              <w:rPr>
                <w:rFonts w:hint="eastAsia" w:ascii="宋体" w:hAnsi="宋体" w:eastAsia="宋体" w:cs="宋体"/>
                <w:color w:val="000000" w:themeColor="text1"/>
                <w:kern w:val="0"/>
                <w:sz w:val="21"/>
                <w:szCs w:val="21"/>
                <w14:textFill>
                  <w14:solidFill>
                    <w14:schemeClr w14:val="tx1"/>
                  </w14:solidFill>
                </w14:textFill>
              </w:rPr>
              <w:t>ZRC-YJLHV22-26/35kV-3×95mm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799B842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套</w:t>
            </w:r>
          </w:p>
        </w:tc>
        <w:tc>
          <w:tcPr>
            <w:tcW w:w="723" w:type="pct"/>
            <w:shd w:val="clear" w:color="auto" w:fill="auto"/>
            <w:noWrap/>
            <w:vAlign w:val="center"/>
          </w:tcPr>
          <w:p w14:paraId="04B44EF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w:t>
            </w:r>
          </w:p>
        </w:tc>
        <w:tc>
          <w:tcPr>
            <w:tcW w:w="364" w:type="pct"/>
            <w:noWrap/>
            <w:vAlign w:val="center"/>
          </w:tcPr>
          <w:p w14:paraId="3BDC35D4">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0FDC4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73B602E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11</w:t>
            </w:r>
          </w:p>
        </w:tc>
        <w:tc>
          <w:tcPr>
            <w:tcW w:w="3183" w:type="pct"/>
            <w:shd w:val="clear" w:color="auto" w:fill="auto"/>
            <w:vAlign w:val="center"/>
          </w:tcPr>
          <w:p w14:paraId="16269F4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高压交流电缆</w:t>
            </w:r>
            <w:r>
              <w:rPr>
                <w:rFonts w:hint="eastAsia" w:ascii="宋体" w:hAnsi="宋体" w:eastAsia="宋体" w:cs="宋体"/>
                <w:color w:val="000000" w:themeColor="text1"/>
                <w:kern w:val="0"/>
                <w:sz w:val="21"/>
                <w:szCs w:val="21"/>
                <w:lang w:eastAsia="zh-CN"/>
                <w14:textFill>
                  <w14:solidFill>
                    <w14:schemeClr w14:val="tx1"/>
                  </w14:solidFill>
                </w14:textFill>
              </w:rPr>
              <w:t>冷缩终端头</w:t>
            </w:r>
            <w:r>
              <w:rPr>
                <w:rFonts w:hint="eastAsia" w:ascii="宋体" w:hAnsi="宋体" w:eastAsia="宋体" w:cs="宋体"/>
                <w:color w:val="000000" w:themeColor="text1"/>
                <w:kern w:val="0"/>
                <w:sz w:val="21"/>
                <w:szCs w:val="21"/>
                <w14:textFill>
                  <w14:solidFill>
                    <w14:schemeClr w14:val="tx1"/>
                  </w14:solidFill>
                </w14:textFill>
              </w:rPr>
              <w:t>ZRC-YJLHV22-26/35kV-3×</w:t>
            </w:r>
            <w:r>
              <w:rPr>
                <w:rFonts w:hint="eastAsia" w:ascii="宋体" w:hAnsi="宋体" w:eastAsia="宋体" w:cs="宋体"/>
                <w:color w:val="000000" w:themeColor="text1"/>
                <w:kern w:val="0"/>
                <w:sz w:val="21"/>
                <w:szCs w:val="21"/>
                <w:lang w:val="en-US" w:eastAsia="zh-CN"/>
                <w14:textFill>
                  <w14:solidFill>
                    <w14:schemeClr w14:val="tx1"/>
                  </w14:solidFill>
                </w14:textFill>
              </w:rPr>
              <w:t>300</w:t>
            </w:r>
            <w:r>
              <w:rPr>
                <w:rFonts w:hint="eastAsia" w:ascii="宋体" w:hAnsi="宋体" w:eastAsia="宋体" w:cs="宋体"/>
                <w:color w:val="000000" w:themeColor="text1"/>
                <w:kern w:val="0"/>
                <w:sz w:val="21"/>
                <w:szCs w:val="21"/>
                <w14:textFill>
                  <w14:solidFill>
                    <w14:schemeClr w14:val="tx1"/>
                  </w14:solidFill>
                </w14:textFill>
              </w:rPr>
              <w:t>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7B40373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套</w:t>
            </w:r>
          </w:p>
        </w:tc>
        <w:tc>
          <w:tcPr>
            <w:tcW w:w="723" w:type="pct"/>
            <w:shd w:val="clear" w:color="auto" w:fill="auto"/>
            <w:noWrap/>
            <w:vAlign w:val="center"/>
          </w:tcPr>
          <w:p w14:paraId="0D7F7F3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w:t>
            </w:r>
          </w:p>
        </w:tc>
        <w:tc>
          <w:tcPr>
            <w:tcW w:w="364" w:type="pct"/>
            <w:noWrap/>
            <w:vAlign w:val="center"/>
          </w:tcPr>
          <w:p w14:paraId="06BBDD7D">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55077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790EA1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12</w:t>
            </w:r>
          </w:p>
        </w:tc>
        <w:tc>
          <w:tcPr>
            <w:tcW w:w="3183" w:type="pct"/>
            <w:shd w:val="clear" w:color="auto" w:fill="auto"/>
            <w:vAlign w:val="center"/>
          </w:tcPr>
          <w:p w14:paraId="4F573A0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热镀锌角钢L50×50×5mm L=2500mm</w:t>
            </w:r>
          </w:p>
        </w:tc>
        <w:tc>
          <w:tcPr>
            <w:tcW w:w="364" w:type="pct"/>
            <w:shd w:val="clear" w:color="auto" w:fill="auto"/>
            <w:vAlign w:val="center"/>
          </w:tcPr>
          <w:p w14:paraId="5E862A5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根</w:t>
            </w:r>
          </w:p>
        </w:tc>
        <w:tc>
          <w:tcPr>
            <w:tcW w:w="723" w:type="pct"/>
            <w:shd w:val="clear" w:color="auto" w:fill="auto"/>
            <w:noWrap/>
            <w:vAlign w:val="center"/>
          </w:tcPr>
          <w:p w14:paraId="2F00F52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142</w:t>
            </w:r>
          </w:p>
        </w:tc>
        <w:tc>
          <w:tcPr>
            <w:tcW w:w="364" w:type="pct"/>
            <w:noWrap/>
            <w:vAlign w:val="center"/>
          </w:tcPr>
          <w:p w14:paraId="768B9EA0">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5E431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6614FD9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13</w:t>
            </w:r>
          </w:p>
        </w:tc>
        <w:tc>
          <w:tcPr>
            <w:tcW w:w="3183" w:type="pct"/>
            <w:shd w:val="clear" w:color="auto" w:fill="auto"/>
            <w:vAlign w:val="center"/>
          </w:tcPr>
          <w:p w14:paraId="3B4EE23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热镀锌扁钢-50×5</w:t>
            </w:r>
          </w:p>
        </w:tc>
        <w:tc>
          <w:tcPr>
            <w:tcW w:w="364" w:type="pct"/>
            <w:shd w:val="clear" w:color="auto" w:fill="auto"/>
            <w:vAlign w:val="center"/>
          </w:tcPr>
          <w:p w14:paraId="62B7429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6759C6D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15500</w:t>
            </w:r>
          </w:p>
        </w:tc>
        <w:tc>
          <w:tcPr>
            <w:tcW w:w="364" w:type="pct"/>
            <w:noWrap/>
            <w:vAlign w:val="center"/>
          </w:tcPr>
          <w:p w14:paraId="5C6EE771">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67A00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3EF2239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14</w:t>
            </w:r>
          </w:p>
        </w:tc>
        <w:tc>
          <w:tcPr>
            <w:tcW w:w="3183" w:type="pct"/>
            <w:shd w:val="clear" w:color="auto" w:fill="auto"/>
            <w:vAlign w:val="center"/>
          </w:tcPr>
          <w:p w14:paraId="3258940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热镀锌扁钢-40×4</w:t>
            </w:r>
          </w:p>
        </w:tc>
        <w:tc>
          <w:tcPr>
            <w:tcW w:w="364" w:type="pct"/>
            <w:shd w:val="clear" w:color="auto" w:fill="auto"/>
            <w:vAlign w:val="center"/>
          </w:tcPr>
          <w:p w14:paraId="1C60990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3F85D0F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1000</w:t>
            </w:r>
          </w:p>
        </w:tc>
        <w:tc>
          <w:tcPr>
            <w:tcW w:w="364" w:type="pct"/>
            <w:noWrap/>
            <w:vAlign w:val="center"/>
          </w:tcPr>
          <w:p w14:paraId="033ABF70">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45AE7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0FF2DF0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15</w:t>
            </w:r>
          </w:p>
        </w:tc>
        <w:tc>
          <w:tcPr>
            <w:tcW w:w="3183" w:type="pct"/>
            <w:shd w:val="clear" w:color="auto" w:fill="auto"/>
            <w:vAlign w:val="center"/>
          </w:tcPr>
          <w:p w14:paraId="2E38259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黄绿接地线BVR-</w:t>
            </w:r>
            <w:r>
              <w:rPr>
                <w:rFonts w:hint="eastAsia" w:ascii="宋体" w:hAnsi="宋体" w:eastAsia="宋体" w:cs="宋体"/>
                <w:color w:val="000000" w:themeColor="text1"/>
                <w:kern w:val="0"/>
                <w:sz w:val="21"/>
                <w:szCs w:val="21"/>
                <w:lang w:val="en-US" w:eastAsia="zh-CN"/>
                <w14:textFill>
                  <w14:solidFill>
                    <w14:schemeClr w14:val="tx1"/>
                  </w14:solidFill>
                </w14:textFill>
              </w:rPr>
              <w:t>0.75,</w:t>
            </w:r>
            <w:r>
              <w:rPr>
                <w:rFonts w:hint="eastAsia" w:ascii="宋体" w:hAnsi="宋体" w:eastAsia="宋体" w:cs="宋体"/>
                <w:color w:val="000000" w:themeColor="text1"/>
                <w:kern w:val="0"/>
                <w:sz w:val="21"/>
                <w:szCs w:val="21"/>
                <w14:textFill>
                  <w14:solidFill>
                    <w14:schemeClr w14:val="tx1"/>
                  </w14:solidFill>
                </w14:textFill>
              </w:rPr>
              <w:t>1×4mm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37E954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根</w:t>
            </w:r>
          </w:p>
        </w:tc>
        <w:tc>
          <w:tcPr>
            <w:tcW w:w="723" w:type="pct"/>
            <w:shd w:val="clear" w:color="auto" w:fill="auto"/>
            <w:noWrap/>
            <w:vAlign w:val="center"/>
          </w:tcPr>
          <w:p w14:paraId="0FC9CEE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4500</w:t>
            </w:r>
          </w:p>
        </w:tc>
        <w:tc>
          <w:tcPr>
            <w:tcW w:w="364" w:type="pct"/>
            <w:noWrap/>
            <w:vAlign w:val="center"/>
          </w:tcPr>
          <w:p w14:paraId="5B0D0B6D">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18440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7438C2A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16</w:t>
            </w:r>
          </w:p>
        </w:tc>
        <w:tc>
          <w:tcPr>
            <w:tcW w:w="3183" w:type="pct"/>
            <w:shd w:val="clear" w:color="auto" w:fill="auto"/>
            <w:vAlign w:val="center"/>
          </w:tcPr>
          <w:p w14:paraId="04D6FB7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黄绿接地线BVR-</w:t>
            </w:r>
            <w:r>
              <w:rPr>
                <w:rFonts w:hint="eastAsia" w:ascii="宋体" w:hAnsi="宋体" w:eastAsia="宋体" w:cs="宋体"/>
                <w:color w:val="000000" w:themeColor="text1"/>
                <w:kern w:val="0"/>
                <w:sz w:val="21"/>
                <w:szCs w:val="21"/>
                <w:lang w:val="en-US" w:eastAsia="zh-CN"/>
                <w14:textFill>
                  <w14:solidFill>
                    <w14:schemeClr w14:val="tx1"/>
                  </w14:solidFill>
                </w14:textFill>
              </w:rPr>
              <w:t>0.75,1</w:t>
            </w:r>
            <w:r>
              <w:rPr>
                <w:rFonts w:hint="eastAsia" w:ascii="宋体" w:hAnsi="宋体" w:eastAsia="宋体" w:cs="宋体"/>
                <w:color w:val="000000" w:themeColor="text1"/>
                <w:kern w:val="0"/>
                <w:sz w:val="21"/>
                <w:szCs w:val="21"/>
                <w14:textFill>
                  <w14:solidFill>
                    <w14:schemeClr w14:val="tx1"/>
                  </w14:solidFill>
                </w14:textFill>
              </w:rPr>
              <w:t>×25mm</w:t>
            </w:r>
            <w:r>
              <w:rPr>
                <w:rFonts w:hint="eastAsia" w:ascii="宋体" w:hAnsi="宋体" w:eastAsia="宋体" w:cs="宋体"/>
                <w:color w:val="000000" w:themeColor="text1"/>
                <w:kern w:val="0"/>
                <w:sz w:val="21"/>
                <w:szCs w:val="21"/>
                <w:vertAlign w:val="superscript"/>
                <w14:textFill>
                  <w14:solidFill>
                    <w14:schemeClr w14:val="tx1"/>
                  </w14:solidFill>
                </w14:textFill>
              </w:rPr>
              <w:t>2</w:t>
            </w:r>
          </w:p>
        </w:tc>
        <w:tc>
          <w:tcPr>
            <w:tcW w:w="364" w:type="pct"/>
            <w:shd w:val="clear" w:color="auto" w:fill="auto"/>
            <w:vAlign w:val="center"/>
          </w:tcPr>
          <w:p w14:paraId="74D7E67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m</w:t>
            </w:r>
          </w:p>
        </w:tc>
        <w:tc>
          <w:tcPr>
            <w:tcW w:w="723" w:type="pct"/>
            <w:shd w:val="clear" w:color="auto" w:fill="auto"/>
            <w:noWrap/>
            <w:vAlign w:val="center"/>
          </w:tcPr>
          <w:p w14:paraId="4914030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200</w:t>
            </w:r>
          </w:p>
        </w:tc>
        <w:tc>
          <w:tcPr>
            <w:tcW w:w="364" w:type="pct"/>
            <w:noWrap/>
            <w:vAlign w:val="center"/>
          </w:tcPr>
          <w:p w14:paraId="3C66C730">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54C81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099D5EB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17</w:t>
            </w:r>
          </w:p>
        </w:tc>
        <w:tc>
          <w:tcPr>
            <w:tcW w:w="3183" w:type="pct"/>
            <w:shd w:val="clear" w:color="auto" w:fill="auto"/>
            <w:vAlign w:val="center"/>
          </w:tcPr>
          <w:p w14:paraId="236A617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电力穿线管PE管</w:t>
            </w:r>
          </w:p>
        </w:tc>
        <w:tc>
          <w:tcPr>
            <w:tcW w:w="364" w:type="pct"/>
            <w:shd w:val="clear" w:color="auto" w:fill="auto"/>
            <w:vAlign w:val="center"/>
          </w:tcPr>
          <w:p w14:paraId="3297108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w:t>
            </w:r>
          </w:p>
        </w:tc>
        <w:tc>
          <w:tcPr>
            <w:tcW w:w="723" w:type="pct"/>
            <w:shd w:val="clear" w:color="auto" w:fill="auto"/>
            <w:noWrap/>
            <w:vAlign w:val="center"/>
          </w:tcPr>
          <w:p w14:paraId="4601FBD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364" w:type="pct"/>
            <w:noWrap/>
            <w:vAlign w:val="center"/>
          </w:tcPr>
          <w:p w14:paraId="0DE4EE73">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4196E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06CF9FC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18</w:t>
            </w:r>
          </w:p>
        </w:tc>
        <w:tc>
          <w:tcPr>
            <w:tcW w:w="3183" w:type="pct"/>
            <w:shd w:val="clear" w:color="auto" w:fill="auto"/>
            <w:vAlign w:val="center"/>
          </w:tcPr>
          <w:p w14:paraId="1FE320E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交流</w:t>
            </w:r>
            <w:r>
              <w:rPr>
                <w:rFonts w:hint="eastAsia" w:ascii="宋体" w:hAnsi="宋体" w:eastAsia="宋体" w:cs="宋体"/>
                <w:color w:val="000000" w:themeColor="text1"/>
                <w:kern w:val="0"/>
                <w:sz w:val="21"/>
                <w:szCs w:val="21"/>
                <w:lang w:eastAsia="zh-CN"/>
                <w14:textFill>
                  <w14:solidFill>
                    <w14:schemeClr w14:val="tx1"/>
                  </w14:solidFill>
                </w14:textFill>
              </w:rPr>
              <w:t>高</w:t>
            </w:r>
            <w:r>
              <w:rPr>
                <w:rFonts w:hint="eastAsia" w:ascii="宋体" w:hAnsi="宋体" w:eastAsia="宋体" w:cs="宋体"/>
                <w:color w:val="000000" w:themeColor="text1"/>
                <w:kern w:val="0"/>
                <w:sz w:val="21"/>
                <w:szCs w:val="21"/>
                <w14:textFill>
                  <w14:solidFill>
                    <w14:schemeClr w14:val="tx1"/>
                  </w14:solidFill>
                </w14:textFill>
              </w:rPr>
              <w:t>压电缆安装辅材</w:t>
            </w:r>
          </w:p>
        </w:tc>
        <w:tc>
          <w:tcPr>
            <w:tcW w:w="364" w:type="pct"/>
            <w:shd w:val="clear" w:color="auto" w:fill="auto"/>
            <w:vAlign w:val="center"/>
          </w:tcPr>
          <w:p w14:paraId="5DC16BD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套</w:t>
            </w:r>
          </w:p>
        </w:tc>
        <w:tc>
          <w:tcPr>
            <w:tcW w:w="723" w:type="pct"/>
            <w:shd w:val="clear" w:color="auto" w:fill="auto"/>
            <w:noWrap/>
            <w:vAlign w:val="center"/>
          </w:tcPr>
          <w:p w14:paraId="2B661EB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6</w:t>
            </w:r>
          </w:p>
        </w:tc>
        <w:tc>
          <w:tcPr>
            <w:tcW w:w="364" w:type="pct"/>
            <w:noWrap/>
            <w:vAlign w:val="center"/>
          </w:tcPr>
          <w:p w14:paraId="3FFB9F5C">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9E00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6865EB2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19</w:t>
            </w:r>
          </w:p>
        </w:tc>
        <w:tc>
          <w:tcPr>
            <w:tcW w:w="3183" w:type="pct"/>
            <w:shd w:val="clear" w:color="auto" w:fill="auto"/>
            <w:vAlign w:val="center"/>
          </w:tcPr>
          <w:p w14:paraId="4F88A5B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交流低压电缆安装辅材</w:t>
            </w:r>
          </w:p>
        </w:tc>
        <w:tc>
          <w:tcPr>
            <w:tcW w:w="364" w:type="pct"/>
            <w:shd w:val="clear" w:color="auto" w:fill="auto"/>
            <w:vAlign w:val="center"/>
          </w:tcPr>
          <w:p w14:paraId="0701C27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套</w:t>
            </w:r>
          </w:p>
        </w:tc>
        <w:tc>
          <w:tcPr>
            <w:tcW w:w="723" w:type="pct"/>
            <w:shd w:val="clear" w:color="auto" w:fill="auto"/>
            <w:noWrap/>
            <w:vAlign w:val="center"/>
          </w:tcPr>
          <w:p w14:paraId="6A7E046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96</w:t>
            </w:r>
          </w:p>
        </w:tc>
        <w:tc>
          <w:tcPr>
            <w:tcW w:w="364" w:type="pct"/>
            <w:noWrap/>
            <w:vAlign w:val="center"/>
          </w:tcPr>
          <w:p w14:paraId="677E2D19">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A227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42AA06A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20</w:t>
            </w:r>
          </w:p>
        </w:tc>
        <w:tc>
          <w:tcPr>
            <w:tcW w:w="3183" w:type="pct"/>
            <w:shd w:val="clear" w:color="auto" w:fill="auto"/>
            <w:vAlign w:val="center"/>
          </w:tcPr>
          <w:p w14:paraId="273C4E8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标识、标牌设备采用不锈钢雕刻，电缆采用PVC电缆吊牌</w:t>
            </w:r>
          </w:p>
        </w:tc>
        <w:tc>
          <w:tcPr>
            <w:tcW w:w="364" w:type="pct"/>
            <w:shd w:val="clear" w:color="auto" w:fill="auto"/>
            <w:vAlign w:val="center"/>
          </w:tcPr>
          <w:p w14:paraId="29E43BE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w:t>
            </w:r>
          </w:p>
        </w:tc>
        <w:tc>
          <w:tcPr>
            <w:tcW w:w="723" w:type="pct"/>
            <w:shd w:val="clear" w:color="auto" w:fill="auto"/>
            <w:noWrap/>
            <w:vAlign w:val="center"/>
          </w:tcPr>
          <w:p w14:paraId="38C5ACA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364" w:type="pct"/>
            <w:noWrap/>
            <w:vAlign w:val="center"/>
          </w:tcPr>
          <w:p w14:paraId="708EAAD8">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0146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72F4D0A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21</w:t>
            </w:r>
          </w:p>
        </w:tc>
        <w:tc>
          <w:tcPr>
            <w:tcW w:w="3183" w:type="pct"/>
            <w:shd w:val="clear" w:color="auto" w:fill="auto"/>
            <w:vAlign w:val="center"/>
          </w:tcPr>
          <w:p w14:paraId="6D72C09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钢管</w:t>
            </w:r>
            <w:r>
              <w:rPr>
                <w:rFonts w:hint="eastAsia" w:ascii="宋体" w:hAnsi="宋体" w:eastAsia="宋体" w:cs="宋体"/>
                <w:color w:val="000000" w:themeColor="text1"/>
                <w:kern w:val="0"/>
                <w:sz w:val="21"/>
                <w:szCs w:val="21"/>
                <w:lang w:val="en-US" w:eastAsia="zh-CN"/>
                <w14:textFill>
                  <w14:solidFill>
                    <w14:schemeClr w14:val="tx1"/>
                  </w14:solidFill>
                </w14:textFill>
              </w:rPr>
              <w:t>DN50</w:t>
            </w:r>
          </w:p>
        </w:tc>
        <w:tc>
          <w:tcPr>
            <w:tcW w:w="364" w:type="pct"/>
            <w:shd w:val="clear" w:color="auto" w:fill="auto"/>
            <w:vAlign w:val="center"/>
          </w:tcPr>
          <w:p w14:paraId="433FE71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w:t>
            </w:r>
          </w:p>
        </w:tc>
        <w:tc>
          <w:tcPr>
            <w:tcW w:w="723" w:type="pct"/>
            <w:shd w:val="clear" w:color="auto" w:fill="auto"/>
            <w:noWrap/>
            <w:vAlign w:val="center"/>
          </w:tcPr>
          <w:p w14:paraId="6E56F72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364" w:type="pct"/>
            <w:noWrap/>
            <w:vAlign w:val="center"/>
          </w:tcPr>
          <w:p w14:paraId="40F9C60F">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2AD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5752D5C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22</w:t>
            </w:r>
          </w:p>
        </w:tc>
        <w:tc>
          <w:tcPr>
            <w:tcW w:w="3183" w:type="pct"/>
            <w:shd w:val="clear" w:color="auto" w:fill="auto"/>
            <w:vAlign w:val="center"/>
          </w:tcPr>
          <w:p w14:paraId="2BCA634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钢管</w:t>
            </w:r>
            <w:r>
              <w:rPr>
                <w:rFonts w:hint="eastAsia" w:ascii="宋体" w:hAnsi="宋体" w:eastAsia="宋体" w:cs="宋体"/>
                <w:color w:val="000000" w:themeColor="text1"/>
                <w:kern w:val="0"/>
                <w:sz w:val="21"/>
                <w:szCs w:val="21"/>
                <w:lang w:val="en-US" w:eastAsia="zh-CN"/>
                <w14:textFill>
                  <w14:solidFill>
                    <w14:schemeClr w14:val="tx1"/>
                  </w14:solidFill>
                </w14:textFill>
              </w:rPr>
              <w:t>DN80</w:t>
            </w:r>
          </w:p>
        </w:tc>
        <w:tc>
          <w:tcPr>
            <w:tcW w:w="364" w:type="pct"/>
            <w:shd w:val="clear" w:color="auto" w:fill="auto"/>
            <w:vAlign w:val="center"/>
          </w:tcPr>
          <w:p w14:paraId="381DB5B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w:t>
            </w:r>
          </w:p>
        </w:tc>
        <w:tc>
          <w:tcPr>
            <w:tcW w:w="723" w:type="pct"/>
            <w:shd w:val="clear" w:color="auto" w:fill="auto"/>
            <w:noWrap/>
            <w:vAlign w:val="center"/>
          </w:tcPr>
          <w:p w14:paraId="7FC3575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r>
              <w:rPr>
                <w:rFonts w:hint="eastAsia" w:ascii="宋体" w:hAnsi="宋体" w:eastAsia="宋体" w:cs="宋体"/>
                <w:color w:val="000000" w:themeColor="text1"/>
                <w:kern w:val="0"/>
                <w:sz w:val="21"/>
                <w:szCs w:val="21"/>
                <w:lang w:val="en-US" w:eastAsia="zh-CN"/>
                <w14:textFill>
                  <w14:solidFill>
                    <w14:schemeClr w14:val="tx1"/>
                  </w14:solidFill>
                </w14:textFill>
              </w:rPr>
              <w:t>00</w:t>
            </w:r>
          </w:p>
        </w:tc>
        <w:tc>
          <w:tcPr>
            <w:tcW w:w="364" w:type="pct"/>
            <w:noWrap/>
            <w:vAlign w:val="center"/>
          </w:tcPr>
          <w:p w14:paraId="08A7E24A">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0DC5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0F136FC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23</w:t>
            </w:r>
          </w:p>
        </w:tc>
        <w:tc>
          <w:tcPr>
            <w:tcW w:w="3183" w:type="pct"/>
            <w:shd w:val="clear" w:color="auto" w:fill="auto"/>
            <w:vAlign w:val="center"/>
          </w:tcPr>
          <w:p w14:paraId="7E97E21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钢管φ200</w:t>
            </w:r>
            <w:r>
              <w:rPr>
                <w:rFonts w:hint="eastAsia" w:ascii="宋体" w:hAnsi="宋体" w:eastAsia="宋体" w:cs="宋体"/>
                <w:color w:val="000000" w:themeColor="text1"/>
                <w:kern w:val="0"/>
                <w:sz w:val="21"/>
                <w:szCs w:val="21"/>
                <w:lang w:val="en-US" w:eastAsia="zh-CN"/>
                <w14:textFill>
                  <w14:solidFill>
                    <w14:schemeClr w14:val="tx1"/>
                  </w14:solidFill>
                </w14:textFill>
              </w:rPr>
              <w:t>PP管</w:t>
            </w:r>
          </w:p>
        </w:tc>
        <w:tc>
          <w:tcPr>
            <w:tcW w:w="364" w:type="pct"/>
            <w:shd w:val="clear" w:color="auto" w:fill="auto"/>
            <w:vAlign w:val="center"/>
          </w:tcPr>
          <w:p w14:paraId="74E1B9C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项</w:t>
            </w:r>
          </w:p>
        </w:tc>
        <w:tc>
          <w:tcPr>
            <w:tcW w:w="723" w:type="pct"/>
            <w:shd w:val="clear" w:color="auto" w:fill="auto"/>
            <w:noWrap/>
            <w:vAlign w:val="center"/>
          </w:tcPr>
          <w:p w14:paraId="66BD9F5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w:t>
            </w:r>
          </w:p>
        </w:tc>
        <w:tc>
          <w:tcPr>
            <w:tcW w:w="364" w:type="pct"/>
            <w:noWrap/>
            <w:vAlign w:val="center"/>
          </w:tcPr>
          <w:p w14:paraId="02F931DA">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r w14:paraId="31A09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4" w:type="pct"/>
            <w:shd w:val="clear" w:color="auto" w:fill="auto"/>
            <w:noWrap/>
            <w:vAlign w:val="center"/>
          </w:tcPr>
          <w:p w14:paraId="34D08C9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SA"/>
                <w14:textFill>
                  <w14:solidFill>
                    <w14:schemeClr w14:val="tx1"/>
                  </w14:solidFill>
                </w14:textFill>
              </w:rPr>
              <w:t>24</w:t>
            </w:r>
          </w:p>
        </w:tc>
        <w:tc>
          <w:tcPr>
            <w:tcW w:w="3183" w:type="pct"/>
            <w:shd w:val="clear" w:color="auto" w:fill="auto"/>
            <w:vAlign w:val="center"/>
          </w:tcPr>
          <w:p w14:paraId="0EC8C5AD">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eastAsia="zh-CN"/>
                <w14:textFill>
                  <w14:solidFill>
                    <w14:schemeClr w14:val="tx1"/>
                  </w14:solidFill>
                </w14:textFill>
              </w:rPr>
              <w:t>单模</w:t>
            </w:r>
            <w:r>
              <w:rPr>
                <w:rFonts w:hint="eastAsia" w:ascii="宋体" w:hAnsi="宋体" w:eastAsia="宋体" w:cs="宋体"/>
                <w:color w:val="000000" w:themeColor="text1"/>
                <w:kern w:val="0"/>
                <w:sz w:val="21"/>
                <w:szCs w:val="21"/>
                <w:lang w:val="en-US" w:eastAsia="zh-CN"/>
                <w14:textFill>
                  <w14:solidFill>
                    <w14:schemeClr w14:val="tx1"/>
                  </w14:solidFill>
                </w14:textFill>
              </w:rPr>
              <w:t>24芯光缆GYFTY53-24B1</w:t>
            </w:r>
          </w:p>
        </w:tc>
        <w:tc>
          <w:tcPr>
            <w:tcW w:w="364" w:type="pct"/>
            <w:shd w:val="clear" w:color="auto" w:fill="auto"/>
            <w:vAlign w:val="center"/>
          </w:tcPr>
          <w:p w14:paraId="19427CA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km</w:t>
            </w:r>
          </w:p>
        </w:tc>
        <w:tc>
          <w:tcPr>
            <w:tcW w:w="723" w:type="pct"/>
            <w:shd w:val="clear" w:color="auto" w:fill="auto"/>
            <w:noWrap/>
            <w:vAlign w:val="center"/>
          </w:tcPr>
          <w:p w14:paraId="0568CC5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2</w:t>
            </w:r>
          </w:p>
        </w:tc>
        <w:tc>
          <w:tcPr>
            <w:tcW w:w="364" w:type="pct"/>
            <w:noWrap/>
            <w:vAlign w:val="center"/>
          </w:tcPr>
          <w:p w14:paraId="3DC8BB7A">
            <w:pPr>
              <w:pStyle w:val="26"/>
              <w:keepNext w:val="0"/>
              <w:keepLines w:val="0"/>
              <w:pageBreakBefore w:val="0"/>
              <w:widowControl w:val="0"/>
              <w:tabs>
                <w:tab w:val="left" w:pos="658"/>
              </w:tabs>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p>
        </w:tc>
      </w:tr>
    </w:tbl>
    <w:p w14:paraId="31859100">
      <w:pPr>
        <w:pStyle w:val="3"/>
        <w:keepNext w:val="0"/>
        <w:keepLines w:val="0"/>
        <w:pageBreakBefore w:val="0"/>
        <w:widowControl w:val="0"/>
        <w:kinsoku/>
        <w:wordWrap/>
        <w:overflowPunct/>
        <w:topLinePunct w:val="0"/>
        <w:autoSpaceDE/>
        <w:autoSpaceDN/>
        <w:bidi w:val="0"/>
        <w:textAlignment w:val="auto"/>
        <w:rPr>
          <w:rFonts w:hint="eastAsia"/>
          <w:color w:val="000000" w:themeColor="text1"/>
          <w:lang w:val="en-US" w:eastAsia="zh-CN"/>
          <w14:textFill>
            <w14:solidFill>
              <w14:schemeClr w14:val="tx1"/>
            </w14:solidFill>
          </w14:textFill>
        </w:rPr>
      </w:pPr>
      <w:bookmarkStart w:id="114" w:name="_Toc2833"/>
      <w:bookmarkStart w:id="115" w:name="_Toc23649"/>
      <w:r>
        <w:rPr>
          <w:rFonts w:hint="eastAsia"/>
          <w:color w:val="000000" w:themeColor="text1"/>
          <w:lang w:val="en-US" w:eastAsia="zh-CN"/>
          <w14:textFill>
            <w14:solidFill>
              <w14:schemeClr w14:val="tx1"/>
            </w14:solidFill>
          </w14:textFill>
        </w:rPr>
        <w:t>公用工程和辅助设施</w:t>
      </w:r>
      <w:bookmarkEnd w:id="114"/>
      <w:bookmarkEnd w:id="115"/>
    </w:p>
    <w:p w14:paraId="5832CA94">
      <w:pPr>
        <w:pStyle w:val="4"/>
        <w:keepNext w:val="0"/>
        <w:keepLines w:val="0"/>
        <w:pageBreakBefore w:val="0"/>
        <w:widowControl w:val="0"/>
        <w:kinsoku/>
        <w:wordWrap/>
        <w:overflowPunct/>
        <w:topLinePunct w:val="0"/>
        <w:autoSpaceDE/>
        <w:autoSpaceDN/>
        <w:bidi w:val="0"/>
        <w:textAlignment w:val="auto"/>
        <w:rPr>
          <w:rFonts w:hint="eastAsia"/>
          <w:color w:val="000000" w:themeColor="text1"/>
          <w:lang w:val="en-US" w:eastAsia="zh-CN"/>
          <w14:textFill>
            <w14:solidFill>
              <w14:schemeClr w14:val="tx1"/>
            </w14:solidFill>
          </w14:textFill>
        </w:rPr>
      </w:pPr>
      <w:bookmarkStart w:id="116" w:name="_Toc4800"/>
      <w:r>
        <w:rPr>
          <w:rFonts w:hint="eastAsia"/>
          <w:color w:val="000000" w:themeColor="text1"/>
          <w:lang w:val="en-US" w:eastAsia="zh-CN"/>
          <w14:textFill>
            <w14:solidFill>
              <w14:schemeClr w14:val="tx1"/>
            </w14:solidFill>
          </w14:textFill>
        </w:rPr>
        <w:t>给排水</w:t>
      </w:r>
      <w:bookmarkEnd w:id="116"/>
    </w:p>
    <w:p w14:paraId="2EC24478">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1）给水</w:t>
      </w:r>
    </w:p>
    <w:p w14:paraId="51033D93">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项目光伏场区不涉及给水。</w:t>
      </w:r>
      <w:r>
        <w:rPr>
          <w:rFonts w:hint="eastAsia" w:ascii="宋体" w:hAnsi="宋体" w:eastAsia="宋体" w:cs="宋体"/>
          <w:color w:val="000000" w:themeColor="text1"/>
          <w:lang w:val="en-US" w:eastAsia="zh-CN"/>
          <w14:textFill>
            <w14:solidFill>
              <w14:schemeClr w14:val="tx1"/>
            </w14:solidFill>
          </w14:textFill>
        </w:rPr>
        <w:t>光伏场区内用水主要为清洗电池组件用水</w:t>
      </w:r>
      <w:r>
        <w:rPr>
          <w:rFonts w:hint="eastAsia" w:ascii="宋体" w:hAnsi="宋体" w:eastAsia="宋体" w:cs="宋体"/>
          <w:color w:val="000000" w:themeColor="text1"/>
          <w:kern w:val="0"/>
          <w:sz w:val="28"/>
          <w:szCs w:val="28"/>
          <w:lang w:val="en-US" w:eastAsia="zh-CN" w:bidi="ar"/>
          <w14:textFill>
            <w14:solidFill>
              <w14:schemeClr w14:val="tx1"/>
            </w14:solidFill>
          </w14:textFill>
        </w:rPr>
        <w:t>，从外部拉取。</w:t>
      </w:r>
    </w:p>
    <w:p w14:paraId="4943B052">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2）排水</w:t>
      </w:r>
    </w:p>
    <w:p w14:paraId="53B65755">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项目太阳电池方阵主要随地形布置，对场地原始地形地貌改变很小，场地雨水可利用原有的自然排水通道，进入场地内天然排水系统。太阳能电池组件至道路排水沟路段设置排水土质明沟，道路排水依地势布设，可对上游径流起到一定拦截作用，排水出口为下部沟箐，最终排出项目区外。</w:t>
      </w:r>
    </w:p>
    <w:p w14:paraId="60929AFF">
      <w:pPr>
        <w:pStyle w:val="4"/>
        <w:keepNext w:val="0"/>
        <w:keepLines w:val="0"/>
        <w:pageBreakBefore w:val="0"/>
        <w:widowControl w:val="0"/>
        <w:kinsoku/>
        <w:wordWrap/>
        <w:overflowPunct/>
        <w:topLinePunct w:val="0"/>
        <w:autoSpaceDE/>
        <w:autoSpaceDN/>
        <w:bidi w:val="0"/>
        <w:textAlignment w:val="auto"/>
        <w:rPr>
          <w:rFonts w:hint="eastAsia"/>
          <w:color w:val="000000" w:themeColor="text1"/>
          <w:lang w:val="en-US" w:eastAsia="zh-CN"/>
          <w14:textFill>
            <w14:solidFill>
              <w14:schemeClr w14:val="tx1"/>
            </w14:solidFill>
          </w14:textFill>
        </w:rPr>
      </w:pPr>
      <w:bookmarkStart w:id="117" w:name="_Toc27503"/>
      <w:r>
        <w:rPr>
          <w:rFonts w:hint="eastAsia"/>
          <w:color w:val="000000" w:themeColor="text1"/>
          <w:lang w:val="en-US" w:eastAsia="zh-CN"/>
          <w14:textFill>
            <w14:solidFill>
              <w14:schemeClr w14:val="tx1"/>
            </w14:solidFill>
          </w14:textFill>
        </w:rPr>
        <w:t>消防</w:t>
      </w:r>
      <w:bookmarkEnd w:id="117"/>
    </w:p>
    <w:p w14:paraId="438D85EF">
      <w:pPr>
        <w:keepNext w:val="0"/>
        <w:keepLines w:val="0"/>
        <w:pageBreakBefore w:val="0"/>
        <w:widowControl w:val="0"/>
        <w:kinsoku/>
        <w:wordWrap/>
        <w:overflowPunct/>
        <w:topLinePunct w:val="0"/>
        <w:autoSpaceDE/>
        <w:autoSpaceDN/>
        <w:bidi w:val="0"/>
        <w:textAlignment w:val="auto"/>
        <w:outlineLvl w:val="9"/>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本项目不设升压站，主要为场区消防。光伏电池组件的防雷接地，可 将光伏电池组件边框与支架可靠连接，然后与接地网连接，雷电流可以通 过光伏电池组件边框直接散流入地。光伏阵列内35kV 箱变位置设干粉灭火器，每台箱变设备配置2具，共计</w:t>
      </w:r>
      <w:r>
        <w:rPr>
          <w:rFonts w:hint="eastAsia" w:ascii="宋体" w:hAnsi="宋体" w:cs="宋体"/>
          <w:color w:val="000000" w:themeColor="text1"/>
          <w:lang w:val="en-US" w:eastAsia="zh-CN"/>
          <w14:textFill>
            <w14:solidFill>
              <w14:schemeClr w14:val="tx1"/>
            </w14:solidFill>
          </w14:textFill>
        </w:rPr>
        <w:t>12</w:t>
      </w:r>
      <w:r>
        <w:rPr>
          <w:rFonts w:hint="eastAsia" w:ascii="宋体" w:hAnsi="宋体" w:eastAsia="宋体" w:cs="宋体"/>
          <w:color w:val="000000" w:themeColor="text1"/>
          <w:lang w:val="en-US" w:eastAsia="zh-CN"/>
          <w14:textFill>
            <w14:solidFill>
              <w14:schemeClr w14:val="tx1"/>
            </w14:solidFill>
          </w14:textFill>
        </w:rPr>
        <w:t>具，用于扑灭可能的电气火灾。</w:t>
      </w:r>
    </w:p>
    <w:p w14:paraId="76E9D4EB">
      <w:pPr>
        <w:pStyle w:val="4"/>
        <w:keepNext w:val="0"/>
        <w:keepLines w:val="0"/>
        <w:pageBreakBefore w:val="0"/>
        <w:widowControl w:val="0"/>
        <w:kinsoku/>
        <w:bidi w:val="0"/>
        <w:rPr>
          <w:rFonts w:hint="default"/>
          <w:color w:val="000000" w:themeColor="text1"/>
          <w:lang w:val="en-US" w:eastAsia="zh-CN"/>
          <w14:textFill>
            <w14:solidFill>
              <w14:schemeClr w14:val="tx1"/>
            </w14:solidFill>
          </w14:textFill>
        </w:rPr>
      </w:pPr>
      <w:bookmarkStart w:id="118" w:name="_Toc31326"/>
      <w:r>
        <w:rPr>
          <w:rFonts w:hint="eastAsia"/>
          <w:color w:val="000000" w:themeColor="text1"/>
          <w:lang w:val="en-US" w:eastAsia="zh-CN"/>
          <w14:textFill>
            <w14:solidFill>
              <w14:schemeClr w14:val="tx1"/>
            </w14:solidFill>
          </w14:textFill>
        </w:rPr>
        <w:t>采暖、通风、空气调</w:t>
      </w:r>
      <w:bookmarkEnd w:id="118"/>
      <w:r>
        <w:rPr>
          <w:rFonts w:hint="eastAsia"/>
          <w:color w:val="000000" w:themeColor="text1"/>
          <w:lang w:val="en-US" w:eastAsia="zh-CN"/>
          <w14:textFill>
            <w14:solidFill>
              <w14:schemeClr w14:val="tx1"/>
            </w14:solidFill>
          </w14:textFill>
        </w:rPr>
        <w:t>节</w:t>
      </w:r>
    </w:p>
    <w:p w14:paraId="52232D30">
      <w:pPr>
        <w:keepNext w:val="0"/>
        <w:keepLines w:val="0"/>
        <w:pageBreakBefore w:val="0"/>
        <w:widowControl w:val="0"/>
        <w:kinsoku/>
        <w:wordWrap/>
        <w:overflowPunct/>
        <w:topLinePunct w:val="0"/>
        <w:autoSpaceDE/>
        <w:autoSpaceDN/>
        <w:bidi w:val="0"/>
        <w:textAlignment w:val="auto"/>
        <w:outlineLvl w:val="9"/>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本项目光伏场区采用自然通风。 </w:t>
      </w:r>
    </w:p>
    <w:p w14:paraId="2103F44E">
      <w:pPr>
        <w:pStyle w:val="4"/>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通讯</w:t>
      </w:r>
    </w:p>
    <w:p w14:paraId="1EF96726">
      <w:pPr>
        <w:keepNext w:val="0"/>
        <w:keepLines w:val="0"/>
        <w:pageBreakBefore w:val="0"/>
        <w:widowControl w:val="0"/>
        <w:kinsoku/>
        <w:wordWrap/>
        <w:overflowPunct/>
        <w:topLinePunct w:val="0"/>
        <w:autoSpaceDE/>
        <w:autoSpaceDN/>
        <w:bidi w:val="0"/>
        <w:textAlignment w:val="auto"/>
        <w:outlineLvl w:val="9"/>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光伏场区无线通信信号能满足正常通信要求，因此，光伏场区通信系 </w:t>
      </w:r>
    </w:p>
    <w:p w14:paraId="008AB26E">
      <w:pPr>
        <w:keepNext w:val="0"/>
        <w:keepLines w:val="0"/>
        <w:pageBreakBefore w:val="0"/>
        <w:widowControl w:val="0"/>
        <w:kinsoku/>
        <w:wordWrap/>
        <w:overflowPunct/>
        <w:topLinePunct w:val="0"/>
        <w:autoSpaceDE/>
        <w:autoSpaceDN/>
        <w:bidi w:val="0"/>
        <w:ind w:left="0" w:leftChars="0" w:firstLine="0" w:firstLineChars="0"/>
        <w:textAlignment w:val="auto"/>
        <w:outlineLvl w:val="9"/>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统采用无线通信系统。 </w:t>
      </w:r>
    </w:p>
    <w:p w14:paraId="66D983F6">
      <w:pPr>
        <w:keepNext w:val="0"/>
        <w:keepLines w:val="0"/>
        <w:pageBreakBefore w:val="0"/>
        <w:widowControl w:val="0"/>
        <w:kinsoku/>
        <w:wordWrap/>
        <w:overflowPunct/>
        <w:topLinePunct w:val="0"/>
        <w:autoSpaceDE/>
        <w:autoSpaceDN/>
        <w:bidi w:val="0"/>
        <w:textAlignment w:val="auto"/>
        <w:outlineLvl w:val="9"/>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根据光伏电站的规模、系统调度和设备运行管理要求，场内的生产调 </w:t>
      </w:r>
    </w:p>
    <w:p w14:paraId="5A7B70C4">
      <w:pPr>
        <w:keepNext w:val="0"/>
        <w:keepLines w:val="0"/>
        <w:pageBreakBefore w:val="0"/>
        <w:widowControl w:val="0"/>
        <w:kinsoku/>
        <w:wordWrap/>
        <w:overflowPunct/>
        <w:topLinePunct w:val="0"/>
        <w:autoSpaceDE/>
        <w:autoSpaceDN/>
        <w:bidi w:val="0"/>
        <w:ind w:left="0" w:leftChars="0" w:firstLine="0" w:firstLineChars="0"/>
        <w:textAlignment w:val="auto"/>
        <w:outlineLvl w:val="9"/>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度和行政管理通信采用一套行政和调度功能合一的数字式程控交换系统，程控交换系统除满足光伏电站内生产调度和行政通信要求外，还能实现与电力系统、电信公网之间的通信联网。</w:t>
      </w:r>
    </w:p>
    <w:p w14:paraId="1BE9180D">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防雷</w:t>
      </w:r>
    </w:p>
    <w:p w14:paraId="01E4BA9B">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2"/>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每台组串式逆变器的输出侧设浪涌保护装置，箱变环网柜配置避雷器。 逆变器及箱变外壳采用多于一点接地，避免雷击和电网浪涌导致设备的损  坏。</w:t>
      </w:r>
    </w:p>
    <w:p w14:paraId="26CA5945">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3"/>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太阳电池组件由两层钢化玻璃中间夹太阳电池、四周拼接铝合金框架 形成。其电池本身为绝缘体，四周铝合金框架、支架、太阳能板边框以及 连接件均是金属制品，因此每个子阵自然形成等电位体，所有子阵之间都 进行等电位连接并通过引下线与接地网就近可靠连接，接地体之间的焊接 点进行防腐处理。</w:t>
      </w:r>
    </w:p>
    <w:p w14:paraId="442E27CF">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1"/>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逆变器接地使用软铜线 BVR-1×16mm</w:t>
      </w:r>
      <w:r>
        <w:rPr>
          <w:rFonts w:hint="eastAsia" w:ascii="宋体" w:hAnsi="宋体" w:eastAsia="宋体" w:cs="宋体"/>
          <w:color w:val="000000" w:themeColor="text1"/>
          <w:kern w:val="2"/>
          <w:sz w:val="28"/>
          <w:szCs w:val="24"/>
          <w:vertAlign w:val="superscript"/>
          <w:lang w:val="en-US" w:eastAsia="zh-CN" w:bidi="ar-SA"/>
          <w14:textFill>
            <w14:solidFill>
              <w14:schemeClr w14:val="tx1"/>
            </w14:solidFill>
          </w14:textFill>
        </w:rPr>
        <w:t xml:space="preserve">2 </w:t>
      </w:r>
      <w:r>
        <w:rPr>
          <w:rFonts w:hint="eastAsia" w:ascii="宋体" w:hAnsi="宋体" w:eastAsia="宋体" w:cs="宋体"/>
          <w:color w:val="000000" w:themeColor="text1"/>
          <w:kern w:val="2"/>
          <w:sz w:val="28"/>
          <w:szCs w:val="24"/>
          <w:lang w:val="en-US" w:eastAsia="zh-CN" w:bidi="ar-SA"/>
          <w14:textFill>
            <w14:solidFill>
              <w14:schemeClr w14:val="tx1"/>
            </w14:solidFill>
          </w14:textFill>
        </w:rPr>
        <w:t>就近连接至接地母线上，使用 C 型夹与母线固定，保证良好的电气联通。支架通过接地扁钢与主接地网连接。</w:t>
      </w:r>
    </w:p>
    <w:p w14:paraId="3F54E5E2">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0"/>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在箱变处设置局域接地网，水平接地体环箱逆变平台设置。接地网以 水平接地体、垂直接地体为主。光伏组件接地端子应与主接地网可靠连接， 相近区域地网宜使用两条或以上接地母线相连，以形成更大范围环网。</w:t>
      </w:r>
    </w:p>
    <w:p w14:paraId="3C5A1CF3">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41"/>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光伏区接地网采用水平接地体与垂直接地体组成的复合接地网，接地 网外沿各角做成弧形，其埋设深度一般至少地下0.8米；</w:t>
      </w:r>
    </w:p>
    <w:p w14:paraId="17D36BDC">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3"/>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主接地网采用50×5热浸镀锌扁钢、垂直接地体采用50×50×5，L=2.5m热浸镀锌角钢；光伏区接地网接地电阻应≤4 欧。接地极之间的距离≥5米；组件支架与接地网不少于2处可靠连接；</w:t>
      </w:r>
    </w:p>
    <w:p w14:paraId="5DFA4504">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59"/>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接地干线通过公路以及其它有可能发生机械损伤的地方，穿DN80保 护管保护；</w:t>
      </w:r>
    </w:p>
    <w:p w14:paraId="023A49B5">
      <w:pPr>
        <w:pStyle w:val="14"/>
        <w:keepNext w:val="0"/>
        <w:keepLines w:val="0"/>
        <w:pageBreakBefore w:val="0"/>
        <w:widowControl w:val="0"/>
        <w:kinsoku/>
        <w:wordWrap/>
        <w:overflowPunct/>
        <w:topLinePunct w:val="0"/>
        <w:autoSpaceDE/>
        <w:autoSpaceDN/>
        <w:bidi w:val="0"/>
        <w:adjustRightInd/>
        <w:snapToGrid/>
        <w:spacing w:after="0" w:line="500" w:lineRule="exact"/>
        <w:ind w:left="0" w:right="0"/>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逆变器接地线用 BVR-1×35 铜绞线引至接地扁钢上用线鼻可靠固定；</w:t>
      </w:r>
    </w:p>
    <w:p w14:paraId="69A54AA5">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1"/>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光伏组件边框上的接地孔用BVR-1×4 铜绞线逐个跨接，两边边缘与支架的连接螺栓用线鼻可靠固定。</w:t>
      </w:r>
    </w:p>
    <w:p w14:paraId="3617E727">
      <w:pPr>
        <w:tabs>
          <w:tab w:val="left" w:pos="2700"/>
        </w:tabs>
        <w:adjustRightInd w:val="0"/>
        <w:snapToGrid w:val="0"/>
        <w:spacing w:line="500" w:lineRule="exact"/>
        <w:ind w:firstLine="560" w:firstLineChars="200"/>
        <w:rPr>
          <w:rFonts w:hint="eastAsia" w:ascii="宋体" w:hAnsi="宋体" w:eastAsia="宋体" w:cs="宋体"/>
          <w:color w:val="000000" w:themeColor="text1"/>
          <w:sz w:val="28"/>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项目光伏方阵防雷接地设施于2024年11月19日委托云南加莱希安全检测有限公司进行检测，</w:t>
      </w:r>
      <w:r>
        <w:rPr>
          <w:rFonts w:hint="eastAsia" w:ascii="宋体" w:hAnsi="宋体" w:eastAsia="宋体" w:cs="宋体"/>
          <w:color w:val="000000" w:themeColor="text1"/>
          <w:sz w:val="28"/>
          <w14:textFill>
            <w14:solidFill>
              <w14:schemeClr w14:val="tx1"/>
            </w14:solidFill>
          </w14:textFill>
        </w:rPr>
        <w:t>检测结果均为合格，有效期至：202</w:t>
      </w:r>
      <w:r>
        <w:rPr>
          <w:rFonts w:hint="eastAsia" w:ascii="宋体" w:hAnsi="宋体" w:eastAsia="宋体" w:cs="宋体"/>
          <w:color w:val="000000" w:themeColor="text1"/>
          <w:sz w:val="28"/>
          <w:lang w:val="en-US" w:eastAsia="zh-CN"/>
          <w14:textFill>
            <w14:solidFill>
              <w14:schemeClr w14:val="tx1"/>
            </w14:solidFill>
          </w14:textFill>
        </w:rPr>
        <w:t>5</w:t>
      </w:r>
      <w:r>
        <w:rPr>
          <w:rFonts w:hint="eastAsia" w:ascii="宋体" w:hAnsi="宋体" w:eastAsia="宋体" w:cs="宋体"/>
          <w:color w:val="000000" w:themeColor="text1"/>
          <w:sz w:val="28"/>
          <w14:textFill>
            <w14:solidFill>
              <w14:schemeClr w14:val="tx1"/>
            </w14:solidFill>
          </w14:textFill>
        </w:rPr>
        <w:t>年</w:t>
      </w:r>
      <w:r>
        <w:rPr>
          <w:rFonts w:hint="eastAsia" w:ascii="宋体" w:hAnsi="宋体" w:eastAsia="宋体" w:cs="宋体"/>
          <w:color w:val="000000" w:themeColor="text1"/>
          <w:sz w:val="28"/>
          <w:lang w:val="en-US" w:eastAsia="zh-CN"/>
          <w14:textFill>
            <w14:solidFill>
              <w14:schemeClr w14:val="tx1"/>
            </w14:solidFill>
          </w14:textFill>
        </w:rPr>
        <w:t>11</w:t>
      </w:r>
      <w:r>
        <w:rPr>
          <w:rFonts w:hint="eastAsia" w:ascii="宋体" w:hAnsi="宋体" w:eastAsia="宋体" w:cs="宋体"/>
          <w:color w:val="000000" w:themeColor="text1"/>
          <w:sz w:val="28"/>
          <w14:textFill>
            <w14:solidFill>
              <w14:schemeClr w14:val="tx1"/>
            </w14:solidFill>
          </w14:textFill>
        </w:rPr>
        <w:t>月</w:t>
      </w:r>
      <w:r>
        <w:rPr>
          <w:rFonts w:hint="eastAsia" w:ascii="宋体" w:hAnsi="宋体" w:eastAsia="宋体" w:cs="宋体"/>
          <w:color w:val="000000" w:themeColor="text1"/>
          <w:sz w:val="28"/>
          <w:lang w:val="en-US" w:eastAsia="zh-CN"/>
          <w14:textFill>
            <w14:solidFill>
              <w14:schemeClr w14:val="tx1"/>
            </w14:solidFill>
          </w14:textFill>
        </w:rPr>
        <w:t>18</w:t>
      </w:r>
      <w:r>
        <w:rPr>
          <w:rFonts w:hint="eastAsia" w:ascii="宋体" w:hAnsi="宋体" w:eastAsia="宋体" w:cs="宋体"/>
          <w:color w:val="000000" w:themeColor="text1"/>
          <w:sz w:val="28"/>
          <w14:textFill>
            <w14:solidFill>
              <w14:schemeClr w14:val="tx1"/>
            </w14:solidFill>
          </w14:textFill>
        </w:rPr>
        <w:t>日，防雷</w:t>
      </w:r>
      <w:r>
        <w:rPr>
          <w:rFonts w:hint="eastAsia" w:ascii="宋体" w:hAnsi="宋体" w:eastAsia="宋体" w:cs="宋体"/>
          <w:color w:val="000000" w:themeColor="text1"/>
          <w:sz w:val="28"/>
          <w:lang w:val="en-US" w:eastAsia="zh-CN"/>
          <w14:textFill>
            <w14:solidFill>
              <w14:schemeClr w14:val="tx1"/>
            </w14:solidFill>
          </w14:textFill>
        </w:rPr>
        <w:t>保护装置</w:t>
      </w:r>
      <w:r>
        <w:rPr>
          <w:rFonts w:hint="eastAsia" w:ascii="宋体" w:hAnsi="宋体" w:eastAsia="宋体" w:cs="宋体"/>
          <w:color w:val="000000" w:themeColor="text1"/>
          <w:sz w:val="28"/>
          <w14:textFill>
            <w14:solidFill>
              <w14:schemeClr w14:val="tx1"/>
            </w14:solidFill>
          </w14:textFill>
        </w:rPr>
        <w:t>检测报告见附件。</w:t>
      </w:r>
    </w:p>
    <w:p w14:paraId="7056E8F1">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监控安防系统</w:t>
      </w:r>
    </w:p>
    <w:p w14:paraId="28B83507">
      <w:pPr>
        <w:keepNext w:val="0"/>
        <w:keepLines w:val="0"/>
        <w:pageBreakBefore w:val="0"/>
        <w:widowControl w:val="0"/>
        <w:tabs>
          <w:tab w:val="left" w:pos="2700"/>
        </w:tabs>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 xml:space="preserve">光伏场区建设有视频安防系统，能实现与入侵报警系统的相互联动。 </w:t>
      </w:r>
    </w:p>
    <w:p w14:paraId="1FB34FF8">
      <w:pPr>
        <w:keepNext w:val="0"/>
        <w:keepLines w:val="0"/>
        <w:pageBreakBefore w:val="0"/>
        <w:widowControl w:val="0"/>
        <w:tabs>
          <w:tab w:val="left" w:pos="2700"/>
        </w:tabs>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每个光伏子阵均设置有一个全球摄像机，共设置10个监控摄像头，由箱变 UPS 供电。摄像头具备全天候监视功能，具备红外及补光灯；视频监控与升压站的通讯采用环网通讯，跟随集电线路敷设路径组环网至吕合升压站光伏区视频监控交换机。场区监控摄像机立杆高度 4.5m，可以对光伏子阵进行全范围监控。采集的视频图像信息保存期限不少于 90 天。</w:t>
      </w:r>
    </w:p>
    <w:p w14:paraId="178CCB11">
      <w:pPr>
        <w:pStyle w:val="3"/>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19" w:name="_Toc16080"/>
      <w:bookmarkStart w:id="120" w:name="_Toc2574"/>
      <w:r>
        <w:rPr>
          <w:rFonts w:hint="eastAsia"/>
          <w:color w:val="000000" w:themeColor="text1"/>
          <w:lang w:val="en-US" w:eastAsia="zh-CN"/>
          <w14:textFill>
            <w14:solidFill>
              <w14:schemeClr w14:val="tx1"/>
            </w14:solidFill>
          </w14:textFill>
        </w:rPr>
        <w:t>安全管理</w:t>
      </w:r>
      <w:bookmarkEnd w:id="119"/>
      <w:bookmarkEnd w:id="120"/>
    </w:p>
    <w:p w14:paraId="333E6CE5">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21" w:name="_Toc20276"/>
      <w:r>
        <w:rPr>
          <w:rFonts w:hint="eastAsia"/>
          <w:color w:val="000000" w:themeColor="text1"/>
          <w:lang w:val="en-US" w:eastAsia="zh-CN"/>
          <w14:textFill>
            <w14:solidFill>
              <w14:schemeClr w14:val="tx1"/>
            </w14:solidFill>
          </w14:textFill>
        </w:rPr>
        <w:t>安全生产管理组织</w:t>
      </w:r>
      <w:bookmarkEnd w:id="121"/>
    </w:p>
    <w:p w14:paraId="18A9C826">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Times New Roman"/>
          <w:color w:val="000000" w:themeColor="text1"/>
          <w:kern w:val="2"/>
          <w:sz w:val="28"/>
          <w:szCs w:val="28"/>
          <w:lang w:val="en-US" w:eastAsia="zh-CN" w:bidi="ar-SA"/>
          <w14:textFill>
            <w14:solidFill>
              <w14:schemeClr w14:val="tx1"/>
            </w14:solidFill>
          </w14:textFill>
        </w:rPr>
        <w:t>站内驻站值守现有7人，</w:t>
      </w:r>
      <w:r>
        <w:rPr>
          <w:rFonts w:hint="eastAsia" w:ascii="宋体" w:hAnsi="宋体" w:eastAsia="宋体" w:cs="宋体"/>
          <w:color w:val="000000" w:themeColor="text1"/>
          <w:lang w:val="en-US" w:eastAsia="zh-CN"/>
          <w14:textFill>
            <w14:solidFill>
              <w14:schemeClr w14:val="tx1"/>
            </w14:solidFill>
          </w14:textFill>
        </w:rPr>
        <w:t>，年工作365天，每班8小时，设专人24小时值班。电站设置的安全管理机构为安全生产领导小组，设置有专职安全管理人员1名，负责场区日常安全管理工作。</w:t>
      </w:r>
    </w:p>
    <w:p w14:paraId="1403D76B">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22" w:name="_Toc26133"/>
      <w:r>
        <w:rPr>
          <w:rFonts w:hint="eastAsia"/>
          <w:color w:val="000000" w:themeColor="text1"/>
          <w:lang w:val="en-US" w:eastAsia="zh-CN"/>
          <w14:textFill>
            <w14:solidFill>
              <w14:schemeClr w14:val="tx1"/>
            </w14:solidFill>
          </w14:textFill>
        </w:rPr>
        <w:t>安全生产管理制度</w:t>
      </w:r>
      <w:bookmarkEnd w:id="122"/>
    </w:p>
    <w:p w14:paraId="43409DA4">
      <w:pPr>
        <w:keepNext w:val="0"/>
        <w:keepLines w:val="0"/>
        <w:pageBreakBefore w:val="0"/>
        <w:widowControl w:val="0"/>
        <w:kinsoku/>
        <w:wordWrap/>
        <w:overflowPunct/>
        <w:topLinePunct w:val="0"/>
        <w:autoSpaceDE/>
        <w:autoSpaceDN/>
        <w:bidi w:val="0"/>
        <w:adjustRightInd/>
        <w:snapToGrid/>
        <w:textAlignment w:val="auto"/>
        <w:rPr>
          <w:rFonts w:hint="eastAsia"/>
          <w:color w:val="000000" w:themeColor="text1"/>
          <w:lang w:val="en-US" w:eastAsia="zh-CN"/>
          <w14:textFill>
            <w14:solidFill>
              <w14:schemeClr w14:val="tx1"/>
            </w14:solidFill>
          </w14:textFill>
        </w:rPr>
      </w:pPr>
      <w:r>
        <w:rPr>
          <w:rFonts w:hint="default"/>
          <w:color w:val="000000" w:themeColor="text1"/>
          <w:lang w:val="zh-CN" w:eastAsia="zh-CN"/>
          <w14:textFill>
            <w14:solidFill>
              <w14:schemeClr w14:val="tx1"/>
            </w14:solidFill>
          </w14:textFill>
        </w:rPr>
        <w:t>根据《中华人民共和国安全生产法》等法律、法规的要求，</w:t>
      </w:r>
      <w:r>
        <w:rPr>
          <w:rFonts w:hint="eastAsia"/>
          <w:color w:val="000000" w:themeColor="text1"/>
          <w:lang w:val="en-US" w:eastAsia="zh-CN"/>
          <w14:textFill>
            <w14:solidFill>
              <w14:schemeClr w14:val="tx1"/>
            </w14:solidFill>
          </w14:textFill>
        </w:rPr>
        <w:t>公司制定了全面的安全生产制度，明确了相关人员的安全职责，并编制了电站运行规程。</w:t>
      </w:r>
    </w:p>
    <w:p w14:paraId="73889A9F">
      <w:pPr>
        <w:spacing w:line="360" w:lineRule="auto"/>
        <w:ind w:firstLine="560" w:firstLineChars="200"/>
        <w:rPr>
          <w:rFonts w:hint="default" w:ascii="宋体" w:hAnsi="宋体" w:eastAsia="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1.</w:t>
      </w:r>
      <w:r>
        <w:rPr>
          <w:rFonts w:hint="eastAsia" w:ascii="宋体" w:hAnsi="宋体" w:eastAsia="宋体" w:cs="Times New Roman"/>
          <w:color w:val="000000" w:themeColor="text1"/>
          <w:kern w:val="2"/>
          <w:sz w:val="28"/>
          <w:szCs w:val="28"/>
          <w:lang w:val="zh-CN" w:eastAsia="zh-CN" w:bidi="ar-SA"/>
          <w14:textFill>
            <w14:solidFill>
              <w14:schemeClr w14:val="tx1"/>
            </w14:solidFill>
          </w14:textFill>
        </w:rPr>
        <w:t>安全生产管理职责</w:t>
      </w:r>
    </w:p>
    <w:tbl>
      <w:tblPr>
        <w:tblStyle w:val="29"/>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8023"/>
      </w:tblGrid>
      <w:tr w14:paraId="27E396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vAlign w:val="center"/>
          </w:tcPr>
          <w:p w14:paraId="6DA495A4">
            <w:pPr>
              <w:pStyle w:val="26"/>
              <w:keepNext w:val="0"/>
              <w:keepLines w:val="0"/>
              <w:pageBreakBefore w:val="0"/>
              <w:widowControl w:val="0"/>
              <w:numPr>
                <w:ilvl w:val="0"/>
                <w:numId w:val="13"/>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rPr>
                <w:rFonts w:hint="eastAsia" w:ascii="宋体" w:hAnsi="宋体" w:eastAsia="宋体" w:cs="宋体"/>
                <w:b/>
                <w:bCs/>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2410560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bCs/>
                <w:color w:val="000000" w:themeColor="text1"/>
                <w:sz w:val="21"/>
                <w:szCs w:val="21"/>
                <w:vertAlign w:val="baseline"/>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公司领导安全职责</w:t>
            </w:r>
          </w:p>
        </w:tc>
      </w:tr>
      <w:tr w14:paraId="2770FD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805C152">
            <w:pPr>
              <w:pStyle w:val="26"/>
              <w:keepNext w:val="0"/>
              <w:keepLines w:val="0"/>
              <w:pageBreakBefore w:val="0"/>
              <w:widowControl w:val="0"/>
              <w:numPr>
                <w:ilvl w:val="0"/>
                <w:numId w:val="14"/>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2684129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主要负责人安全职责</w:t>
            </w:r>
          </w:p>
        </w:tc>
      </w:tr>
      <w:tr w14:paraId="430BAC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46CF6B0D">
            <w:pPr>
              <w:pStyle w:val="26"/>
              <w:keepNext w:val="0"/>
              <w:keepLines w:val="0"/>
              <w:pageBreakBefore w:val="0"/>
              <w:widowControl w:val="0"/>
              <w:numPr>
                <w:ilvl w:val="0"/>
                <w:numId w:val="14"/>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FAE640B">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财务安全职责</w:t>
            </w:r>
          </w:p>
        </w:tc>
      </w:tr>
      <w:tr w14:paraId="38CFA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F3CC7E6">
            <w:pPr>
              <w:pStyle w:val="26"/>
              <w:keepNext w:val="0"/>
              <w:keepLines w:val="0"/>
              <w:pageBreakBefore w:val="0"/>
              <w:widowControl w:val="0"/>
              <w:numPr>
                <w:ilvl w:val="0"/>
                <w:numId w:val="14"/>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5B5CC7FE">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安全管理员安全职责</w:t>
            </w:r>
          </w:p>
        </w:tc>
      </w:tr>
      <w:tr w14:paraId="71850D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4B547A41">
            <w:pPr>
              <w:pStyle w:val="26"/>
              <w:keepNext w:val="0"/>
              <w:keepLines w:val="0"/>
              <w:pageBreakBefore w:val="0"/>
              <w:widowControl w:val="0"/>
              <w:numPr>
                <w:ilvl w:val="0"/>
                <w:numId w:val="14"/>
              </w:numPr>
              <w:kinsoku/>
              <w:wordWrap/>
              <w:overflowPunct w:val="0"/>
              <w:topLinePunct w:val="0"/>
              <w:autoSpaceDE/>
              <w:autoSpaceDN/>
              <w:bidi w:val="0"/>
              <w:adjustRightInd w:val="0"/>
              <w:snapToGrid w:val="0"/>
              <w:spacing w:after="0" w:line="240" w:lineRule="auto"/>
              <w:ind w:left="0" w:leftChars="0" w:firstLine="400" w:firstLineChars="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269D27A0">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技术负责人安全生产职责</w:t>
            </w:r>
          </w:p>
        </w:tc>
      </w:tr>
      <w:tr w14:paraId="78DF6C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vAlign w:val="center"/>
          </w:tcPr>
          <w:p w14:paraId="7C81420D">
            <w:pPr>
              <w:pStyle w:val="26"/>
              <w:keepNext w:val="0"/>
              <w:keepLines w:val="0"/>
              <w:pageBreakBefore w:val="0"/>
              <w:widowControl w:val="0"/>
              <w:numPr>
                <w:ilvl w:val="0"/>
                <w:numId w:val="13"/>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rPr>
                <w:rFonts w:hint="eastAsia" w:ascii="宋体" w:hAnsi="宋体" w:eastAsia="宋体" w:cs="宋体"/>
                <w:b/>
                <w:bCs/>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75453B04">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部门安全职责</w:t>
            </w:r>
          </w:p>
        </w:tc>
      </w:tr>
      <w:tr w14:paraId="374DA9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115389D">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227D7C7">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安全生产领导小组安全职责</w:t>
            </w:r>
          </w:p>
        </w:tc>
      </w:tr>
      <w:tr w14:paraId="1112C6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9613AE1">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AD6FA0B">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生产安全部安全职责</w:t>
            </w:r>
          </w:p>
        </w:tc>
      </w:tr>
      <w:tr w14:paraId="388DDA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6040D854">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5917638C">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技术部安全职责</w:t>
            </w:r>
          </w:p>
        </w:tc>
      </w:tr>
      <w:tr w14:paraId="1B53F5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622DD522">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76380F57">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设备部安全职责</w:t>
            </w:r>
          </w:p>
        </w:tc>
      </w:tr>
      <w:tr w14:paraId="3B8FE3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69750B3">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663F33C5">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质检部安全职责</w:t>
            </w:r>
          </w:p>
        </w:tc>
      </w:tr>
      <w:tr w14:paraId="625B12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71C93BC3">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66F5FCD9">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办公室安全职责</w:t>
            </w:r>
          </w:p>
        </w:tc>
      </w:tr>
      <w:tr w14:paraId="19CA0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C9E03AC">
            <w:pPr>
              <w:pStyle w:val="26"/>
              <w:keepNext w:val="0"/>
              <w:keepLines w:val="0"/>
              <w:pageBreakBefore w:val="0"/>
              <w:widowControl w:val="0"/>
              <w:numPr>
                <w:ilvl w:val="0"/>
                <w:numId w:val="15"/>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07ACFDDD">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生产</w:t>
            </w:r>
            <w:r>
              <w:rPr>
                <w:rFonts w:hint="eastAsia" w:ascii="宋体" w:hAnsi="宋体" w:eastAsia="宋体" w:cs="宋体"/>
                <w:b w:val="0"/>
                <w:bCs w:val="0"/>
                <w:color w:val="000000" w:themeColor="text1"/>
                <w:sz w:val="21"/>
                <w:szCs w:val="21"/>
                <w:lang w:val="en-US" w:eastAsia="zh-CN"/>
                <w14:textFill>
                  <w14:solidFill>
                    <w14:schemeClr w14:val="tx1"/>
                  </w14:solidFill>
                </w14:textFill>
              </w:rPr>
              <w:t>安全职责</w:t>
            </w:r>
          </w:p>
        </w:tc>
      </w:tr>
      <w:tr w14:paraId="48ABE6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vAlign w:val="center"/>
          </w:tcPr>
          <w:p w14:paraId="18902422">
            <w:pPr>
              <w:pStyle w:val="26"/>
              <w:keepNext w:val="0"/>
              <w:keepLines w:val="0"/>
              <w:pageBreakBefore w:val="0"/>
              <w:widowControl w:val="0"/>
              <w:numPr>
                <w:ilvl w:val="0"/>
                <w:numId w:val="13"/>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rPr>
                <w:rFonts w:hint="eastAsia" w:ascii="宋体" w:hAnsi="宋体" w:eastAsia="宋体" w:cs="宋体"/>
                <w:b/>
                <w:bCs/>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6D0B86D0">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000000" w:themeColor="text1"/>
                <w:sz w:val="21"/>
                <w:szCs w:val="21"/>
                <w:lang w:val="en-US" w:eastAsia="zh-CN"/>
                <w14:textFill>
                  <w14:solidFill>
                    <w14:schemeClr w14:val="tx1"/>
                  </w14:solidFill>
                </w14:textFill>
              </w:rPr>
              <w:t>管理人员和职工安全职责</w:t>
            </w:r>
          </w:p>
        </w:tc>
      </w:tr>
      <w:tr w14:paraId="194D2E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65350C3A">
            <w:pPr>
              <w:pStyle w:val="26"/>
              <w:keepNext w:val="0"/>
              <w:keepLines w:val="0"/>
              <w:pageBreakBefore w:val="0"/>
              <w:widowControl w:val="0"/>
              <w:numPr>
                <w:ilvl w:val="0"/>
                <w:numId w:val="16"/>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7C9DA820">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主任安全职责</w:t>
            </w:r>
          </w:p>
        </w:tc>
      </w:tr>
      <w:tr w14:paraId="33DD9C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384E249A">
            <w:pPr>
              <w:pStyle w:val="26"/>
              <w:keepNext w:val="0"/>
              <w:keepLines w:val="0"/>
              <w:pageBreakBefore w:val="0"/>
              <w:widowControl w:val="0"/>
              <w:numPr>
                <w:ilvl w:val="0"/>
                <w:numId w:val="16"/>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3DAB5238">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职工安全职责</w:t>
            </w:r>
          </w:p>
        </w:tc>
      </w:tr>
      <w:tr w14:paraId="30CAB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tcBorders>
              <w:tl2br w:val="nil"/>
              <w:tr2bl w:val="nil"/>
            </w:tcBorders>
          </w:tcPr>
          <w:p w14:paraId="0158F2BE">
            <w:pPr>
              <w:pStyle w:val="26"/>
              <w:keepNext w:val="0"/>
              <w:keepLines w:val="0"/>
              <w:pageBreakBefore w:val="0"/>
              <w:widowControl w:val="0"/>
              <w:numPr>
                <w:ilvl w:val="0"/>
                <w:numId w:val="16"/>
              </w:numPr>
              <w:kinsoku/>
              <w:wordWrap/>
              <w:overflowPunct w:val="0"/>
              <w:topLinePunct w:val="0"/>
              <w:autoSpaceDE/>
              <w:autoSpaceDN/>
              <w:bidi w:val="0"/>
              <w:adjustRightInd w:val="0"/>
              <w:snapToGrid w:val="0"/>
              <w:spacing w:after="0" w:line="240" w:lineRule="auto"/>
              <w:ind w:left="0" w:leftChars="0" w:firstLine="420" w:firstLineChars="200"/>
              <w:jc w:val="both"/>
              <w:textAlignment w:val="auto"/>
              <w:rPr>
                <w:rFonts w:hint="eastAsia" w:ascii="宋体" w:hAnsi="宋体" w:eastAsia="宋体" w:cs="宋体"/>
                <w:color w:val="000000" w:themeColor="text1"/>
                <w:sz w:val="21"/>
                <w:szCs w:val="21"/>
                <w:vertAlign w:val="baseline"/>
                <w14:textFill>
                  <w14:solidFill>
                    <w14:schemeClr w14:val="tx1"/>
                  </w14:solidFill>
                </w14:textFill>
              </w:rPr>
            </w:pPr>
          </w:p>
        </w:tc>
        <w:tc>
          <w:tcPr>
            <w:tcW w:w="4403" w:type="pct"/>
            <w:tcBorders>
              <w:tl2br w:val="nil"/>
              <w:tr2bl w:val="nil"/>
            </w:tcBorders>
            <w:vAlign w:val="center"/>
          </w:tcPr>
          <w:p w14:paraId="1C6826F3">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统计员安全职责</w:t>
            </w:r>
          </w:p>
        </w:tc>
      </w:tr>
    </w:tbl>
    <w:p w14:paraId="6BF40204">
      <w:pPr>
        <w:spacing w:line="360" w:lineRule="auto"/>
        <w:ind w:firstLine="560" w:firstLineChars="200"/>
        <w:rPr>
          <w:rFonts w:hint="default"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2.安全生产管理制度</w:t>
      </w:r>
    </w:p>
    <w:tbl>
      <w:tblPr>
        <w:tblStyle w:val="2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3509"/>
        <w:gridCol w:w="679"/>
        <w:gridCol w:w="4300"/>
      </w:tblGrid>
      <w:tr w14:paraId="7446B4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tcBorders>
              <w:tl2br w:val="nil"/>
              <w:tr2bl w:val="nil"/>
            </w:tcBorders>
            <w:vAlign w:val="center"/>
          </w:tcPr>
          <w:p w14:paraId="2AE33EC9">
            <w:pPr>
              <w:pStyle w:val="26"/>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序号</w:t>
            </w:r>
          </w:p>
        </w:tc>
        <w:tc>
          <w:tcPr>
            <w:tcW w:w="3622" w:type="dxa"/>
            <w:tcBorders>
              <w:tl2br w:val="nil"/>
              <w:tr2bl w:val="nil"/>
            </w:tcBorders>
            <w:vAlign w:val="center"/>
          </w:tcPr>
          <w:p w14:paraId="6117F9C0">
            <w:pPr>
              <w:pStyle w:val="26"/>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制度名称</w:t>
            </w:r>
          </w:p>
        </w:tc>
        <w:tc>
          <w:tcPr>
            <w:tcW w:w="688" w:type="dxa"/>
            <w:tcBorders>
              <w:tl2br w:val="nil"/>
              <w:tr2bl w:val="nil"/>
            </w:tcBorders>
            <w:vAlign w:val="center"/>
          </w:tcPr>
          <w:p w14:paraId="6665BE98">
            <w:pPr>
              <w:pStyle w:val="26"/>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序号</w:t>
            </w:r>
          </w:p>
        </w:tc>
        <w:tc>
          <w:tcPr>
            <w:tcW w:w="4435" w:type="dxa"/>
            <w:tcBorders>
              <w:tl2br w:val="nil"/>
              <w:tr2bl w:val="nil"/>
            </w:tcBorders>
            <w:vAlign w:val="center"/>
          </w:tcPr>
          <w:p w14:paraId="6418265B">
            <w:pPr>
              <w:pStyle w:val="26"/>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制度名称</w:t>
            </w:r>
          </w:p>
        </w:tc>
      </w:tr>
      <w:tr w14:paraId="66C29D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25F50286">
            <w:pPr>
              <w:pStyle w:val="26"/>
              <w:numPr>
                <w:ilvl w:val="0"/>
                <w:numId w:val="17"/>
              </w:numPr>
              <w:spacing w:line="240" w:lineRule="auto"/>
              <w:ind w:left="425" w:leftChars="0" w:right="0" w:rightChars="0" w:hanging="425"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1C395F9">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安全生产责任制考核管理制度</w:t>
            </w:r>
          </w:p>
        </w:tc>
        <w:tc>
          <w:tcPr>
            <w:tcW w:w="688" w:type="dxa"/>
            <w:tcBorders>
              <w:tl2br w:val="nil"/>
              <w:tr2bl w:val="nil"/>
            </w:tcBorders>
            <w:vAlign w:val="center"/>
          </w:tcPr>
          <w:p w14:paraId="49C82072">
            <w:pPr>
              <w:pStyle w:val="26"/>
              <w:numPr>
                <w:ilvl w:val="0"/>
                <w:numId w:val="17"/>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00232602">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安全生产会议管理制度</w:t>
            </w:r>
          </w:p>
        </w:tc>
      </w:tr>
      <w:tr w14:paraId="3C7A41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048E07D4">
            <w:pPr>
              <w:pStyle w:val="26"/>
              <w:numPr>
                <w:ilvl w:val="0"/>
                <w:numId w:val="17"/>
              </w:numPr>
              <w:spacing w:line="240" w:lineRule="auto"/>
              <w:ind w:left="425" w:leftChars="0" w:right="0" w:rightChars="0" w:hanging="425"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28734FD">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安全生产奖惩制度</w:t>
            </w:r>
          </w:p>
        </w:tc>
        <w:tc>
          <w:tcPr>
            <w:tcW w:w="688" w:type="dxa"/>
            <w:tcBorders>
              <w:tl2br w:val="nil"/>
              <w:tr2bl w:val="nil"/>
            </w:tcBorders>
            <w:vAlign w:val="center"/>
          </w:tcPr>
          <w:p w14:paraId="36F1B651">
            <w:pPr>
              <w:pStyle w:val="26"/>
              <w:numPr>
                <w:ilvl w:val="0"/>
                <w:numId w:val="17"/>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CE91DCD">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安全生产费用管理制度</w:t>
            </w:r>
          </w:p>
        </w:tc>
      </w:tr>
      <w:tr w14:paraId="6F91BF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7B7CDBA">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42F14896">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风险评价管理制度</w:t>
            </w:r>
          </w:p>
        </w:tc>
        <w:tc>
          <w:tcPr>
            <w:tcW w:w="688" w:type="dxa"/>
            <w:tcBorders>
              <w:tl2br w:val="nil"/>
              <w:tr2bl w:val="nil"/>
            </w:tcBorders>
            <w:vAlign w:val="center"/>
          </w:tcPr>
          <w:p w14:paraId="067DCA5B">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4858ECF6">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隐患排查治理制度</w:t>
            </w:r>
          </w:p>
        </w:tc>
      </w:tr>
      <w:tr w14:paraId="713BF5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613547E">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2059843">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安全培训教育制度</w:t>
            </w:r>
          </w:p>
        </w:tc>
        <w:tc>
          <w:tcPr>
            <w:tcW w:w="688" w:type="dxa"/>
            <w:tcBorders>
              <w:tl2br w:val="nil"/>
              <w:tr2bl w:val="nil"/>
            </w:tcBorders>
            <w:vAlign w:val="center"/>
          </w:tcPr>
          <w:p w14:paraId="181F7EAF">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7D85E83">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安全设施管理制度</w:t>
            </w:r>
          </w:p>
        </w:tc>
      </w:tr>
      <w:tr w14:paraId="51984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8" w:type="dxa"/>
            <w:tcBorders>
              <w:tl2br w:val="nil"/>
              <w:tr2bl w:val="nil"/>
            </w:tcBorders>
            <w:vAlign w:val="center"/>
          </w:tcPr>
          <w:p w14:paraId="76B645F5">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6B55D22">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生产设备设施检维修管理制度</w:t>
            </w:r>
          </w:p>
        </w:tc>
        <w:tc>
          <w:tcPr>
            <w:tcW w:w="688" w:type="dxa"/>
            <w:tcBorders>
              <w:tl2br w:val="nil"/>
              <w:tr2bl w:val="nil"/>
            </w:tcBorders>
            <w:vAlign w:val="center"/>
          </w:tcPr>
          <w:p w14:paraId="4D542F61">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76A4128">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特种设备管理制度</w:t>
            </w:r>
          </w:p>
        </w:tc>
      </w:tr>
      <w:tr w14:paraId="4A9C0B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110680AB">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7943F20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劳动防护用品管理制度</w:t>
            </w:r>
          </w:p>
        </w:tc>
        <w:tc>
          <w:tcPr>
            <w:tcW w:w="688" w:type="dxa"/>
            <w:tcBorders>
              <w:tl2br w:val="nil"/>
              <w:tr2bl w:val="nil"/>
            </w:tcBorders>
            <w:vAlign w:val="center"/>
          </w:tcPr>
          <w:p w14:paraId="4A857D65">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583C5031">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职业卫生管理制度</w:t>
            </w:r>
          </w:p>
        </w:tc>
      </w:tr>
      <w:tr w14:paraId="335F8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A4902C7">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07E0FB1">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事故管理制度</w:t>
            </w:r>
          </w:p>
        </w:tc>
        <w:tc>
          <w:tcPr>
            <w:tcW w:w="688" w:type="dxa"/>
            <w:tcBorders>
              <w:tl2br w:val="nil"/>
              <w:tr2bl w:val="nil"/>
            </w:tcBorders>
            <w:vAlign w:val="center"/>
          </w:tcPr>
          <w:p w14:paraId="6EB37495">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26BAEA64">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安全检查与整改管理制度</w:t>
            </w:r>
          </w:p>
        </w:tc>
      </w:tr>
      <w:tr w14:paraId="019D7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71707A2">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98FD08E">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危险化学品安全管理制度</w:t>
            </w:r>
          </w:p>
        </w:tc>
        <w:tc>
          <w:tcPr>
            <w:tcW w:w="688" w:type="dxa"/>
            <w:tcBorders>
              <w:tl2br w:val="nil"/>
              <w:tr2bl w:val="nil"/>
            </w:tcBorders>
            <w:vAlign w:val="center"/>
          </w:tcPr>
          <w:p w14:paraId="5443FE0F">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390F502D">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消防管理制度</w:t>
            </w:r>
          </w:p>
        </w:tc>
      </w:tr>
      <w:tr w14:paraId="4FAFA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74374282">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0ABA4745">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安全警示标识管理制度</w:t>
            </w:r>
          </w:p>
        </w:tc>
        <w:tc>
          <w:tcPr>
            <w:tcW w:w="688" w:type="dxa"/>
            <w:tcBorders>
              <w:tl2br w:val="nil"/>
              <w:tr2bl w:val="nil"/>
            </w:tcBorders>
            <w:vAlign w:val="center"/>
          </w:tcPr>
          <w:p w14:paraId="6A6638DD">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22D416C7">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工伤保险、安全生产责任保险管理制</w:t>
            </w:r>
          </w:p>
        </w:tc>
      </w:tr>
      <w:tr w14:paraId="3E2BA5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12D1BE62">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32690A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重大危险源管理制度</w:t>
            </w:r>
          </w:p>
        </w:tc>
        <w:tc>
          <w:tcPr>
            <w:tcW w:w="688" w:type="dxa"/>
            <w:tcBorders>
              <w:tl2br w:val="nil"/>
              <w:tr2bl w:val="nil"/>
            </w:tcBorders>
            <w:vAlign w:val="center"/>
          </w:tcPr>
          <w:p w14:paraId="228F3324">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C5B6BB2">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仓库安全管理制度</w:t>
            </w:r>
          </w:p>
        </w:tc>
      </w:tr>
      <w:tr w14:paraId="7FBC5E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5209F15F">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37A48611">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应急救援管理制度</w:t>
            </w:r>
          </w:p>
        </w:tc>
        <w:tc>
          <w:tcPr>
            <w:tcW w:w="688" w:type="dxa"/>
            <w:tcBorders>
              <w:tl2br w:val="nil"/>
              <w:tr2bl w:val="nil"/>
            </w:tcBorders>
            <w:vAlign w:val="center"/>
          </w:tcPr>
          <w:p w14:paraId="48D1974D">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34039082">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文件、档案管理制度</w:t>
            </w:r>
          </w:p>
        </w:tc>
      </w:tr>
      <w:tr w14:paraId="67D93A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7888AD90">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17A3A97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封闭管理制度</w:t>
            </w:r>
          </w:p>
        </w:tc>
        <w:tc>
          <w:tcPr>
            <w:tcW w:w="688" w:type="dxa"/>
            <w:tcBorders>
              <w:tl2br w:val="nil"/>
              <w:tr2bl w:val="nil"/>
            </w:tcBorders>
            <w:vAlign w:val="center"/>
          </w:tcPr>
          <w:p w14:paraId="0BDC5D44">
            <w:pPr>
              <w:pStyle w:val="26"/>
              <w:numPr>
                <w:ilvl w:val="0"/>
                <w:numId w:val="17"/>
              </w:numPr>
              <w:spacing w:line="240" w:lineRule="auto"/>
              <w:ind w:left="0" w:leftChars="0" w:right="0" w:rightChars="0" w:firstLine="0"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216F51D">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信息报告制度</w:t>
            </w:r>
          </w:p>
        </w:tc>
      </w:tr>
      <w:tr w14:paraId="6785AE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5E084771">
            <w:pPr>
              <w:pStyle w:val="26"/>
              <w:numPr>
                <w:ilvl w:val="0"/>
                <w:numId w:val="17"/>
              </w:numPr>
              <w:spacing w:line="240" w:lineRule="auto"/>
              <w:ind w:left="425" w:leftChars="0" w:right="0" w:rightChars="0" w:hanging="425" w:firstLineChars="0"/>
              <w:jc w:val="center"/>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532FC62C">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cs="宋体"/>
                <w:b w:val="0"/>
                <w:bCs w:val="0"/>
                <w:color w:val="000000" w:themeColor="text1"/>
                <w:sz w:val="21"/>
                <w:szCs w:val="21"/>
                <w:lang w:val="en-US" w:eastAsia="zh-CN"/>
                <w14:textFill>
                  <w14:solidFill>
                    <w14:schemeClr w14:val="tx1"/>
                  </w14:solidFill>
                </w14:textFill>
              </w:rPr>
              <w:t>有限空间作业管理制度</w:t>
            </w:r>
          </w:p>
        </w:tc>
        <w:tc>
          <w:tcPr>
            <w:tcW w:w="688" w:type="dxa"/>
            <w:tcBorders>
              <w:tl2br w:val="nil"/>
              <w:tr2bl w:val="nil"/>
            </w:tcBorders>
            <w:vAlign w:val="center"/>
          </w:tcPr>
          <w:p w14:paraId="1A8F2975">
            <w:pPr>
              <w:pStyle w:val="26"/>
              <w:numPr>
                <w:ilvl w:val="0"/>
                <w:numId w:val="0"/>
              </w:numPr>
              <w:spacing w:line="240" w:lineRule="auto"/>
              <w:ind w:leftChars="0" w:right="0" w:rightChars="0"/>
              <w:jc w:val="both"/>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2B6848F0">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p>
        </w:tc>
      </w:tr>
    </w:tbl>
    <w:p w14:paraId="18B7D869">
      <w:pPr>
        <w:spacing w:line="360" w:lineRule="auto"/>
        <w:ind w:firstLine="560" w:firstLineChars="200"/>
        <w:rPr>
          <w:rFonts w:hint="default"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3.安全操作规程</w:t>
      </w:r>
    </w:p>
    <w:tbl>
      <w:tblPr>
        <w:tblStyle w:val="2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4"/>
        <w:gridCol w:w="3522"/>
        <w:gridCol w:w="672"/>
        <w:gridCol w:w="4300"/>
      </w:tblGrid>
      <w:tr w14:paraId="797C78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068A4541">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5AD872EB">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bookmarkStart w:id="123" w:name="_Toc100844188"/>
            <w:bookmarkStart w:id="124" w:name="_Toc105249755"/>
            <w:bookmarkStart w:id="125" w:name="_Toc100843982"/>
            <w:bookmarkStart w:id="126" w:name="_Toc100845386"/>
            <w:bookmarkStart w:id="127" w:name="_Toc8371"/>
            <w:r>
              <w:rPr>
                <w:rFonts w:hint="eastAsia" w:ascii="宋体" w:hAnsi="宋体" w:eastAsia="宋体" w:cs="宋体"/>
                <w:b w:val="0"/>
                <w:bCs w:val="0"/>
                <w:color w:val="000000" w:themeColor="text1"/>
                <w:sz w:val="21"/>
                <w:szCs w:val="21"/>
                <w:lang w:val="en-US" w:eastAsia="zh-CN"/>
                <w14:textFill>
                  <w14:solidFill>
                    <w14:schemeClr w14:val="tx1"/>
                  </w14:solidFill>
                </w14:textFill>
              </w:rPr>
              <w:t>电压互感器，电流互感器的</w:t>
            </w:r>
            <w:bookmarkEnd w:id="123"/>
            <w:bookmarkEnd w:id="124"/>
            <w:bookmarkEnd w:id="125"/>
            <w:bookmarkEnd w:id="126"/>
            <w:r>
              <w:rPr>
                <w:rFonts w:hint="eastAsia" w:ascii="宋体" w:hAnsi="宋体" w:eastAsia="宋体" w:cs="宋体"/>
                <w:b w:val="0"/>
                <w:bCs w:val="0"/>
                <w:color w:val="000000" w:themeColor="text1"/>
                <w:sz w:val="21"/>
                <w:szCs w:val="21"/>
                <w:lang w:val="en-US" w:eastAsia="zh-CN"/>
                <w14:textFill>
                  <w14:solidFill>
                    <w14:schemeClr w14:val="tx1"/>
                  </w14:solidFill>
                </w14:textFill>
              </w:rPr>
              <w:t>操作规程</w:t>
            </w:r>
            <w:bookmarkEnd w:id="127"/>
          </w:p>
        </w:tc>
        <w:tc>
          <w:tcPr>
            <w:tcW w:w="688" w:type="dxa"/>
            <w:tcBorders>
              <w:tl2br w:val="nil"/>
              <w:tr2bl w:val="nil"/>
            </w:tcBorders>
            <w:vAlign w:val="center"/>
          </w:tcPr>
          <w:p w14:paraId="476510ED">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604B76A5">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高压设备工作操作规程</w:t>
            </w:r>
          </w:p>
        </w:tc>
      </w:tr>
      <w:tr w14:paraId="2CD0B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638" w:type="dxa"/>
            <w:tcBorders>
              <w:tl2br w:val="nil"/>
              <w:tr2bl w:val="nil"/>
            </w:tcBorders>
            <w:vAlign w:val="center"/>
          </w:tcPr>
          <w:p w14:paraId="3799C4AF">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4662D2F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带电作业操作规程</w:t>
            </w:r>
          </w:p>
        </w:tc>
        <w:tc>
          <w:tcPr>
            <w:tcW w:w="688" w:type="dxa"/>
            <w:tcBorders>
              <w:tl2br w:val="nil"/>
              <w:tr2bl w:val="nil"/>
            </w:tcBorders>
            <w:vAlign w:val="center"/>
          </w:tcPr>
          <w:p w14:paraId="30073378">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0A18342E">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电工岗位操作规程</w:t>
            </w:r>
          </w:p>
        </w:tc>
      </w:tr>
      <w:tr w14:paraId="01513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638" w:type="dxa"/>
            <w:tcBorders>
              <w:tl2br w:val="nil"/>
              <w:tr2bl w:val="nil"/>
            </w:tcBorders>
            <w:vAlign w:val="center"/>
          </w:tcPr>
          <w:p w14:paraId="7A7856EA">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6D89890A">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电焊工安全操作规程</w:t>
            </w:r>
          </w:p>
        </w:tc>
        <w:tc>
          <w:tcPr>
            <w:tcW w:w="688" w:type="dxa"/>
            <w:tcBorders>
              <w:tl2br w:val="nil"/>
              <w:tr2bl w:val="nil"/>
            </w:tcBorders>
            <w:vAlign w:val="center"/>
          </w:tcPr>
          <w:p w14:paraId="34B5A661">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55404B72">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配电室安全操作规程</w:t>
            </w:r>
          </w:p>
        </w:tc>
      </w:tr>
      <w:tr w14:paraId="1CF856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31A82B46">
            <w:pPr>
              <w:pStyle w:val="26"/>
              <w:numPr>
                <w:ilvl w:val="0"/>
                <w:numId w:val="18"/>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3622" w:type="dxa"/>
            <w:tcBorders>
              <w:tl2br w:val="nil"/>
              <w:tr2bl w:val="nil"/>
            </w:tcBorders>
            <w:vAlign w:val="center"/>
          </w:tcPr>
          <w:p w14:paraId="542B4DC1">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临时用电操作规程</w:t>
            </w:r>
          </w:p>
        </w:tc>
        <w:tc>
          <w:tcPr>
            <w:tcW w:w="688" w:type="dxa"/>
            <w:tcBorders>
              <w:tl2br w:val="nil"/>
              <w:tr2bl w:val="nil"/>
            </w:tcBorders>
            <w:vAlign w:val="center"/>
          </w:tcPr>
          <w:p w14:paraId="13E48F6C">
            <w:pPr>
              <w:pStyle w:val="26"/>
              <w:numPr>
                <w:ilvl w:val="0"/>
                <w:numId w:val="0"/>
              </w:numPr>
              <w:spacing w:line="240" w:lineRule="auto"/>
              <w:ind w:leftChars="0" w:right="0" w:rightChars="0"/>
              <w:jc w:val="both"/>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62900DE9">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r>
    </w:tbl>
    <w:p w14:paraId="720F0411">
      <w:pPr>
        <w:spacing w:line="360" w:lineRule="auto"/>
        <w:ind w:firstLine="560" w:firstLineChars="200"/>
        <w:rPr>
          <w:rFonts w:hint="default" w:ascii="宋体" w:hAnsi="宋体" w:cs="Times New Roman"/>
          <w:color w:val="000000" w:themeColor="text1"/>
          <w:kern w:val="2"/>
          <w:sz w:val="28"/>
          <w:szCs w:val="28"/>
          <w:lang w:val="zh-CN"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4.</w:t>
      </w:r>
      <w:r>
        <w:rPr>
          <w:rFonts w:hint="default" w:ascii="宋体" w:hAnsi="宋体" w:cs="Times New Roman"/>
          <w:color w:val="000000" w:themeColor="text1"/>
          <w:kern w:val="2"/>
          <w:sz w:val="28"/>
          <w:szCs w:val="28"/>
          <w:lang w:val="zh-CN" w:eastAsia="zh-CN" w:bidi="ar-SA"/>
          <w14:textFill>
            <w14:solidFill>
              <w14:schemeClr w14:val="tx1"/>
            </w14:solidFill>
          </w14:textFill>
        </w:rPr>
        <w:t>安全管理档案</w:t>
      </w:r>
    </w:p>
    <w:tbl>
      <w:tblPr>
        <w:tblStyle w:val="2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3509"/>
        <w:gridCol w:w="679"/>
        <w:gridCol w:w="4300"/>
      </w:tblGrid>
      <w:tr w14:paraId="7AE45F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601B5572">
            <w:pPr>
              <w:pStyle w:val="26"/>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1.</w:t>
            </w:r>
          </w:p>
        </w:tc>
        <w:tc>
          <w:tcPr>
            <w:tcW w:w="3622" w:type="dxa"/>
            <w:tcBorders>
              <w:tl2br w:val="nil"/>
              <w:tr2bl w:val="nil"/>
            </w:tcBorders>
            <w:vAlign w:val="center"/>
          </w:tcPr>
          <w:p w14:paraId="1FCA5A5F">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隐患排查治理情况登记表</w:t>
            </w:r>
          </w:p>
        </w:tc>
        <w:tc>
          <w:tcPr>
            <w:tcW w:w="688" w:type="dxa"/>
            <w:tcBorders>
              <w:tl2br w:val="nil"/>
              <w:tr2bl w:val="nil"/>
            </w:tcBorders>
            <w:vAlign w:val="center"/>
          </w:tcPr>
          <w:p w14:paraId="3D36ACAA">
            <w:pPr>
              <w:pStyle w:val="26"/>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2.</w:t>
            </w:r>
          </w:p>
        </w:tc>
        <w:tc>
          <w:tcPr>
            <w:tcW w:w="4435" w:type="dxa"/>
            <w:tcBorders>
              <w:tl2br w:val="nil"/>
              <w:tr2bl w:val="nil"/>
            </w:tcBorders>
            <w:vAlign w:val="center"/>
          </w:tcPr>
          <w:p w14:paraId="5D73803A">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eastAsia"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劳动防护用品发放台账</w:t>
            </w:r>
          </w:p>
        </w:tc>
      </w:tr>
      <w:tr w14:paraId="604A05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5A5F682E">
            <w:pPr>
              <w:pStyle w:val="26"/>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3.</w:t>
            </w:r>
          </w:p>
        </w:tc>
        <w:tc>
          <w:tcPr>
            <w:tcW w:w="3622" w:type="dxa"/>
            <w:tcBorders>
              <w:tl2br w:val="nil"/>
              <w:tr2bl w:val="nil"/>
            </w:tcBorders>
            <w:vAlign w:val="center"/>
          </w:tcPr>
          <w:p w14:paraId="36A375D8">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安全教育培训记录</w:t>
            </w:r>
          </w:p>
        </w:tc>
        <w:tc>
          <w:tcPr>
            <w:tcW w:w="688" w:type="dxa"/>
            <w:tcBorders>
              <w:tl2br w:val="nil"/>
              <w:tr2bl w:val="nil"/>
            </w:tcBorders>
            <w:vAlign w:val="center"/>
          </w:tcPr>
          <w:p w14:paraId="35407558">
            <w:pPr>
              <w:pStyle w:val="26"/>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4.</w:t>
            </w:r>
          </w:p>
        </w:tc>
        <w:tc>
          <w:tcPr>
            <w:tcW w:w="4435" w:type="dxa"/>
            <w:tcBorders>
              <w:tl2br w:val="nil"/>
              <w:tr2bl w:val="nil"/>
            </w:tcBorders>
            <w:vAlign w:val="center"/>
          </w:tcPr>
          <w:p w14:paraId="2E7520CA">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安全设施和设备维护、保修、检测台账</w:t>
            </w:r>
          </w:p>
        </w:tc>
      </w:tr>
      <w:tr w14:paraId="66917B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8" w:type="dxa"/>
            <w:tcBorders>
              <w:tl2br w:val="nil"/>
              <w:tr2bl w:val="nil"/>
            </w:tcBorders>
            <w:vAlign w:val="center"/>
          </w:tcPr>
          <w:p w14:paraId="46F70DE9">
            <w:pPr>
              <w:pStyle w:val="26"/>
              <w:numPr>
                <w:ilvl w:val="0"/>
                <w:numId w:val="0"/>
              </w:numPr>
              <w:spacing w:line="240" w:lineRule="auto"/>
              <w:ind w:left="0" w:leftChars="0" w:right="0" w:rightChars="0" w:firstLine="0" w:firstLineChars="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t>5.</w:t>
            </w:r>
          </w:p>
        </w:tc>
        <w:tc>
          <w:tcPr>
            <w:tcW w:w="3622" w:type="dxa"/>
            <w:tcBorders>
              <w:tl2br w:val="nil"/>
              <w:tr2bl w:val="nil"/>
            </w:tcBorders>
            <w:vAlign w:val="center"/>
          </w:tcPr>
          <w:p w14:paraId="7377AF34">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default" w:ascii="宋体" w:hAnsi="宋体" w:eastAsia="宋体" w:cs="宋体"/>
                <w:b w:val="0"/>
                <w:bCs w:val="0"/>
                <w:color w:val="000000" w:themeColor="text1"/>
                <w:sz w:val="21"/>
                <w:szCs w:val="21"/>
                <w:lang w:val="en-US" w:eastAsia="zh-CN"/>
                <w14:textFill>
                  <w14:solidFill>
                    <w14:schemeClr w14:val="tx1"/>
                  </w14:solidFill>
                </w14:textFill>
              </w:rPr>
              <w:t>从业人员三级教育培训</w:t>
            </w:r>
          </w:p>
        </w:tc>
        <w:tc>
          <w:tcPr>
            <w:tcW w:w="688" w:type="dxa"/>
            <w:tcBorders>
              <w:tl2br w:val="nil"/>
              <w:tr2bl w:val="nil"/>
            </w:tcBorders>
            <w:vAlign w:val="center"/>
          </w:tcPr>
          <w:p w14:paraId="72336023">
            <w:pPr>
              <w:pStyle w:val="26"/>
              <w:numPr>
                <w:ilvl w:val="0"/>
                <w:numId w:val="0"/>
              </w:numPr>
              <w:spacing w:line="240" w:lineRule="auto"/>
              <w:ind w:leftChars="0" w:right="0" w:rightChars="0"/>
              <w:jc w:val="both"/>
              <w:rPr>
                <w:rFonts w:hint="default" w:ascii="宋体" w:hAnsi="宋体" w:eastAsia="宋体" w:cs="宋体"/>
                <w:b w:val="0"/>
                <w:bCs w:val="0"/>
                <w:color w:val="000000" w:themeColor="text1"/>
                <w:sz w:val="21"/>
                <w:szCs w:val="21"/>
                <w:lang w:val="en-US" w:eastAsia="zh-CN"/>
                <w14:textFill>
                  <w14:solidFill>
                    <w14:schemeClr w14:val="tx1"/>
                  </w14:solidFill>
                </w14:textFill>
              </w:rPr>
            </w:pPr>
          </w:p>
        </w:tc>
        <w:tc>
          <w:tcPr>
            <w:tcW w:w="4435" w:type="dxa"/>
            <w:tcBorders>
              <w:tl2br w:val="nil"/>
              <w:tr2bl w:val="nil"/>
            </w:tcBorders>
            <w:vAlign w:val="center"/>
          </w:tcPr>
          <w:p w14:paraId="13BB4E0E">
            <w:pPr>
              <w:pStyle w:val="26"/>
              <w:keepNext w:val="0"/>
              <w:keepLines w:val="0"/>
              <w:pageBreakBefore w:val="0"/>
              <w:widowControl w:val="0"/>
              <w:kinsoku/>
              <w:wordWrap/>
              <w:overflowPunct w:val="0"/>
              <w:topLinePunct w:val="0"/>
              <w:autoSpaceDE/>
              <w:autoSpaceDN/>
              <w:bidi w:val="0"/>
              <w:adjustRightInd w:val="0"/>
              <w:snapToGrid w:val="0"/>
              <w:spacing w:after="0" w:line="240" w:lineRule="auto"/>
              <w:ind w:left="0" w:leftChars="0" w:right="0" w:rightChars="0" w:firstLine="0" w:firstLineChars="0"/>
              <w:jc w:val="both"/>
              <w:textAlignment w:val="auto"/>
              <w:rPr>
                <w:rFonts w:hint="default" w:ascii="宋体" w:hAnsi="宋体" w:eastAsia="宋体" w:cs="宋体"/>
                <w:b w:val="0"/>
                <w:bCs w:val="0"/>
                <w:color w:val="000000" w:themeColor="text1"/>
                <w:sz w:val="21"/>
                <w:szCs w:val="21"/>
                <w:lang w:val="en-US" w:eastAsia="zh-CN"/>
                <w14:textFill>
                  <w14:solidFill>
                    <w14:schemeClr w14:val="tx1"/>
                  </w14:solidFill>
                </w14:textFill>
              </w:rPr>
            </w:pPr>
          </w:p>
        </w:tc>
      </w:tr>
    </w:tbl>
    <w:p w14:paraId="0BF9E12E">
      <w:pPr>
        <w:pStyle w:val="4"/>
        <w:keepNext w:val="0"/>
        <w:keepLines w:val="0"/>
        <w:pageBreakBefore w:val="0"/>
        <w:widowControl w:val="0"/>
        <w:kinsoku/>
        <w:bidi w:val="0"/>
        <w:rPr>
          <w:rFonts w:hint="default"/>
          <w:color w:val="000000" w:themeColor="text1"/>
          <w:lang w:val="en-US" w:eastAsia="zh-CN"/>
          <w14:textFill>
            <w14:solidFill>
              <w14:schemeClr w14:val="tx1"/>
            </w14:solidFill>
          </w14:textFill>
        </w:rPr>
      </w:pPr>
      <w:bookmarkStart w:id="128" w:name="_Toc26023"/>
      <w:r>
        <w:rPr>
          <w:rFonts w:hint="eastAsia"/>
          <w:color w:val="000000" w:themeColor="text1"/>
          <w:lang w:val="en-US" w:eastAsia="zh-CN"/>
          <w14:textFill>
            <w14:solidFill>
              <w14:schemeClr w14:val="tx1"/>
            </w14:solidFill>
          </w14:textFill>
        </w:rPr>
        <w:t>安全教育培训</w:t>
      </w:r>
      <w:bookmarkEnd w:id="128"/>
    </w:p>
    <w:p w14:paraId="77D2819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宋体" w:hAnsi="宋体" w:cs="Times New Roman"/>
          <w:color w:val="000000" w:themeColor="text1"/>
          <w:kern w:val="2"/>
          <w:sz w:val="28"/>
          <w:szCs w:val="28"/>
          <w:lang w:val="zh-CN"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电站</w:t>
      </w:r>
      <w:r>
        <w:rPr>
          <w:rFonts w:hint="default" w:ascii="宋体" w:hAnsi="宋体" w:cs="Times New Roman"/>
          <w:color w:val="000000" w:themeColor="text1"/>
          <w:kern w:val="2"/>
          <w:sz w:val="28"/>
          <w:szCs w:val="28"/>
          <w:lang w:val="zh-CN" w:eastAsia="zh-CN" w:bidi="ar-SA"/>
          <w14:textFill>
            <w14:solidFill>
              <w14:schemeClr w14:val="tx1"/>
            </w14:solidFill>
          </w14:textFill>
        </w:rPr>
        <w:t>主要负责人</w:t>
      </w:r>
      <w:r>
        <w:rPr>
          <w:rFonts w:hint="eastAsia" w:ascii="宋体" w:hAnsi="宋体" w:cs="Times New Roman"/>
          <w:color w:val="000000" w:themeColor="text1"/>
          <w:kern w:val="2"/>
          <w:sz w:val="28"/>
          <w:szCs w:val="28"/>
          <w:lang w:val="en-US" w:eastAsia="zh-CN" w:bidi="ar-SA"/>
          <w14:textFill>
            <w14:solidFill>
              <w14:schemeClr w14:val="tx1"/>
            </w14:solidFill>
          </w14:textFill>
        </w:rPr>
        <w:t>、</w:t>
      </w:r>
      <w:r>
        <w:rPr>
          <w:rFonts w:hint="default" w:ascii="宋体" w:hAnsi="宋体" w:cs="Times New Roman"/>
          <w:color w:val="000000" w:themeColor="text1"/>
          <w:kern w:val="2"/>
          <w:sz w:val="28"/>
          <w:szCs w:val="28"/>
          <w:lang w:val="zh-CN" w:eastAsia="zh-CN" w:bidi="ar-SA"/>
          <w14:textFill>
            <w14:solidFill>
              <w14:schemeClr w14:val="tx1"/>
            </w14:solidFill>
          </w14:textFill>
        </w:rPr>
        <w:t>安全管理人员经过相关部门培训取证并持证上岗</w:t>
      </w:r>
      <w:r>
        <w:rPr>
          <w:rFonts w:hint="eastAsia" w:ascii="宋体" w:hAnsi="宋体" w:cs="Times New Roman"/>
          <w:color w:val="000000" w:themeColor="text1"/>
          <w:kern w:val="2"/>
          <w:sz w:val="28"/>
          <w:szCs w:val="28"/>
          <w:lang w:val="en-US" w:eastAsia="zh-CN" w:bidi="ar-SA"/>
          <w14:textFill>
            <w14:solidFill>
              <w14:schemeClr w14:val="tx1"/>
            </w14:solidFill>
          </w14:textFill>
        </w:rPr>
        <w:t>，</w:t>
      </w:r>
      <w:r>
        <w:rPr>
          <w:rFonts w:hint="eastAsia"/>
          <w:color w:val="000000" w:themeColor="text1"/>
          <w:lang w:val="en-US" w:eastAsia="zh-CN"/>
          <w14:textFill>
            <w14:solidFill>
              <w14:schemeClr w14:val="tx1"/>
            </w14:solidFill>
          </w14:textFill>
        </w:rPr>
        <w:t>特种作业人员按要求取得特种作业人员证件，并持证上岗，</w:t>
      </w:r>
      <w:r>
        <w:rPr>
          <w:rFonts w:hint="default" w:ascii="宋体" w:hAnsi="宋体" w:cs="Times New Roman"/>
          <w:color w:val="000000" w:themeColor="text1"/>
          <w:kern w:val="2"/>
          <w:sz w:val="28"/>
          <w:szCs w:val="28"/>
          <w:lang w:val="zh-CN" w:eastAsia="zh-CN" w:bidi="ar-SA"/>
          <w14:textFill>
            <w14:solidFill>
              <w14:schemeClr w14:val="tx1"/>
            </w14:solidFill>
          </w14:textFill>
        </w:rPr>
        <w:t>其他人员上岗前</w:t>
      </w:r>
      <w:r>
        <w:rPr>
          <w:rFonts w:hint="eastAsia" w:ascii="宋体" w:hAnsi="宋体" w:cs="Times New Roman"/>
          <w:color w:val="000000" w:themeColor="text1"/>
          <w:kern w:val="2"/>
          <w:sz w:val="28"/>
          <w:szCs w:val="28"/>
          <w:lang w:val="en-US" w:eastAsia="zh-CN" w:bidi="ar-SA"/>
          <w14:textFill>
            <w14:solidFill>
              <w14:schemeClr w14:val="tx1"/>
            </w14:solidFill>
          </w14:textFill>
        </w:rPr>
        <w:t>研制出</w:t>
      </w:r>
      <w:r>
        <w:rPr>
          <w:rFonts w:hint="default" w:ascii="宋体" w:hAnsi="宋体" w:cs="Times New Roman"/>
          <w:color w:val="000000" w:themeColor="text1"/>
          <w:kern w:val="2"/>
          <w:sz w:val="28"/>
          <w:szCs w:val="28"/>
          <w:lang w:val="zh-CN" w:eastAsia="zh-CN" w:bidi="ar-SA"/>
          <w14:textFill>
            <w14:solidFill>
              <w14:schemeClr w14:val="tx1"/>
            </w14:solidFill>
          </w14:textFill>
        </w:rPr>
        <w:t>按相关规定进行内部培训，平时定期组织全体员工进行安全法律法规、规章制度和岗位技能的教育、学习</w:t>
      </w:r>
      <w:r>
        <w:rPr>
          <w:rFonts w:hint="eastAsia" w:ascii="宋体" w:hAnsi="宋体" w:cs="Times New Roman"/>
          <w:color w:val="000000" w:themeColor="text1"/>
          <w:kern w:val="2"/>
          <w:sz w:val="28"/>
          <w:szCs w:val="28"/>
          <w:lang w:val="zh-CN" w:eastAsia="zh-CN" w:bidi="ar-SA"/>
          <w14:textFill>
            <w14:solidFill>
              <w14:schemeClr w14:val="tx1"/>
            </w14:solidFill>
          </w14:textFill>
        </w:rPr>
        <w:t>。</w:t>
      </w:r>
      <w:r>
        <w:rPr>
          <w:rFonts w:hint="default" w:ascii="宋体" w:hAnsi="宋体" w:cs="Times New Roman"/>
          <w:color w:val="000000" w:themeColor="text1"/>
          <w:kern w:val="2"/>
          <w:sz w:val="28"/>
          <w:szCs w:val="28"/>
          <w:lang w:val="zh-CN" w:eastAsia="zh-CN" w:bidi="ar-SA"/>
          <w14:textFill>
            <w14:solidFill>
              <w14:schemeClr w14:val="tx1"/>
            </w14:solidFill>
          </w14:textFill>
        </w:rPr>
        <w:t>持证作业人员情况见</w:t>
      </w:r>
      <w:r>
        <w:rPr>
          <w:rFonts w:hint="eastAsia" w:ascii="宋体" w:hAnsi="宋体" w:cs="Times New Roman"/>
          <w:color w:val="000000" w:themeColor="text1"/>
          <w:kern w:val="2"/>
          <w:sz w:val="28"/>
          <w:szCs w:val="28"/>
          <w:lang w:val="en-US" w:eastAsia="zh-CN" w:bidi="ar-SA"/>
          <w14:textFill>
            <w14:solidFill>
              <w14:schemeClr w14:val="tx1"/>
            </w14:solidFill>
          </w14:textFill>
        </w:rPr>
        <w:t>下表</w:t>
      </w:r>
      <w:r>
        <w:rPr>
          <w:rFonts w:hint="default" w:ascii="宋体" w:hAnsi="宋体" w:cs="Times New Roman"/>
          <w:color w:val="000000" w:themeColor="text1"/>
          <w:kern w:val="2"/>
          <w:sz w:val="28"/>
          <w:szCs w:val="28"/>
          <w:lang w:val="zh-CN" w:eastAsia="zh-CN" w:bidi="ar-SA"/>
          <w14:textFill>
            <w14:solidFill>
              <w14:schemeClr w14:val="tx1"/>
            </w14:solidFill>
          </w14:textFill>
        </w:rPr>
        <w:t>。</w:t>
      </w:r>
    </w:p>
    <w:p w14:paraId="3ADA7491">
      <w:pPr>
        <w:pStyle w:val="12"/>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人员持证情况表</w:t>
      </w:r>
    </w:p>
    <w:tbl>
      <w:tblPr>
        <w:tblStyle w:val="49"/>
        <w:tblW w:w="8937" w:type="dxa"/>
        <w:tblInd w:w="5" w:type="dxa"/>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0" w:type="dxa"/>
          <w:bottom w:w="0" w:type="dxa"/>
          <w:right w:w="0" w:type="dxa"/>
        </w:tblCellMar>
      </w:tblPr>
      <w:tblGrid>
        <w:gridCol w:w="732"/>
        <w:gridCol w:w="938"/>
        <w:gridCol w:w="2051"/>
        <w:gridCol w:w="2138"/>
        <w:gridCol w:w="1592"/>
        <w:gridCol w:w="1486"/>
      </w:tblGrid>
      <w:tr w14:paraId="15FF5FBC">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732" w:type="dxa"/>
            <w:vAlign w:val="center"/>
          </w:tcPr>
          <w:p w14:paraId="28CEFEA0">
            <w:pPr>
              <w:pStyle w:val="39"/>
              <w:keepNext w:val="0"/>
              <w:keepLines w:val="0"/>
              <w:pageBreakBefore w:val="0"/>
              <w:widowControl w:val="0"/>
              <w:kinsoku/>
              <w:wordWrap/>
              <w:topLinePunct w:val="0"/>
              <w:autoSpaceDE/>
              <w:autoSpaceDN/>
              <w:bidi w:val="0"/>
              <w:ind w:firstLine="0" w:firstLineChars="0"/>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序号</w:t>
            </w:r>
          </w:p>
        </w:tc>
        <w:tc>
          <w:tcPr>
            <w:tcW w:w="938" w:type="dxa"/>
            <w:vAlign w:val="center"/>
          </w:tcPr>
          <w:p w14:paraId="584A712D">
            <w:pPr>
              <w:pStyle w:val="39"/>
              <w:keepNext w:val="0"/>
              <w:keepLines w:val="0"/>
              <w:pageBreakBefore w:val="0"/>
              <w:widowControl w:val="0"/>
              <w:kinsoku/>
              <w:wordWrap/>
              <w:topLinePunct w:val="0"/>
              <w:autoSpaceDE/>
              <w:autoSpaceDN/>
              <w:bidi w:val="0"/>
              <w:ind w:firstLine="0" w:firstLineChars="0"/>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姓名</w:t>
            </w:r>
          </w:p>
        </w:tc>
        <w:tc>
          <w:tcPr>
            <w:tcW w:w="2051" w:type="dxa"/>
            <w:vAlign w:val="center"/>
          </w:tcPr>
          <w:p w14:paraId="72AC76AC">
            <w:pPr>
              <w:pStyle w:val="39"/>
              <w:keepNext w:val="0"/>
              <w:keepLines w:val="0"/>
              <w:pageBreakBefore w:val="0"/>
              <w:widowControl w:val="0"/>
              <w:kinsoku/>
              <w:wordWrap/>
              <w:topLinePunct w:val="0"/>
              <w:autoSpaceDE/>
              <w:autoSpaceDN/>
              <w:bidi w:val="0"/>
              <w:ind w:firstLine="0" w:firstLineChars="0"/>
              <w:jc w:val="both"/>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资格类型</w:t>
            </w:r>
            <w:r>
              <w:rPr>
                <w:rFonts w:hint="eastAsia" w:cs="Times New Roman"/>
                <w:color w:val="000000" w:themeColor="text1"/>
                <w:lang w:val="en-US" w:eastAsia="zh-CN"/>
                <w14:textFill>
                  <w14:solidFill>
                    <w14:schemeClr w14:val="tx1"/>
                  </w14:solidFill>
                </w14:textFill>
              </w:rPr>
              <w:t>/操作项目</w:t>
            </w:r>
          </w:p>
        </w:tc>
        <w:tc>
          <w:tcPr>
            <w:tcW w:w="2138" w:type="dxa"/>
            <w:vAlign w:val="center"/>
          </w:tcPr>
          <w:p w14:paraId="6CD7A5FA">
            <w:pPr>
              <w:pStyle w:val="39"/>
              <w:keepNext w:val="0"/>
              <w:keepLines w:val="0"/>
              <w:pageBreakBefore w:val="0"/>
              <w:widowControl w:val="0"/>
              <w:kinsoku/>
              <w:wordWrap/>
              <w:topLinePunct w:val="0"/>
              <w:autoSpaceDE/>
              <w:autoSpaceDN/>
              <w:bidi w:val="0"/>
              <w:ind w:firstLine="0" w:firstLineChars="0"/>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证书编号</w:t>
            </w:r>
          </w:p>
        </w:tc>
        <w:tc>
          <w:tcPr>
            <w:tcW w:w="1592" w:type="dxa"/>
            <w:vAlign w:val="center"/>
          </w:tcPr>
          <w:p w14:paraId="76319022">
            <w:pPr>
              <w:pStyle w:val="39"/>
              <w:keepNext w:val="0"/>
              <w:keepLines w:val="0"/>
              <w:pageBreakBefore w:val="0"/>
              <w:widowControl w:val="0"/>
              <w:kinsoku/>
              <w:wordWrap/>
              <w:topLinePunct w:val="0"/>
              <w:autoSpaceDE/>
              <w:autoSpaceDN/>
              <w:bidi w:val="0"/>
              <w:ind w:firstLine="0" w:firstLineChars="0"/>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有效期</w:t>
            </w:r>
          </w:p>
        </w:tc>
        <w:tc>
          <w:tcPr>
            <w:tcW w:w="1486" w:type="dxa"/>
            <w:vAlign w:val="center"/>
          </w:tcPr>
          <w:p w14:paraId="0542A5A4">
            <w:pPr>
              <w:pStyle w:val="39"/>
              <w:keepNext w:val="0"/>
              <w:keepLines w:val="0"/>
              <w:pageBreakBefore w:val="0"/>
              <w:widowControl w:val="0"/>
              <w:kinsoku/>
              <w:wordWrap/>
              <w:topLinePunct w:val="0"/>
              <w:autoSpaceDE/>
              <w:autoSpaceDN/>
              <w:bidi w:val="0"/>
              <w:ind w:firstLine="0" w:firstLineChars="0"/>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备注</w:t>
            </w:r>
          </w:p>
        </w:tc>
      </w:tr>
      <w:tr w14:paraId="7C3A0760">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732" w:type="dxa"/>
            <w:vAlign w:val="center"/>
          </w:tcPr>
          <w:p w14:paraId="621F485C">
            <w:pPr>
              <w:pStyle w:val="26"/>
              <w:keepNext w:val="0"/>
              <w:keepLines w:val="0"/>
              <w:pageBreakBefore w:val="0"/>
              <w:widowControl w:val="0"/>
              <w:numPr>
                <w:ilvl w:val="0"/>
                <w:numId w:val="19"/>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938" w:type="dxa"/>
            <w:vAlign w:val="center"/>
          </w:tcPr>
          <w:p w14:paraId="182332B6">
            <w:pPr>
              <w:snapToGrid w:val="0"/>
              <w:spacing w:before="156" w:beforeLines="50" w:line="240" w:lineRule="auto"/>
              <w:ind w:left="0" w:leftChars="0" w:right="0" w:rightChars="0" w:firstLine="0" w:firstLineChars="0"/>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何庆周</w:t>
            </w:r>
          </w:p>
        </w:tc>
        <w:tc>
          <w:tcPr>
            <w:tcW w:w="2051" w:type="dxa"/>
            <w:vAlign w:val="center"/>
          </w:tcPr>
          <w:p w14:paraId="27211D3F">
            <w:pPr>
              <w:snapToGrid w:val="0"/>
              <w:spacing w:before="156" w:beforeLines="50" w:line="240" w:lineRule="auto"/>
              <w:ind w:left="0" w:leftChars="0" w:right="0" w:rightChars="0" w:firstLine="0" w:firstLineChars="0"/>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企业主要负责人</w:t>
            </w:r>
          </w:p>
        </w:tc>
        <w:tc>
          <w:tcPr>
            <w:tcW w:w="2138" w:type="dxa"/>
            <w:vAlign w:val="center"/>
          </w:tcPr>
          <w:p w14:paraId="0BD02027">
            <w:pPr>
              <w:snapToGrid w:val="0"/>
              <w:spacing w:before="156" w:beforeLines="50" w:line="240" w:lineRule="auto"/>
              <w:ind w:left="0" w:leftChars="0" w:right="0" w:rightChars="0" w:firstLine="0" w:firstLineChars="0"/>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532901197307174615</w:t>
            </w:r>
          </w:p>
        </w:tc>
        <w:tc>
          <w:tcPr>
            <w:tcW w:w="1592" w:type="dxa"/>
            <w:vAlign w:val="center"/>
          </w:tcPr>
          <w:p w14:paraId="0278B07E">
            <w:pPr>
              <w:snapToGrid w:val="0"/>
              <w:spacing w:before="156" w:beforeLines="50" w:line="240" w:lineRule="auto"/>
              <w:ind w:left="0" w:leftChars="0" w:right="0" w:rightChars="0" w:firstLine="0" w:firstLineChars="0"/>
              <w:jc w:val="center"/>
              <w:rPr>
                <w:rFonts w:hint="default"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应急管理部（注册安全工程师）</w:t>
            </w:r>
          </w:p>
        </w:tc>
        <w:tc>
          <w:tcPr>
            <w:tcW w:w="1486" w:type="dxa"/>
            <w:vAlign w:val="center"/>
          </w:tcPr>
          <w:p w14:paraId="16F922FE">
            <w:pPr>
              <w:snapToGrid w:val="0"/>
              <w:spacing w:before="156" w:beforeLines="50" w:line="240" w:lineRule="auto"/>
              <w:ind w:left="0" w:leftChars="0" w:right="0" w:rightChars="0" w:firstLine="0" w:firstLineChars="0"/>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w:t>
            </w:r>
          </w:p>
        </w:tc>
      </w:tr>
      <w:tr w14:paraId="5C698E5C">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32" w:type="dxa"/>
            <w:vAlign w:val="center"/>
          </w:tcPr>
          <w:p w14:paraId="3291448D">
            <w:pPr>
              <w:pStyle w:val="26"/>
              <w:keepNext w:val="0"/>
              <w:keepLines w:val="0"/>
              <w:pageBreakBefore w:val="0"/>
              <w:widowControl w:val="0"/>
              <w:numPr>
                <w:ilvl w:val="0"/>
                <w:numId w:val="19"/>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938" w:type="dxa"/>
            <w:vAlign w:val="center"/>
          </w:tcPr>
          <w:p w14:paraId="173D92DA">
            <w:pPr>
              <w:pStyle w:val="43"/>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姜翔飞</w:t>
            </w:r>
          </w:p>
        </w:tc>
        <w:tc>
          <w:tcPr>
            <w:tcW w:w="2051" w:type="dxa"/>
            <w:vAlign w:val="center"/>
          </w:tcPr>
          <w:p w14:paraId="3869BDF2">
            <w:pPr>
              <w:pStyle w:val="43"/>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安全管理</w:t>
            </w:r>
            <w:r>
              <w:rPr>
                <w:rFonts w:hint="eastAsia" w:ascii="宋体" w:hAnsi="宋体" w:eastAsia="宋体" w:cs="宋体"/>
                <w:color w:val="000000" w:themeColor="text1"/>
                <w:lang w:val="en-US" w:eastAsia="zh-CN"/>
                <w14:textFill>
                  <w14:solidFill>
                    <w14:schemeClr w14:val="tx1"/>
                  </w14:solidFill>
                </w14:textFill>
              </w:rPr>
              <w:t>人</w:t>
            </w:r>
            <w:r>
              <w:rPr>
                <w:rFonts w:hint="eastAsia" w:ascii="宋体" w:hAnsi="宋体" w:eastAsia="宋体" w:cs="宋体"/>
                <w:color w:val="000000" w:themeColor="text1"/>
                <w14:textFill>
                  <w14:solidFill>
                    <w14:schemeClr w14:val="tx1"/>
                  </w14:solidFill>
                </w14:textFill>
              </w:rPr>
              <w:t>员</w:t>
            </w:r>
          </w:p>
        </w:tc>
        <w:tc>
          <w:tcPr>
            <w:tcW w:w="2138" w:type="dxa"/>
            <w:shd w:val="clear" w:color="auto" w:fill="auto"/>
            <w:vAlign w:val="center"/>
          </w:tcPr>
          <w:p w14:paraId="59CD5922">
            <w:pPr>
              <w:snapToGrid w:val="0"/>
              <w:spacing w:before="156" w:beforeLines="50" w:line="240" w:lineRule="auto"/>
              <w:ind w:left="0" w:leftChars="0" w:right="0" w:rightChars="0" w:firstLine="0" w:firstLineChars="0"/>
              <w:jc w:val="center"/>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L</w:t>
            </w:r>
            <w:r>
              <w:rPr>
                <w:rFonts w:hint="eastAsia" w:ascii="宋体" w:hAnsi="宋体" w:eastAsia="宋体" w:cs="宋体"/>
                <w:color w:val="000000" w:themeColor="text1"/>
                <w:sz w:val="21"/>
                <w:szCs w:val="21"/>
                <w:highlight w:val="none"/>
                <w:lang w:val="en-US" w:eastAsia="zh-CN"/>
                <w14:textFill>
                  <w14:solidFill>
                    <w14:schemeClr w14:val="tx1"/>
                  </w14:solidFill>
                </w14:textFill>
              </w:rPr>
              <w:t>J832</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024FG</w:t>
            </w:r>
            <w:r>
              <w:rPr>
                <w:rFonts w:hint="eastAsia" w:ascii="宋体" w:hAnsi="宋体" w:cs="宋体"/>
                <w:color w:val="000000" w:themeColor="text1"/>
                <w:sz w:val="21"/>
                <w:szCs w:val="21"/>
                <w:highlight w:val="none"/>
                <w:lang w:val="en-US" w:eastAsia="zh-CN"/>
                <w14:textFill>
                  <w14:solidFill>
                    <w14:schemeClr w14:val="tx1"/>
                  </w14:solidFill>
                </w14:textFill>
              </w:rPr>
              <w:t>4577</w:t>
            </w:r>
          </w:p>
        </w:tc>
        <w:tc>
          <w:tcPr>
            <w:tcW w:w="1592" w:type="dxa"/>
            <w:shd w:val="clear" w:color="auto" w:fill="auto"/>
            <w:vAlign w:val="center"/>
          </w:tcPr>
          <w:p w14:paraId="133AD8B9">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2022</w:t>
            </w:r>
            <w:r>
              <w:rPr>
                <w:rFonts w:hint="eastAsia" w:ascii="宋体" w:hAnsi="宋体" w:eastAsia="宋体" w:cs="宋体"/>
                <w:color w:val="000000" w:themeColor="text1"/>
                <w:sz w:val="21"/>
                <w:szCs w:val="21"/>
                <w:highlight w:val="none"/>
                <w:lang w:val="en-US" w:eastAsia="zh-CN"/>
                <w14:textFill>
                  <w14:solidFill>
                    <w14:schemeClr w14:val="tx1"/>
                  </w14:solidFill>
                </w14:textFill>
              </w:rPr>
              <w:t>-0</w:t>
            </w:r>
            <w:r>
              <w:rPr>
                <w:rFonts w:hint="eastAsia" w:ascii="宋体" w:hAnsi="宋体" w:eastAsia="宋体" w:cs="宋体"/>
                <w:color w:val="000000" w:themeColor="text1"/>
                <w:sz w:val="21"/>
                <w:szCs w:val="21"/>
                <w:highlight w:val="none"/>
                <w14:textFill>
                  <w14:solidFill>
                    <w14:schemeClr w14:val="tx1"/>
                  </w14:solidFill>
                </w14:textFill>
              </w:rPr>
              <w:t>5</w:t>
            </w:r>
            <w:r>
              <w:rPr>
                <w:rFonts w:hint="eastAsia" w:ascii="宋体" w:hAnsi="宋体" w:eastAsia="宋体" w:cs="宋体"/>
                <w:color w:val="000000" w:themeColor="text1"/>
                <w:sz w:val="21"/>
                <w:szCs w:val="21"/>
                <w:highlight w:val="none"/>
                <w:lang w:val="en-US" w:eastAsia="zh-CN"/>
                <w14:textFill>
                  <w14:solidFill>
                    <w14:schemeClr w14:val="tx1"/>
                  </w14:solidFill>
                </w14:textFill>
              </w:rPr>
              <w:t>-06</w:t>
            </w:r>
            <w:r>
              <w:rPr>
                <w:rFonts w:hint="eastAsia" w:ascii="宋体" w:hAnsi="宋体" w:eastAsia="宋体" w:cs="宋体"/>
                <w:color w:val="000000" w:themeColor="text1"/>
                <w:sz w:val="21"/>
                <w:szCs w:val="21"/>
                <w:highlight w:val="none"/>
                <w14:textFill>
                  <w14:solidFill>
                    <w14:schemeClr w14:val="tx1"/>
                  </w14:solidFill>
                </w14:textFill>
              </w:rPr>
              <w:t>至202</w:t>
            </w: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z w:val="21"/>
                <w:szCs w:val="21"/>
                <w:highlight w:val="none"/>
                <w14:textFill>
                  <w14:solidFill>
                    <w14:schemeClr w14:val="tx1"/>
                  </w14:solidFill>
                </w14:textFill>
              </w:rPr>
              <w:t>5</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p>
        </w:tc>
        <w:tc>
          <w:tcPr>
            <w:tcW w:w="1486" w:type="dxa"/>
            <w:vAlign w:val="center"/>
          </w:tcPr>
          <w:p w14:paraId="6521E5E6">
            <w:pPr>
              <w:pStyle w:val="43"/>
              <w:bidi w:val="0"/>
              <w:rPr>
                <w:rFonts w:hint="eastAsia" w:ascii="宋体" w:hAnsi="宋体" w:eastAsia="宋体" w:cs="宋体"/>
                <w:color w:val="000000" w:themeColor="text1"/>
                <w14:textFill>
                  <w14:solidFill>
                    <w14:schemeClr w14:val="tx1"/>
                  </w14:solidFill>
                </w14:textFill>
              </w:rPr>
            </w:pPr>
          </w:p>
        </w:tc>
      </w:tr>
      <w:tr w14:paraId="4FEDE319">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32" w:type="dxa"/>
            <w:vMerge w:val="restart"/>
            <w:vAlign w:val="center"/>
          </w:tcPr>
          <w:p w14:paraId="589B9F65">
            <w:pPr>
              <w:pStyle w:val="26"/>
              <w:keepNext w:val="0"/>
              <w:keepLines w:val="0"/>
              <w:pageBreakBefore w:val="0"/>
              <w:widowControl w:val="0"/>
              <w:numPr>
                <w:ilvl w:val="0"/>
                <w:numId w:val="19"/>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bookmarkStart w:id="129" w:name="_Toc29892"/>
          </w:p>
        </w:tc>
        <w:tc>
          <w:tcPr>
            <w:tcW w:w="938" w:type="dxa"/>
            <w:vMerge w:val="restart"/>
            <w:vAlign w:val="center"/>
          </w:tcPr>
          <w:p w14:paraId="26E41C02">
            <w:pPr>
              <w:pStyle w:val="43"/>
              <w:bidi w:val="0"/>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姜翔飞</w:t>
            </w:r>
          </w:p>
        </w:tc>
        <w:tc>
          <w:tcPr>
            <w:tcW w:w="2051" w:type="dxa"/>
            <w:vAlign w:val="center"/>
          </w:tcPr>
          <w:p w14:paraId="2115A787">
            <w:pPr>
              <w:pStyle w:val="43"/>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高处安装、维护、拆除作业</w:t>
            </w:r>
          </w:p>
        </w:tc>
        <w:tc>
          <w:tcPr>
            <w:tcW w:w="2138" w:type="dxa"/>
            <w:vMerge w:val="restart"/>
            <w:shd w:val="clear" w:color="auto" w:fill="auto"/>
            <w:vAlign w:val="center"/>
          </w:tcPr>
          <w:p w14:paraId="2DF4279A">
            <w:pPr>
              <w:snapToGrid w:val="0"/>
              <w:spacing w:before="156" w:beforeLines="50" w:line="240" w:lineRule="auto"/>
              <w:ind w:left="0" w:leftChars="0" w:right="0" w:rightChars="0" w:firstLine="0" w:firstLine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T53</w:t>
            </w:r>
            <w:r>
              <w:rPr>
                <w:rFonts w:hint="eastAsia" w:ascii="宋体" w:hAnsi="宋体" w:cs="宋体"/>
                <w:color w:val="000000" w:themeColor="text1"/>
                <w:sz w:val="21"/>
                <w:szCs w:val="21"/>
                <w:highlight w:val="none"/>
                <w:lang w:val="en-US" w:eastAsia="zh-CN"/>
                <w14:textFill>
                  <w14:solidFill>
                    <w14:schemeClr w14:val="tx1"/>
                  </w14:solidFill>
                </w14:textFill>
              </w:rPr>
              <w:t>2930199112030030</w:t>
            </w:r>
          </w:p>
        </w:tc>
        <w:tc>
          <w:tcPr>
            <w:tcW w:w="1592" w:type="dxa"/>
            <w:shd w:val="clear" w:color="auto" w:fill="auto"/>
            <w:vAlign w:val="center"/>
          </w:tcPr>
          <w:p w14:paraId="76624D1D">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11</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01</w:t>
            </w:r>
            <w:r>
              <w:rPr>
                <w:rFonts w:hint="eastAsia" w:ascii="宋体" w:hAnsi="宋体" w:eastAsia="宋体" w:cs="宋体"/>
                <w:color w:val="000000" w:themeColor="text1"/>
                <w:sz w:val="21"/>
                <w:szCs w:val="21"/>
                <w:highlight w:val="none"/>
                <w14:textFill>
                  <w14:solidFill>
                    <w14:schemeClr w14:val="tx1"/>
                  </w14:solidFill>
                </w14:textFill>
              </w:rPr>
              <w:t>至202</w:t>
            </w:r>
            <w:r>
              <w:rPr>
                <w:rFonts w:hint="eastAsia" w:ascii="宋体" w:hAnsi="宋体" w:cs="宋体"/>
                <w:color w:val="000000" w:themeColor="text1"/>
                <w:sz w:val="21"/>
                <w:szCs w:val="21"/>
                <w:highlight w:val="none"/>
                <w:lang w:val="en-US" w:eastAsia="zh-CN"/>
                <w14:textFill>
                  <w14:solidFill>
                    <w14:schemeClr w14:val="tx1"/>
                  </w14:solidFill>
                </w14:textFill>
              </w:rPr>
              <w:t>8</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1</w:t>
            </w:r>
          </w:p>
        </w:tc>
        <w:tc>
          <w:tcPr>
            <w:tcW w:w="1486" w:type="dxa"/>
            <w:vAlign w:val="center"/>
          </w:tcPr>
          <w:p w14:paraId="1A546FA5">
            <w:pPr>
              <w:pStyle w:val="43"/>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于2</w:t>
            </w:r>
            <w:r>
              <w:rPr>
                <w:rFonts w:hint="eastAsia" w:ascii="宋体" w:hAnsi="宋体" w:eastAsia="宋体" w:cs="宋体"/>
                <w:color w:val="000000" w:themeColor="text1"/>
                <w14:textFill>
                  <w14:solidFill>
                    <w14:schemeClr w14:val="tx1"/>
                  </w14:solidFill>
                </w14:textFill>
              </w:rPr>
              <w:t>02</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-1</w:t>
            </w:r>
            <w:r>
              <w:rPr>
                <w:rFonts w:hint="eastAsia" w:ascii="宋体" w:hAnsi="宋体" w:cs="宋体"/>
                <w:color w:val="000000" w:themeColor="text1"/>
                <w:lang w:val="en-US" w:eastAsia="zh-CN"/>
                <w14:textFill>
                  <w14:solidFill>
                    <w14:schemeClr w14:val="tx1"/>
                  </w14:solidFill>
                </w14:textFill>
              </w:rPr>
              <w:t>0</w:t>
            </w:r>
            <w:r>
              <w:rPr>
                <w:rFonts w:hint="eastAsia" w:ascii="宋体" w:hAnsi="宋体" w:eastAsia="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31前</w:t>
            </w:r>
            <w:r>
              <w:rPr>
                <w:rFonts w:hint="eastAsia" w:ascii="宋体" w:hAnsi="宋体" w:eastAsia="宋体" w:cs="宋体"/>
                <w:color w:val="000000" w:themeColor="text1"/>
                <w:lang w:val="en-US" w:eastAsia="zh-CN"/>
                <w14:textFill>
                  <w14:solidFill>
                    <w14:schemeClr w14:val="tx1"/>
                  </w14:solidFill>
                </w14:textFill>
              </w:rPr>
              <w:t>复审</w:t>
            </w:r>
          </w:p>
        </w:tc>
      </w:tr>
      <w:tr w14:paraId="0FE4180E">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32" w:type="dxa"/>
            <w:vMerge w:val="continue"/>
            <w:vAlign w:val="center"/>
          </w:tcPr>
          <w:p w14:paraId="3578400F">
            <w:pPr>
              <w:pStyle w:val="26"/>
              <w:keepNext w:val="0"/>
              <w:keepLines w:val="0"/>
              <w:pageBreakBefore w:val="0"/>
              <w:widowControl w:val="0"/>
              <w:tabs>
                <w:tab w:val="left" w:pos="0"/>
              </w:tabs>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938" w:type="dxa"/>
            <w:vMerge w:val="continue"/>
            <w:vAlign w:val="center"/>
          </w:tcPr>
          <w:p w14:paraId="6ED54064">
            <w:pPr>
              <w:pStyle w:val="43"/>
              <w:bidi w:val="0"/>
              <w:rPr>
                <w:rFonts w:hint="eastAsia" w:ascii="宋体" w:hAnsi="宋体" w:eastAsia="宋体" w:cs="宋体"/>
                <w:color w:val="000000" w:themeColor="text1"/>
                <w:lang w:val="en-US" w:eastAsia="zh-CN"/>
                <w14:textFill>
                  <w14:solidFill>
                    <w14:schemeClr w14:val="tx1"/>
                  </w14:solidFill>
                </w14:textFill>
              </w:rPr>
            </w:pPr>
          </w:p>
        </w:tc>
        <w:tc>
          <w:tcPr>
            <w:tcW w:w="2051" w:type="dxa"/>
            <w:vAlign w:val="center"/>
          </w:tcPr>
          <w:p w14:paraId="0E897BDC">
            <w:pPr>
              <w:pStyle w:val="43"/>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低压电工作业</w:t>
            </w:r>
          </w:p>
        </w:tc>
        <w:tc>
          <w:tcPr>
            <w:tcW w:w="2138" w:type="dxa"/>
            <w:vMerge w:val="continue"/>
            <w:shd w:val="clear" w:color="auto" w:fill="auto"/>
            <w:vAlign w:val="center"/>
          </w:tcPr>
          <w:p w14:paraId="59C8345C">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1592" w:type="dxa"/>
            <w:shd w:val="clear" w:color="auto" w:fill="auto"/>
            <w:vAlign w:val="center"/>
          </w:tcPr>
          <w:p w14:paraId="18128202">
            <w:pPr>
              <w:snapToGrid w:val="0"/>
              <w:spacing w:before="156" w:beforeLines="50" w:line="240" w:lineRule="auto"/>
              <w:ind w:left="0" w:leftChars="0" w:right="0" w:rightChars="0" w:firstLine="0" w:firstLine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09</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27</w:t>
            </w:r>
            <w:r>
              <w:rPr>
                <w:rFonts w:hint="eastAsia" w:ascii="宋体" w:hAnsi="宋体" w:eastAsia="宋体" w:cs="宋体"/>
                <w:color w:val="000000" w:themeColor="text1"/>
                <w:sz w:val="21"/>
                <w:szCs w:val="21"/>
                <w:highlight w:val="none"/>
                <w:lang w:val="en-US" w:eastAsia="zh-CN"/>
                <w14:textFill>
                  <w14:solidFill>
                    <w14:schemeClr w14:val="tx1"/>
                  </w14:solidFill>
                </w14:textFill>
              </w:rPr>
              <w:t>至202</w:t>
            </w:r>
            <w:r>
              <w:rPr>
                <w:rFonts w:hint="eastAsia" w:ascii="宋体" w:hAnsi="宋体" w:cs="宋体"/>
                <w:color w:val="000000" w:themeColor="text1"/>
                <w:sz w:val="21"/>
                <w:szCs w:val="21"/>
                <w:highlight w:val="none"/>
                <w:lang w:val="en-US" w:eastAsia="zh-CN"/>
                <w14:textFill>
                  <w14:solidFill>
                    <w14:schemeClr w14:val="tx1"/>
                  </w14:solidFill>
                </w14:textFill>
              </w:rPr>
              <w:t>8</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09</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26</w:t>
            </w:r>
          </w:p>
        </w:tc>
        <w:tc>
          <w:tcPr>
            <w:tcW w:w="1486" w:type="dxa"/>
            <w:vAlign w:val="center"/>
          </w:tcPr>
          <w:p w14:paraId="20408259">
            <w:pPr>
              <w:pStyle w:val="43"/>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于2</w:t>
            </w:r>
            <w:r>
              <w:rPr>
                <w:rFonts w:hint="eastAsia" w:ascii="宋体" w:hAnsi="宋体" w:eastAsia="宋体" w:cs="宋体"/>
                <w:color w:val="000000" w:themeColor="text1"/>
                <w14:textFill>
                  <w14:solidFill>
                    <w14:schemeClr w14:val="tx1"/>
                  </w14:solidFill>
                </w14:textFill>
              </w:rPr>
              <w:t>02</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eastAsia="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09</w:t>
            </w:r>
            <w:r>
              <w:rPr>
                <w:rFonts w:hint="eastAsia" w:ascii="宋体" w:hAnsi="宋体" w:eastAsia="宋体" w:cs="宋体"/>
                <w:color w:val="000000" w:themeColor="text1"/>
                <w14:textFill>
                  <w14:solidFill>
                    <w14:schemeClr w14:val="tx1"/>
                  </w14:solidFill>
                </w14:textFill>
              </w:rPr>
              <w:t>-2</w:t>
            </w:r>
            <w:r>
              <w:rPr>
                <w:rFonts w:hint="eastAsia" w:ascii="宋体" w:hAnsi="宋体" w:cs="宋体"/>
                <w:color w:val="000000" w:themeColor="text1"/>
                <w:lang w:val="en-US" w:eastAsia="zh-CN"/>
                <w14:textFill>
                  <w14:solidFill>
                    <w14:schemeClr w14:val="tx1"/>
                  </w14:solidFill>
                </w14:textFill>
              </w:rPr>
              <w:t>6前</w:t>
            </w:r>
            <w:r>
              <w:rPr>
                <w:rFonts w:hint="eastAsia" w:ascii="宋体" w:hAnsi="宋体" w:eastAsia="宋体" w:cs="宋体"/>
                <w:color w:val="000000" w:themeColor="text1"/>
                <w:lang w:val="en-US" w:eastAsia="zh-CN"/>
                <w14:textFill>
                  <w14:solidFill>
                    <w14:schemeClr w14:val="tx1"/>
                  </w14:solidFill>
                </w14:textFill>
              </w:rPr>
              <w:t>复审</w:t>
            </w:r>
          </w:p>
        </w:tc>
      </w:tr>
      <w:tr w14:paraId="6996D8F6">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32" w:type="dxa"/>
            <w:vMerge w:val="continue"/>
            <w:vAlign w:val="center"/>
          </w:tcPr>
          <w:p w14:paraId="352034A9">
            <w:pPr>
              <w:pStyle w:val="26"/>
              <w:keepNext w:val="0"/>
              <w:keepLines w:val="0"/>
              <w:pageBreakBefore w:val="0"/>
              <w:widowControl w:val="0"/>
              <w:tabs>
                <w:tab w:val="left" w:pos="0"/>
              </w:tabs>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938" w:type="dxa"/>
            <w:vMerge w:val="continue"/>
            <w:vAlign w:val="center"/>
          </w:tcPr>
          <w:p w14:paraId="5A5E801A">
            <w:pPr>
              <w:pStyle w:val="43"/>
              <w:bidi w:val="0"/>
              <w:rPr>
                <w:rFonts w:hint="eastAsia" w:ascii="宋体" w:hAnsi="宋体" w:eastAsia="宋体" w:cs="宋体"/>
                <w:color w:val="000000" w:themeColor="text1"/>
                <w:lang w:val="en-US" w:eastAsia="zh-CN"/>
                <w14:textFill>
                  <w14:solidFill>
                    <w14:schemeClr w14:val="tx1"/>
                  </w14:solidFill>
                </w14:textFill>
              </w:rPr>
            </w:pPr>
          </w:p>
        </w:tc>
        <w:tc>
          <w:tcPr>
            <w:tcW w:w="2051" w:type="dxa"/>
            <w:vAlign w:val="center"/>
          </w:tcPr>
          <w:p w14:paraId="4DD7F7ED">
            <w:pPr>
              <w:pStyle w:val="43"/>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高压电工作业</w:t>
            </w:r>
          </w:p>
        </w:tc>
        <w:tc>
          <w:tcPr>
            <w:tcW w:w="2138" w:type="dxa"/>
            <w:vMerge w:val="continue"/>
            <w:shd w:val="clear" w:color="auto" w:fill="auto"/>
            <w:vAlign w:val="center"/>
          </w:tcPr>
          <w:p w14:paraId="18825CB5">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1592" w:type="dxa"/>
            <w:shd w:val="clear" w:color="auto" w:fill="auto"/>
            <w:vAlign w:val="center"/>
          </w:tcPr>
          <w:p w14:paraId="73703A43">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08</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22</w:t>
            </w:r>
            <w:r>
              <w:rPr>
                <w:rFonts w:hint="eastAsia" w:ascii="宋体" w:hAnsi="宋体" w:eastAsia="宋体" w:cs="宋体"/>
                <w:color w:val="000000" w:themeColor="text1"/>
                <w:sz w:val="21"/>
                <w:szCs w:val="21"/>
                <w:highlight w:val="none"/>
                <w:lang w:val="en-US" w:eastAsia="zh-CN"/>
                <w14:textFill>
                  <w14:solidFill>
                    <w14:schemeClr w14:val="tx1"/>
                  </w14:solidFill>
                </w14:textFill>
              </w:rPr>
              <w:t>至202</w:t>
            </w:r>
            <w:r>
              <w:rPr>
                <w:rFonts w:hint="eastAsia" w:ascii="宋体" w:hAnsi="宋体" w:cs="宋体"/>
                <w:color w:val="000000" w:themeColor="text1"/>
                <w:sz w:val="21"/>
                <w:szCs w:val="21"/>
                <w:highlight w:val="none"/>
                <w:lang w:val="en-US" w:eastAsia="zh-CN"/>
                <w14:textFill>
                  <w14:solidFill>
                    <w14:schemeClr w14:val="tx1"/>
                  </w14:solidFill>
                </w14:textFill>
              </w:rPr>
              <w:t>9</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08</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21</w:t>
            </w:r>
          </w:p>
        </w:tc>
        <w:tc>
          <w:tcPr>
            <w:tcW w:w="1486" w:type="dxa"/>
            <w:shd w:val="clear" w:color="auto" w:fill="auto"/>
            <w:vAlign w:val="center"/>
          </w:tcPr>
          <w:p w14:paraId="69EB0AF0">
            <w:pPr>
              <w:pStyle w:val="43"/>
              <w:bidi w:val="0"/>
              <w:ind w:firstLine="0" w:firstLineChars="0"/>
              <w:rPr>
                <w:rFonts w:hint="eastAsia" w:ascii="宋体" w:hAnsi="宋体" w:eastAsia="宋体" w:cs="宋体"/>
                <w:bCs/>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于2</w:t>
            </w:r>
            <w:r>
              <w:rPr>
                <w:rFonts w:hint="eastAsia" w:ascii="宋体" w:hAnsi="宋体" w:eastAsia="宋体" w:cs="宋体"/>
                <w:color w:val="000000" w:themeColor="text1"/>
                <w14:textFill>
                  <w14:solidFill>
                    <w14:schemeClr w14:val="tx1"/>
                  </w14:solidFill>
                </w14:textFill>
              </w:rPr>
              <w:t>02</w:t>
            </w:r>
            <w:r>
              <w:rPr>
                <w:rFonts w:hint="eastAsia" w:ascii="宋体" w:hAnsi="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w:t>
            </w:r>
            <w:r>
              <w:rPr>
                <w:rFonts w:hint="eastAsia" w:ascii="宋体" w:hAnsi="宋体" w:cs="宋体"/>
                <w:color w:val="000000" w:themeColor="text1"/>
                <w:lang w:val="en-US" w:eastAsia="zh-CN"/>
                <w14:textFill>
                  <w14:solidFill>
                    <w14:schemeClr w14:val="tx1"/>
                  </w14:solidFill>
                </w14:textFill>
              </w:rPr>
              <w:t>08</w:t>
            </w:r>
            <w:r>
              <w:rPr>
                <w:rFonts w:hint="eastAsia" w:ascii="宋体" w:hAnsi="宋体" w:eastAsia="宋体" w:cs="宋体"/>
                <w:color w:val="000000" w:themeColor="text1"/>
                <w14:textFill>
                  <w14:solidFill>
                    <w14:schemeClr w14:val="tx1"/>
                  </w14:solidFill>
                </w14:textFill>
              </w:rPr>
              <w:t>-2</w:t>
            </w:r>
            <w:r>
              <w:rPr>
                <w:rFonts w:hint="eastAsia" w:ascii="宋体" w:hAnsi="宋体" w:cs="宋体"/>
                <w:color w:val="000000" w:themeColor="text1"/>
                <w:lang w:val="en-US" w:eastAsia="zh-CN"/>
                <w14:textFill>
                  <w14:solidFill>
                    <w14:schemeClr w14:val="tx1"/>
                  </w14:solidFill>
                </w14:textFill>
              </w:rPr>
              <w:t>7前</w:t>
            </w:r>
            <w:r>
              <w:rPr>
                <w:rFonts w:hint="eastAsia" w:ascii="宋体" w:hAnsi="宋体" w:eastAsia="宋体" w:cs="宋体"/>
                <w:color w:val="000000" w:themeColor="text1"/>
                <w:lang w:val="en-US" w:eastAsia="zh-CN"/>
                <w14:textFill>
                  <w14:solidFill>
                    <w14:schemeClr w14:val="tx1"/>
                  </w14:solidFill>
                </w14:textFill>
              </w:rPr>
              <w:t>复审</w:t>
            </w:r>
          </w:p>
        </w:tc>
      </w:tr>
      <w:tr w14:paraId="68F28135">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32" w:type="dxa"/>
            <w:vMerge w:val="restart"/>
            <w:vAlign w:val="center"/>
          </w:tcPr>
          <w:p w14:paraId="799A3261">
            <w:pPr>
              <w:pStyle w:val="26"/>
              <w:keepNext w:val="0"/>
              <w:keepLines w:val="0"/>
              <w:pageBreakBefore w:val="0"/>
              <w:widowControl w:val="0"/>
              <w:numPr>
                <w:ilvl w:val="0"/>
                <w:numId w:val="19"/>
              </w:numPr>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938" w:type="dxa"/>
            <w:vMerge w:val="restart"/>
            <w:vAlign w:val="center"/>
          </w:tcPr>
          <w:p w14:paraId="613784EC">
            <w:pPr>
              <w:pStyle w:val="43"/>
              <w:bidi w:val="0"/>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李力</w:t>
            </w:r>
          </w:p>
        </w:tc>
        <w:tc>
          <w:tcPr>
            <w:tcW w:w="2051" w:type="dxa"/>
            <w:vAlign w:val="center"/>
          </w:tcPr>
          <w:p w14:paraId="5C4868A5">
            <w:pPr>
              <w:pStyle w:val="43"/>
              <w:bidi w:val="0"/>
              <w:ind w:firstLine="0" w:firstLineChars="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低压电工作业</w:t>
            </w:r>
          </w:p>
        </w:tc>
        <w:tc>
          <w:tcPr>
            <w:tcW w:w="2138" w:type="dxa"/>
            <w:vMerge w:val="restart"/>
            <w:shd w:val="clear" w:color="auto" w:fill="auto"/>
            <w:vAlign w:val="center"/>
          </w:tcPr>
          <w:p w14:paraId="0FA5FA4C">
            <w:pPr>
              <w:snapToGrid w:val="0"/>
              <w:spacing w:before="156" w:beforeLines="50" w:line="240" w:lineRule="auto"/>
              <w:ind w:left="0" w:leftChars="0" w:right="0" w:rightChars="0" w:firstLine="0" w:firstLine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T53</w:t>
            </w:r>
            <w:r>
              <w:rPr>
                <w:rFonts w:hint="eastAsia" w:ascii="宋体" w:hAnsi="宋体" w:cs="宋体"/>
                <w:color w:val="000000" w:themeColor="text1"/>
                <w:sz w:val="21"/>
                <w:szCs w:val="21"/>
                <w:highlight w:val="none"/>
                <w:lang w:val="en-US" w:eastAsia="zh-CN"/>
                <w14:textFill>
                  <w14:solidFill>
                    <w14:schemeClr w14:val="tx1"/>
                  </w14:solidFill>
                </w14:textFill>
              </w:rPr>
              <w:t>2929198910271517</w:t>
            </w:r>
          </w:p>
        </w:tc>
        <w:tc>
          <w:tcPr>
            <w:tcW w:w="1592" w:type="dxa"/>
            <w:shd w:val="clear" w:color="auto" w:fill="auto"/>
            <w:vAlign w:val="center"/>
          </w:tcPr>
          <w:p w14:paraId="5E211690">
            <w:pPr>
              <w:snapToGrid w:val="0"/>
              <w:spacing w:before="156" w:beforeLines="50" w:line="240" w:lineRule="auto"/>
              <w:ind w:left="0" w:leftChars="0" w:right="0" w:rightChars="0" w:firstLine="0" w:firstLineChars="0"/>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lang w:val="en-US" w:eastAsia="zh-CN"/>
                <w14:textFill>
                  <w14:solidFill>
                    <w14:schemeClr w14:val="tx1"/>
                  </w14:solidFill>
                </w14:textFill>
              </w:rPr>
              <w:t>-07-</w:t>
            </w:r>
            <w:r>
              <w:rPr>
                <w:rFonts w:hint="eastAsia" w:ascii="宋体" w:hAnsi="宋体" w:cs="宋体"/>
                <w:color w:val="000000" w:themeColor="text1"/>
                <w:sz w:val="21"/>
                <w:szCs w:val="21"/>
                <w:highlight w:val="none"/>
                <w:lang w:val="en-US" w:eastAsia="zh-CN"/>
                <w14:textFill>
                  <w14:solidFill>
                    <w14:schemeClr w14:val="tx1"/>
                  </w14:solidFill>
                </w14:textFill>
              </w:rPr>
              <w:t>27</w:t>
            </w:r>
            <w:r>
              <w:rPr>
                <w:rFonts w:hint="eastAsia" w:ascii="宋体" w:hAnsi="宋体" w:eastAsia="宋体" w:cs="宋体"/>
                <w:color w:val="000000" w:themeColor="text1"/>
                <w:sz w:val="21"/>
                <w:szCs w:val="21"/>
                <w:highlight w:val="none"/>
                <w:lang w:val="en-US" w:eastAsia="zh-CN"/>
                <w14:textFill>
                  <w14:solidFill>
                    <w14:schemeClr w14:val="tx1"/>
                  </w14:solidFill>
                </w14:textFill>
              </w:rPr>
              <w:t>至202</w:t>
            </w:r>
            <w:r>
              <w:rPr>
                <w:rFonts w:hint="eastAsia" w:ascii="宋体" w:hAnsi="宋体" w:cs="宋体"/>
                <w:color w:val="000000" w:themeColor="text1"/>
                <w:sz w:val="21"/>
                <w:szCs w:val="21"/>
                <w:highlight w:val="none"/>
                <w:lang w:val="en-US" w:eastAsia="zh-CN"/>
                <w14:textFill>
                  <w14:solidFill>
                    <w14:schemeClr w14:val="tx1"/>
                  </w14:solidFill>
                </w14:textFill>
              </w:rPr>
              <w:t>8</w:t>
            </w:r>
            <w:r>
              <w:rPr>
                <w:rFonts w:hint="eastAsia" w:ascii="宋体" w:hAnsi="宋体" w:eastAsia="宋体" w:cs="宋体"/>
                <w:color w:val="000000" w:themeColor="text1"/>
                <w:sz w:val="21"/>
                <w:szCs w:val="21"/>
                <w:highlight w:val="none"/>
                <w:lang w:val="en-US" w:eastAsia="zh-CN"/>
                <w14:textFill>
                  <w14:solidFill>
                    <w14:schemeClr w14:val="tx1"/>
                  </w14:solidFill>
                </w14:textFill>
              </w:rPr>
              <w:t>-07-</w:t>
            </w:r>
            <w:r>
              <w:rPr>
                <w:rFonts w:hint="eastAsia" w:ascii="宋体" w:hAnsi="宋体" w:cs="宋体"/>
                <w:color w:val="000000" w:themeColor="text1"/>
                <w:sz w:val="21"/>
                <w:szCs w:val="21"/>
                <w:highlight w:val="none"/>
                <w:lang w:val="en-US" w:eastAsia="zh-CN"/>
                <w14:textFill>
                  <w14:solidFill>
                    <w14:schemeClr w14:val="tx1"/>
                  </w14:solidFill>
                </w14:textFill>
              </w:rPr>
              <w:t>26</w:t>
            </w:r>
          </w:p>
        </w:tc>
        <w:tc>
          <w:tcPr>
            <w:tcW w:w="1486" w:type="dxa"/>
            <w:vAlign w:val="center"/>
          </w:tcPr>
          <w:p w14:paraId="42F5E480">
            <w:pPr>
              <w:pStyle w:val="43"/>
              <w:bidi w:val="0"/>
              <w:rPr>
                <w:rFonts w:hint="eastAsia" w:ascii="宋体" w:hAnsi="宋体" w:eastAsia="宋体" w:cs="宋体"/>
                <w:color w:val="000000" w:themeColor="text1"/>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于</w:t>
            </w:r>
            <w:r>
              <w:rPr>
                <w:rFonts w:hint="eastAsia" w:ascii="宋体" w:hAnsi="宋体" w:eastAsia="宋体" w:cs="宋体"/>
                <w:color w:val="000000" w:themeColor="text1"/>
                <w:sz w:val="21"/>
                <w:szCs w:val="21"/>
                <w:highlight w:val="none"/>
                <w:lang w:val="en-US"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lang w:val="en-US" w:eastAsia="zh-CN"/>
                <w14:textFill>
                  <w14:solidFill>
                    <w14:schemeClr w14:val="tx1"/>
                  </w14:solidFill>
                </w14:textFill>
              </w:rPr>
              <w:t>-07-</w:t>
            </w:r>
            <w:r>
              <w:rPr>
                <w:rFonts w:hint="eastAsia" w:ascii="宋体" w:hAnsi="宋体" w:cs="宋体"/>
                <w:color w:val="000000" w:themeColor="text1"/>
                <w:sz w:val="21"/>
                <w:szCs w:val="21"/>
                <w:highlight w:val="none"/>
                <w:lang w:val="en-US" w:eastAsia="zh-CN"/>
                <w14:textFill>
                  <w14:solidFill>
                    <w14:schemeClr w14:val="tx1"/>
                  </w14:solidFill>
                </w14:textFill>
              </w:rPr>
              <w:t>26</w:t>
            </w:r>
            <w:r>
              <w:rPr>
                <w:rFonts w:hint="eastAsia" w:ascii="宋体" w:hAnsi="宋体" w:cs="宋体"/>
                <w:color w:val="000000" w:themeColor="text1"/>
                <w:lang w:val="en-US" w:eastAsia="zh-CN"/>
                <w14:textFill>
                  <w14:solidFill>
                    <w14:schemeClr w14:val="tx1"/>
                  </w14:solidFill>
                </w14:textFill>
              </w:rPr>
              <w:t>前</w:t>
            </w:r>
            <w:r>
              <w:rPr>
                <w:rFonts w:hint="eastAsia" w:ascii="宋体" w:hAnsi="宋体" w:eastAsia="宋体" w:cs="宋体"/>
                <w:color w:val="000000" w:themeColor="text1"/>
                <w:lang w:val="en-US" w:eastAsia="zh-CN"/>
                <w14:textFill>
                  <w14:solidFill>
                    <w14:schemeClr w14:val="tx1"/>
                  </w14:solidFill>
                </w14:textFill>
              </w:rPr>
              <w:t>复审</w:t>
            </w:r>
          </w:p>
        </w:tc>
      </w:tr>
      <w:tr w14:paraId="15A44437">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732" w:type="dxa"/>
            <w:vMerge w:val="continue"/>
            <w:vAlign w:val="center"/>
          </w:tcPr>
          <w:p w14:paraId="28E36625">
            <w:pPr>
              <w:pStyle w:val="26"/>
              <w:keepNext w:val="0"/>
              <w:keepLines w:val="0"/>
              <w:pageBreakBefore w:val="0"/>
              <w:widowControl w:val="0"/>
              <w:tabs>
                <w:tab w:val="left" w:pos="0"/>
              </w:tabs>
              <w:kinsoku/>
              <w:wordWrap/>
              <w:overflowPunct w:val="0"/>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1"/>
                <w:szCs w:val="21"/>
                <w:lang w:val="en-US" w:eastAsia="zh-CN"/>
                <w14:textFill>
                  <w14:solidFill>
                    <w14:schemeClr w14:val="tx1"/>
                  </w14:solidFill>
                </w14:textFill>
              </w:rPr>
            </w:pPr>
          </w:p>
        </w:tc>
        <w:tc>
          <w:tcPr>
            <w:tcW w:w="938" w:type="dxa"/>
            <w:vMerge w:val="continue"/>
            <w:vAlign w:val="center"/>
          </w:tcPr>
          <w:p w14:paraId="23DF5F05">
            <w:pPr>
              <w:pStyle w:val="43"/>
              <w:bidi w:val="0"/>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2051" w:type="dxa"/>
            <w:vAlign w:val="center"/>
          </w:tcPr>
          <w:p w14:paraId="36A16B76">
            <w:pPr>
              <w:pStyle w:val="43"/>
              <w:bidi w:val="0"/>
              <w:ind w:firstLine="0" w:firstLineChars="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高压电工作业</w:t>
            </w:r>
          </w:p>
        </w:tc>
        <w:tc>
          <w:tcPr>
            <w:tcW w:w="2138" w:type="dxa"/>
            <w:vMerge w:val="continue"/>
            <w:shd w:val="clear" w:color="auto" w:fill="auto"/>
            <w:vAlign w:val="center"/>
          </w:tcPr>
          <w:p w14:paraId="522C8B40">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1592" w:type="dxa"/>
            <w:shd w:val="clear" w:color="auto" w:fill="auto"/>
            <w:vAlign w:val="center"/>
          </w:tcPr>
          <w:p w14:paraId="2F2081D9">
            <w:pPr>
              <w:snapToGrid w:val="0"/>
              <w:spacing w:before="156" w:beforeLines="50" w:line="240" w:lineRule="auto"/>
              <w:ind w:left="0" w:leftChars="0" w:right="0" w:rightChars="0" w:firstLine="0" w:firstLineChars="0"/>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202</w:t>
            </w:r>
            <w:r>
              <w:rPr>
                <w:rFonts w:hint="eastAsia" w:ascii="宋体" w:hAnsi="宋体" w:cs="宋体"/>
                <w:color w:val="000000" w:themeColor="text1"/>
                <w:sz w:val="21"/>
                <w:szCs w:val="21"/>
                <w:highlight w:val="none"/>
                <w:lang w:val="en-US" w:eastAsia="zh-CN"/>
                <w14:textFill>
                  <w14:solidFill>
                    <w14:schemeClr w14:val="tx1"/>
                  </w14:solidFill>
                </w14:textFill>
              </w:rPr>
              <w:t>0</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12</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lang w:val="en-US" w:eastAsia="zh-CN"/>
                <w14:textFill>
                  <w14:solidFill>
                    <w14:schemeClr w14:val="tx1"/>
                  </w14:solidFill>
                </w14:textFill>
              </w:rPr>
              <w:t>至202</w:t>
            </w:r>
            <w:r>
              <w:rPr>
                <w:rFonts w:hint="eastAsia" w:ascii="宋体" w:hAnsi="宋体" w:cs="宋体"/>
                <w:color w:val="000000" w:themeColor="text1"/>
                <w:sz w:val="21"/>
                <w:szCs w:val="21"/>
                <w:highlight w:val="none"/>
                <w:lang w:val="en-US" w:eastAsia="zh-CN"/>
                <w14:textFill>
                  <w14:solidFill>
                    <w14:schemeClr w14:val="tx1"/>
                  </w14:solidFill>
                </w14:textFill>
              </w:rPr>
              <w:t>6</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cs="宋体"/>
                <w:color w:val="000000" w:themeColor="text1"/>
                <w:sz w:val="21"/>
                <w:szCs w:val="21"/>
                <w:highlight w:val="none"/>
                <w:lang w:val="en-US" w:eastAsia="zh-CN"/>
                <w14:textFill>
                  <w14:solidFill>
                    <w14:schemeClr w14:val="tx1"/>
                  </w14:solidFill>
                </w14:textFill>
              </w:rPr>
              <w:t>12</w:t>
            </w: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cs="宋体"/>
                <w:color w:val="000000" w:themeColor="text1"/>
                <w:sz w:val="21"/>
                <w:szCs w:val="21"/>
                <w:highlight w:val="none"/>
                <w:lang w:val="en-US" w:eastAsia="zh-CN"/>
                <w14:textFill>
                  <w14:solidFill>
                    <w14:schemeClr w14:val="tx1"/>
                  </w14:solidFill>
                </w14:textFill>
              </w:rPr>
              <w:t>0</w:t>
            </w:r>
          </w:p>
        </w:tc>
        <w:tc>
          <w:tcPr>
            <w:tcW w:w="1486" w:type="dxa"/>
            <w:vAlign w:val="center"/>
          </w:tcPr>
          <w:p w14:paraId="538965A1">
            <w:pPr>
              <w:pStyle w:val="43"/>
              <w:bidi w:val="0"/>
              <w:rPr>
                <w:rFonts w:hint="eastAsia" w:ascii="宋体" w:hAnsi="宋体" w:eastAsia="宋体" w:cs="宋体"/>
                <w:color w:val="000000" w:themeColor="text1"/>
                <w14:textFill>
                  <w14:solidFill>
                    <w14:schemeClr w14:val="tx1"/>
                  </w14:solidFill>
                </w14:textFill>
              </w:rPr>
            </w:pPr>
          </w:p>
        </w:tc>
      </w:tr>
    </w:tbl>
    <w:p w14:paraId="6362BCDC">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劳保用品发放</w:t>
      </w:r>
      <w:bookmarkEnd w:id="129"/>
    </w:p>
    <w:p w14:paraId="29ABEBE7">
      <w:pPr>
        <w:keepNext w:val="0"/>
        <w:keepLines w:val="0"/>
        <w:widowControl/>
        <w:suppressLineNumbers w:val="0"/>
        <w:jc w:val="left"/>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该公司根据《用人单位劳动防护用品管理规范》(安监总厅安健〔2018〕3号)，为员工配备了防护用品，该公司根据不同工种每月发放劳动防护用品</w:t>
      </w:r>
      <w:r>
        <w:rPr>
          <w:rFonts w:hint="eastAsia" w:ascii="宋体" w:hAnsi="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kern w:val="0"/>
          <w:sz w:val="28"/>
          <w:szCs w:val="28"/>
          <w:lang w:val="en-US" w:eastAsia="zh-CN" w:bidi="ar"/>
          <w14:textFill>
            <w14:solidFill>
              <w14:schemeClr w14:val="tx1"/>
            </w14:solidFill>
          </w14:textFill>
        </w:rPr>
        <w:t>劳动防护用品发放记录见附件1</w:t>
      </w:r>
      <w:r>
        <w:rPr>
          <w:rFonts w:hint="eastAsia" w:ascii="宋体" w:hAnsi="宋体" w:cs="宋体"/>
          <w:color w:val="000000" w:themeColor="text1"/>
          <w:kern w:val="0"/>
          <w:sz w:val="28"/>
          <w:szCs w:val="28"/>
          <w:lang w:val="en-US" w:eastAsia="zh-CN" w:bidi="ar"/>
          <w14:textFill>
            <w14:solidFill>
              <w14:schemeClr w14:val="tx1"/>
            </w14:solidFill>
          </w14:textFill>
        </w:rPr>
        <w:t>8</w:t>
      </w:r>
      <w:r>
        <w:rPr>
          <w:rFonts w:hint="eastAsia" w:ascii="宋体" w:hAnsi="宋体" w:eastAsia="宋体" w:cs="宋体"/>
          <w:color w:val="000000" w:themeColor="text1"/>
          <w:kern w:val="0"/>
          <w:sz w:val="28"/>
          <w:szCs w:val="28"/>
          <w:lang w:val="en-US" w:eastAsia="zh-CN" w:bidi="ar"/>
          <w14:textFill>
            <w14:solidFill>
              <w14:schemeClr w14:val="tx1"/>
            </w14:solidFill>
          </w14:textFill>
        </w:rPr>
        <w:t>劳动防护用品发放记录。</w:t>
      </w:r>
    </w:p>
    <w:p w14:paraId="15AB0576">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30" w:name="_Toc20129"/>
      <w:r>
        <w:rPr>
          <w:rFonts w:hint="eastAsia"/>
          <w:color w:val="000000" w:themeColor="text1"/>
          <w:lang w:val="en-US" w:eastAsia="zh-CN"/>
          <w14:textFill>
            <w14:solidFill>
              <w14:schemeClr w14:val="tx1"/>
            </w14:solidFill>
          </w14:textFill>
        </w:rPr>
        <w:t>保险缴纳情况</w:t>
      </w:r>
      <w:bookmarkEnd w:id="130"/>
    </w:p>
    <w:p w14:paraId="0D2D788B">
      <w:pPr>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该公司按要求为职工缴纳工伤保险。</w:t>
      </w:r>
    </w:p>
    <w:p w14:paraId="4D8CA6B8">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31" w:name="_Toc22880"/>
      <w:r>
        <w:rPr>
          <w:rFonts w:hint="eastAsia"/>
          <w:color w:val="000000" w:themeColor="text1"/>
          <w:lang w:val="en-US" w:eastAsia="zh-CN"/>
          <w14:textFill>
            <w14:solidFill>
              <w14:schemeClr w14:val="tx1"/>
            </w14:solidFill>
          </w14:textFill>
        </w:rPr>
        <w:t>事故预防与应急管理</w:t>
      </w:r>
      <w:bookmarkEnd w:id="131"/>
    </w:p>
    <w:p w14:paraId="2D5EC140">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公司根据生产过程中存在的主要危险因素以及《生产经营单位生产安全事故应急预案编制导则》（GB/T 29639-2020）编制了《华能澜沧江（景洪）新能源有限公司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cs="Times New Roman"/>
          <w:color w:val="000000" w:themeColor="text1"/>
          <w:kern w:val="2"/>
          <w:sz w:val="28"/>
          <w:szCs w:val="28"/>
          <w:lang w:val="en-US" w:eastAsia="zh-CN" w:bidi="ar-SA"/>
          <w14:textFill>
            <w14:solidFill>
              <w14:schemeClr w14:val="tx1"/>
            </w14:solidFill>
          </w14:textFill>
        </w:rPr>
        <w:t>生产安全事故应急救援预案》，配备了应急救援器材，该公司应急救援预案经外部专家评审通过，并于2024年11月29日取得景洪市发展和改革局备案表，备案编号为：532801FG2024005。</w:t>
      </w:r>
    </w:p>
    <w:p w14:paraId="061CA16C">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1.预防事故的设施、设备</w:t>
      </w:r>
    </w:p>
    <w:p w14:paraId="73BC2F21">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预防事故的设施、设备见下表：</w:t>
      </w:r>
    </w:p>
    <w:p w14:paraId="0DF1DAA9">
      <w:pPr>
        <w:pStyle w:val="12"/>
        <w:bidi w:val="0"/>
        <w:rPr>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color w:val="000000" w:themeColor="text1"/>
          <w14:textFill>
            <w14:solidFill>
              <w14:schemeClr w14:val="tx1"/>
            </w14:solidFill>
          </w14:textFill>
        </w:rPr>
        <w:t>预防事故设施、设备表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2446"/>
        <w:gridCol w:w="2683"/>
        <w:gridCol w:w="2647"/>
      </w:tblGrid>
      <w:tr w14:paraId="1C26F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7" w:type="dxa"/>
            <w:tcBorders>
              <w:tl2br w:val="nil"/>
              <w:tr2bl w:val="nil"/>
            </w:tcBorders>
            <w:noWrap w:val="0"/>
            <w:vAlign w:val="center"/>
          </w:tcPr>
          <w:p w14:paraId="2526B729">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2446" w:type="dxa"/>
            <w:tcBorders>
              <w:tl2br w:val="nil"/>
              <w:tr2bl w:val="nil"/>
            </w:tcBorders>
            <w:noWrap w:val="0"/>
            <w:vAlign w:val="center"/>
          </w:tcPr>
          <w:p w14:paraId="348E7575">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设备名称</w:t>
            </w:r>
          </w:p>
        </w:tc>
        <w:tc>
          <w:tcPr>
            <w:tcW w:w="2683" w:type="dxa"/>
            <w:tcBorders>
              <w:tl2br w:val="nil"/>
              <w:tr2bl w:val="nil"/>
            </w:tcBorders>
            <w:noWrap w:val="0"/>
            <w:vAlign w:val="center"/>
          </w:tcPr>
          <w:p w14:paraId="62C2921F">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设置区域</w:t>
            </w:r>
          </w:p>
        </w:tc>
        <w:tc>
          <w:tcPr>
            <w:tcW w:w="2647" w:type="dxa"/>
            <w:tcBorders>
              <w:tl2br w:val="nil"/>
              <w:tr2bl w:val="nil"/>
            </w:tcBorders>
            <w:noWrap w:val="0"/>
            <w:vAlign w:val="center"/>
          </w:tcPr>
          <w:p w14:paraId="14A3B062">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备注</w:t>
            </w:r>
          </w:p>
        </w:tc>
      </w:tr>
      <w:tr w14:paraId="5EAD7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7" w:type="dxa"/>
            <w:tcBorders>
              <w:tl2br w:val="nil"/>
              <w:tr2bl w:val="nil"/>
            </w:tcBorders>
            <w:noWrap w:val="0"/>
            <w:vAlign w:val="center"/>
          </w:tcPr>
          <w:p w14:paraId="1ED5AF12">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1</w:t>
            </w:r>
          </w:p>
        </w:tc>
        <w:tc>
          <w:tcPr>
            <w:tcW w:w="2446" w:type="dxa"/>
            <w:tcBorders>
              <w:tl2br w:val="nil"/>
              <w:tr2bl w:val="nil"/>
            </w:tcBorders>
            <w:noWrap w:val="0"/>
            <w:vAlign w:val="center"/>
          </w:tcPr>
          <w:p w14:paraId="6C7946C3">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机械防护罩</w:t>
            </w:r>
          </w:p>
        </w:tc>
        <w:tc>
          <w:tcPr>
            <w:tcW w:w="2683" w:type="dxa"/>
            <w:tcBorders>
              <w:tl2br w:val="nil"/>
              <w:tr2bl w:val="nil"/>
            </w:tcBorders>
            <w:noWrap w:val="0"/>
            <w:vAlign w:val="center"/>
          </w:tcPr>
          <w:p w14:paraId="6848F100">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机械设备</w:t>
            </w:r>
          </w:p>
        </w:tc>
        <w:tc>
          <w:tcPr>
            <w:tcW w:w="2647" w:type="dxa"/>
            <w:tcBorders>
              <w:tl2br w:val="nil"/>
              <w:tr2bl w:val="nil"/>
            </w:tcBorders>
            <w:noWrap w:val="0"/>
            <w:vAlign w:val="center"/>
          </w:tcPr>
          <w:p w14:paraId="5CED2B5E">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14:paraId="783D4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7" w:type="dxa"/>
            <w:tcBorders>
              <w:tl2br w:val="nil"/>
              <w:tr2bl w:val="nil"/>
            </w:tcBorders>
            <w:noWrap w:val="0"/>
            <w:vAlign w:val="center"/>
          </w:tcPr>
          <w:p w14:paraId="5371000A">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2</w:t>
            </w:r>
          </w:p>
        </w:tc>
        <w:tc>
          <w:tcPr>
            <w:tcW w:w="2446" w:type="dxa"/>
            <w:tcBorders>
              <w:tl2br w:val="nil"/>
              <w:tr2bl w:val="nil"/>
            </w:tcBorders>
            <w:noWrap w:val="0"/>
            <w:vAlign w:val="center"/>
          </w:tcPr>
          <w:p w14:paraId="0CB49387">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防护栏</w:t>
            </w:r>
          </w:p>
        </w:tc>
        <w:tc>
          <w:tcPr>
            <w:tcW w:w="2683" w:type="dxa"/>
            <w:tcBorders>
              <w:tl2br w:val="nil"/>
              <w:tr2bl w:val="nil"/>
            </w:tcBorders>
            <w:noWrap w:val="0"/>
            <w:vAlign w:val="center"/>
          </w:tcPr>
          <w:p w14:paraId="4C71CA48">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设备机组旁及斜梯</w:t>
            </w:r>
          </w:p>
        </w:tc>
        <w:tc>
          <w:tcPr>
            <w:tcW w:w="2647" w:type="dxa"/>
            <w:tcBorders>
              <w:tl2br w:val="nil"/>
              <w:tr2bl w:val="nil"/>
            </w:tcBorders>
            <w:noWrap w:val="0"/>
            <w:vAlign w:val="center"/>
          </w:tcPr>
          <w:p w14:paraId="4688B831">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14:paraId="35942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7" w:type="dxa"/>
            <w:tcBorders>
              <w:tl2br w:val="nil"/>
              <w:tr2bl w:val="nil"/>
            </w:tcBorders>
            <w:noWrap w:val="0"/>
            <w:vAlign w:val="center"/>
          </w:tcPr>
          <w:p w14:paraId="2333538E">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3</w:t>
            </w:r>
          </w:p>
        </w:tc>
        <w:tc>
          <w:tcPr>
            <w:tcW w:w="2446" w:type="dxa"/>
            <w:tcBorders>
              <w:tl2br w:val="nil"/>
              <w:tr2bl w:val="nil"/>
            </w:tcBorders>
            <w:noWrap w:val="0"/>
            <w:vAlign w:val="center"/>
          </w:tcPr>
          <w:p w14:paraId="09E27946">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过载保护器</w:t>
            </w:r>
          </w:p>
        </w:tc>
        <w:tc>
          <w:tcPr>
            <w:tcW w:w="2683" w:type="dxa"/>
            <w:tcBorders>
              <w:tl2br w:val="nil"/>
              <w:tr2bl w:val="nil"/>
            </w:tcBorders>
            <w:noWrap w:val="0"/>
            <w:vAlign w:val="center"/>
          </w:tcPr>
          <w:p w14:paraId="134F52E5">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配电箱</w:t>
            </w:r>
          </w:p>
        </w:tc>
        <w:tc>
          <w:tcPr>
            <w:tcW w:w="2647" w:type="dxa"/>
            <w:tcBorders>
              <w:tl2br w:val="nil"/>
              <w:tr2bl w:val="nil"/>
            </w:tcBorders>
            <w:noWrap w:val="0"/>
            <w:vAlign w:val="center"/>
          </w:tcPr>
          <w:p w14:paraId="32974DAC">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w:t>
            </w:r>
          </w:p>
        </w:tc>
      </w:tr>
      <w:tr w14:paraId="4DD4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7" w:type="dxa"/>
            <w:tcBorders>
              <w:tl2br w:val="nil"/>
              <w:tr2bl w:val="nil"/>
            </w:tcBorders>
            <w:noWrap w:val="0"/>
            <w:vAlign w:val="center"/>
          </w:tcPr>
          <w:p w14:paraId="1E5E9941">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4</w:t>
            </w:r>
          </w:p>
        </w:tc>
        <w:tc>
          <w:tcPr>
            <w:tcW w:w="2446" w:type="dxa"/>
            <w:tcBorders>
              <w:tl2br w:val="nil"/>
              <w:tr2bl w:val="nil"/>
            </w:tcBorders>
            <w:noWrap w:val="0"/>
            <w:vAlign w:val="center"/>
          </w:tcPr>
          <w:p w14:paraId="2613A1EF">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漏电保护器</w:t>
            </w:r>
          </w:p>
        </w:tc>
        <w:tc>
          <w:tcPr>
            <w:tcW w:w="2683" w:type="dxa"/>
            <w:tcBorders>
              <w:tl2br w:val="nil"/>
              <w:tr2bl w:val="nil"/>
            </w:tcBorders>
            <w:noWrap w:val="0"/>
            <w:vAlign w:val="center"/>
          </w:tcPr>
          <w:p w14:paraId="69857895">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配电箱</w:t>
            </w:r>
          </w:p>
        </w:tc>
        <w:tc>
          <w:tcPr>
            <w:tcW w:w="2647" w:type="dxa"/>
            <w:tcBorders>
              <w:tl2br w:val="nil"/>
              <w:tr2bl w:val="nil"/>
            </w:tcBorders>
            <w:noWrap w:val="0"/>
            <w:vAlign w:val="center"/>
          </w:tcPr>
          <w:p w14:paraId="26135D87">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w:t>
            </w:r>
          </w:p>
        </w:tc>
      </w:tr>
      <w:tr w14:paraId="492D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7" w:type="dxa"/>
            <w:tcBorders>
              <w:tl2br w:val="nil"/>
              <w:tr2bl w:val="nil"/>
            </w:tcBorders>
            <w:noWrap w:val="0"/>
            <w:vAlign w:val="center"/>
          </w:tcPr>
          <w:p w14:paraId="57D89F93">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2446" w:type="dxa"/>
            <w:tcBorders>
              <w:tl2br w:val="nil"/>
              <w:tr2bl w:val="nil"/>
            </w:tcBorders>
            <w:noWrap w:val="0"/>
            <w:vAlign w:val="center"/>
          </w:tcPr>
          <w:p w14:paraId="6B210746">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安全标志、标识</w:t>
            </w:r>
          </w:p>
        </w:tc>
        <w:tc>
          <w:tcPr>
            <w:tcW w:w="2683" w:type="dxa"/>
            <w:tcBorders>
              <w:tl2br w:val="nil"/>
              <w:tr2bl w:val="nil"/>
            </w:tcBorders>
            <w:noWrap w:val="0"/>
            <w:vAlign w:val="center"/>
          </w:tcPr>
          <w:p w14:paraId="181AA6EF">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厂区</w:t>
            </w:r>
          </w:p>
        </w:tc>
        <w:tc>
          <w:tcPr>
            <w:tcW w:w="2647" w:type="dxa"/>
            <w:tcBorders>
              <w:tl2br w:val="nil"/>
              <w:tr2bl w:val="nil"/>
            </w:tcBorders>
            <w:noWrap w:val="0"/>
            <w:vAlign w:val="center"/>
          </w:tcPr>
          <w:p w14:paraId="5532F463">
            <w:pPr>
              <w:pStyle w:val="51"/>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bl>
    <w:p w14:paraId="03CDFF99">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9"/>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pPr>
      <w:r>
        <w:rPr>
          <w:rFonts w:hint="eastAsia" w:ascii="宋体" w:hAnsi="宋体" w:cs="Times New Roman"/>
          <w:color w:val="000000" w:themeColor="text1"/>
          <w:kern w:val="2"/>
          <w:sz w:val="28"/>
          <w:szCs w:val="28"/>
          <w:highlight w:val="none"/>
          <w:lang w:val="en-US" w:eastAsia="zh-CN" w:bidi="ar-SA"/>
          <w14:textFill>
            <w14:solidFill>
              <w14:schemeClr w14:val="tx1"/>
            </w14:solidFill>
          </w14:textFill>
        </w:rPr>
        <w:t>2.降低事故灾害的设施、设备</w:t>
      </w:r>
    </w:p>
    <w:p w14:paraId="4862EA7A">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降低事故灾害的设施、设备见下表：</w:t>
      </w:r>
    </w:p>
    <w:p w14:paraId="59718708">
      <w:pPr>
        <w:pStyle w:val="12"/>
        <w:bidi w:val="0"/>
        <w:rPr>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color w:val="000000" w:themeColor="text1"/>
          <w14:textFill>
            <w14:solidFill>
              <w14:schemeClr w14:val="tx1"/>
            </w14:solidFill>
          </w14:textFill>
        </w:rPr>
        <w:t>降低事故灾害设施、设备表</w:t>
      </w:r>
    </w:p>
    <w:tbl>
      <w:tblPr>
        <w:tblStyle w:val="28"/>
        <w:tblW w:w="8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9"/>
        <w:gridCol w:w="654"/>
        <w:gridCol w:w="3646"/>
        <w:gridCol w:w="890"/>
      </w:tblGrid>
      <w:tr w14:paraId="5A0A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99" w:type="dxa"/>
            <w:gridSpan w:val="4"/>
            <w:noWrap w:val="0"/>
            <w:vAlign w:val="center"/>
          </w:tcPr>
          <w:p w14:paraId="71C4E691">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预防事故措施</w:t>
            </w:r>
          </w:p>
        </w:tc>
      </w:tr>
      <w:tr w14:paraId="2FDD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0784736F">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654" w:type="dxa"/>
            <w:noWrap w:val="0"/>
            <w:vAlign w:val="center"/>
          </w:tcPr>
          <w:p w14:paraId="3D0A7383">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3646" w:type="dxa"/>
            <w:noWrap w:val="0"/>
            <w:vAlign w:val="center"/>
          </w:tcPr>
          <w:p w14:paraId="166CBB78">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安装位置</w:t>
            </w:r>
          </w:p>
        </w:tc>
        <w:tc>
          <w:tcPr>
            <w:tcW w:w="890" w:type="dxa"/>
            <w:noWrap w:val="0"/>
            <w:vAlign w:val="center"/>
          </w:tcPr>
          <w:p w14:paraId="763BA5E8">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1D362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3CF4AD8">
            <w:pPr>
              <w:pStyle w:val="51"/>
              <w:keepNext w:val="0"/>
              <w:keepLines w:val="0"/>
              <w:pageBreakBefore w:val="0"/>
              <w:widowControl w:val="0"/>
              <w:kinsoku/>
              <w:bidi w:val="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视频监控系统</w:t>
            </w:r>
          </w:p>
        </w:tc>
        <w:tc>
          <w:tcPr>
            <w:tcW w:w="654" w:type="dxa"/>
            <w:noWrap w:val="0"/>
            <w:vAlign w:val="center"/>
          </w:tcPr>
          <w:p w14:paraId="497BA679">
            <w:pPr>
              <w:pStyle w:val="51"/>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套</w:t>
            </w:r>
          </w:p>
        </w:tc>
        <w:tc>
          <w:tcPr>
            <w:tcW w:w="3646" w:type="dxa"/>
            <w:noWrap w:val="0"/>
            <w:vAlign w:val="center"/>
          </w:tcPr>
          <w:p w14:paraId="3F8FC4AD">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0" w:firstLineChars="0"/>
              <w:jc w:val="left"/>
              <w:textAlignment w:val="auto"/>
              <w:rPr>
                <w:color w:val="000000" w:themeColor="text1"/>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光伏场区每个设置 1 个摄像头，共 10</w:t>
            </w:r>
            <w:r>
              <w:rPr>
                <w:rFonts w:hint="eastAsia" w:ascii="宋体" w:hAnsi="宋体" w:eastAsia="宋体" w:cs="宋体"/>
                <w:color w:val="000000" w:themeColor="text1"/>
                <w:kern w:val="0"/>
                <w:sz w:val="21"/>
                <w:szCs w:val="21"/>
                <w:lang w:val="en-US" w:eastAsia="zh-CN" w:bidi="ar"/>
                <w14:textFill>
                  <w14:solidFill>
                    <w14:schemeClr w14:val="tx1"/>
                  </w14:solidFill>
                </w14:textFill>
              </w:rPr>
              <w:t>个。</w:t>
            </w:r>
          </w:p>
        </w:tc>
        <w:tc>
          <w:tcPr>
            <w:tcW w:w="890" w:type="dxa"/>
            <w:noWrap w:val="0"/>
            <w:vAlign w:val="center"/>
          </w:tcPr>
          <w:p w14:paraId="1BE80C7A">
            <w:pPr>
              <w:pStyle w:val="51"/>
              <w:keepNext w:val="0"/>
              <w:keepLines w:val="0"/>
              <w:pageBreakBefore w:val="0"/>
              <w:widowControl w:val="0"/>
              <w:kinsoku/>
              <w:bidi w:val="0"/>
              <w:rPr>
                <w:color w:val="000000" w:themeColor="text1"/>
                <w14:textFill>
                  <w14:solidFill>
                    <w14:schemeClr w14:val="tx1"/>
                  </w14:solidFill>
                </w14:textFill>
              </w:rPr>
            </w:pPr>
          </w:p>
        </w:tc>
      </w:tr>
      <w:tr w14:paraId="1B54B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2BD9F419">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变电站监控系统</w:t>
            </w:r>
          </w:p>
        </w:tc>
        <w:tc>
          <w:tcPr>
            <w:tcW w:w="654" w:type="dxa"/>
            <w:noWrap w:val="0"/>
            <w:vAlign w:val="center"/>
          </w:tcPr>
          <w:p w14:paraId="0E1F8CDF">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166C5E46">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开关站控制室</w:t>
            </w:r>
          </w:p>
        </w:tc>
        <w:tc>
          <w:tcPr>
            <w:tcW w:w="890" w:type="dxa"/>
            <w:noWrap w:val="0"/>
            <w:vAlign w:val="center"/>
          </w:tcPr>
          <w:p w14:paraId="50661C75">
            <w:pPr>
              <w:pStyle w:val="51"/>
              <w:keepNext w:val="0"/>
              <w:keepLines w:val="0"/>
              <w:pageBreakBefore w:val="0"/>
              <w:widowControl w:val="0"/>
              <w:kinsoku/>
              <w:bidi w:val="0"/>
              <w:rPr>
                <w:color w:val="000000" w:themeColor="text1"/>
                <w14:textFill>
                  <w14:solidFill>
                    <w14:schemeClr w14:val="tx1"/>
                  </w14:solidFill>
                </w14:textFill>
              </w:rPr>
            </w:pPr>
          </w:p>
        </w:tc>
      </w:tr>
      <w:tr w14:paraId="3C6A8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69CEFF42">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微机综合自动化监控装置</w:t>
            </w:r>
          </w:p>
        </w:tc>
        <w:tc>
          <w:tcPr>
            <w:tcW w:w="654" w:type="dxa"/>
            <w:noWrap w:val="0"/>
            <w:vAlign w:val="center"/>
          </w:tcPr>
          <w:p w14:paraId="107FFDAD">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7D9399F8">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开关站控制室</w:t>
            </w:r>
          </w:p>
        </w:tc>
        <w:tc>
          <w:tcPr>
            <w:tcW w:w="890" w:type="dxa"/>
            <w:noWrap w:val="0"/>
            <w:vAlign w:val="center"/>
          </w:tcPr>
          <w:p w14:paraId="138EAA41">
            <w:pPr>
              <w:pStyle w:val="51"/>
              <w:keepNext w:val="0"/>
              <w:keepLines w:val="0"/>
              <w:pageBreakBefore w:val="0"/>
              <w:widowControl w:val="0"/>
              <w:kinsoku/>
              <w:bidi w:val="0"/>
              <w:rPr>
                <w:color w:val="000000" w:themeColor="text1"/>
                <w14:textFill>
                  <w14:solidFill>
                    <w14:schemeClr w14:val="tx1"/>
                  </w14:solidFill>
                </w14:textFill>
              </w:rPr>
            </w:pPr>
          </w:p>
        </w:tc>
      </w:tr>
      <w:tr w14:paraId="26AEF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6A18F7EE">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AGC/AVC</w:t>
            </w:r>
            <w:r>
              <w:rPr>
                <w:color w:val="000000" w:themeColor="text1"/>
                <w14:textFill>
                  <w14:solidFill>
                    <w14:schemeClr w14:val="tx1"/>
                  </w14:solidFill>
                </w14:textFill>
              </w:rPr>
              <w:t>控制系统</w:t>
            </w:r>
          </w:p>
        </w:tc>
        <w:tc>
          <w:tcPr>
            <w:tcW w:w="654" w:type="dxa"/>
            <w:noWrap w:val="0"/>
            <w:vAlign w:val="center"/>
          </w:tcPr>
          <w:p w14:paraId="570ADA42">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54B18BE8">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各配电室</w:t>
            </w:r>
          </w:p>
        </w:tc>
        <w:tc>
          <w:tcPr>
            <w:tcW w:w="890" w:type="dxa"/>
            <w:noWrap w:val="0"/>
            <w:vAlign w:val="center"/>
          </w:tcPr>
          <w:p w14:paraId="67BD2B85">
            <w:pPr>
              <w:pStyle w:val="51"/>
              <w:keepNext w:val="0"/>
              <w:keepLines w:val="0"/>
              <w:pageBreakBefore w:val="0"/>
              <w:widowControl w:val="0"/>
              <w:kinsoku/>
              <w:bidi w:val="0"/>
              <w:rPr>
                <w:color w:val="000000" w:themeColor="text1"/>
                <w14:textFill>
                  <w14:solidFill>
                    <w14:schemeClr w14:val="tx1"/>
                  </w14:solidFill>
                </w14:textFill>
              </w:rPr>
            </w:pPr>
          </w:p>
        </w:tc>
      </w:tr>
      <w:tr w14:paraId="23604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C394520">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GPS</w:t>
            </w:r>
            <w:r>
              <w:rPr>
                <w:color w:val="000000" w:themeColor="text1"/>
                <w14:textFill>
                  <w14:solidFill>
                    <w14:schemeClr w14:val="tx1"/>
                  </w14:solidFill>
                </w14:textFill>
              </w:rPr>
              <w:t>同步对时柜</w:t>
            </w:r>
          </w:p>
        </w:tc>
        <w:tc>
          <w:tcPr>
            <w:tcW w:w="654" w:type="dxa"/>
            <w:noWrap w:val="0"/>
            <w:vAlign w:val="center"/>
          </w:tcPr>
          <w:p w14:paraId="26363BB0">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31796FFF">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开关站控制室</w:t>
            </w:r>
          </w:p>
        </w:tc>
        <w:tc>
          <w:tcPr>
            <w:tcW w:w="890" w:type="dxa"/>
            <w:noWrap w:val="0"/>
            <w:vAlign w:val="center"/>
          </w:tcPr>
          <w:p w14:paraId="6A050299">
            <w:pPr>
              <w:pStyle w:val="51"/>
              <w:keepNext w:val="0"/>
              <w:keepLines w:val="0"/>
              <w:pageBreakBefore w:val="0"/>
              <w:widowControl w:val="0"/>
              <w:kinsoku/>
              <w:bidi w:val="0"/>
              <w:rPr>
                <w:color w:val="000000" w:themeColor="text1"/>
                <w14:textFill>
                  <w14:solidFill>
                    <w14:schemeClr w14:val="tx1"/>
                  </w14:solidFill>
                </w14:textFill>
              </w:rPr>
            </w:pPr>
          </w:p>
        </w:tc>
      </w:tr>
      <w:tr w14:paraId="55774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9B57C0F">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微机五防装置</w:t>
            </w:r>
          </w:p>
        </w:tc>
        <w:tc>
          <w:tcPr>
            <w:tcW w:w="654" w:type="dxa"/>
            <w:noWrap w:val="0"/>
            <w:vAlign w:val="center"/>
          </w:tcPr>
          <w:p w14:paraId="3F134D93">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61E22CF3">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开关站控制室</w:t>
            </w:r>
          </w:p>
        </w:tc>
        <w:tc>
          <w:tcPr>
            <w:tcW w:w="890" w:type="dxa"/>
            <w:noWrap w:val="0"/>
            <w:vAlign w:val="center"/>
          </w:tcPr>
          <w:p w14:paraId="18A2F07F">
            <w:pPr>
              <w:pStyle w:val="51"/>
              <w:keepNext w:val="0"/>
              <w:keepLines w:val="0"/>
              <w:pageBreakBefore w:val="0"/>
              <w:widowControl w:val="0"/>
              <w:kinsoku/>
              <w:bidi w:val="0"/>
              <w:rPr>
                <w:color w:val="000000" w:themeColor="text1"/>
                <w14:textFill>
                  <w14:solidFill>
                    <w14:schemeClr w14:val="tx1"/>
                  </w14:solidFill>
                </w14:textFill>
              </w:rPr>
            </w:pPr>
          </w:p>
        </w:tc>
      </w:tr>
      <w:tr w14:paraId="50682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77A0DAD6">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光伏方阵图像监视及防盗报警系统</w:t>
            </w:r>
          </w:p>
        </w:tc>
        <w:tc>
          <w:tcPr>
            <w:tcW w:w="654" w:type="dxa"/>
            <w:noWrap w:val="0"/>
            <w:vAlign w:val="center"/>
          </w:tcPr>
          <w:p w14:paraId="4F95BA6E">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566685E3">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开关站控制室</w:t>
            </w:r>
          </w:p>
        </w:tc>
        <w:tc>
          <w:tcPr>
            <w:tcW w:w="890" w:type="dxa"/>
            <w:noWrap w:val="0"/>
            <w:vAlign w:val="center"/>
          </w:tcPr>
          <w:p w14:paraId="6EC33D35">
            <w:pPr>
              <w:pStyle w:val="51"/>
              <w:keepNext w:val="0"/>
              <w:keepLines w:val="0"/>
              <w:pageBreakBefore w:val="0"/>
              <w:widowControl w:val="0"/>
              <w:kinsoku/>
              <w:bidi w:val="0"/>
              <w:rPr>
                <w:color w:val="000000" w:themeColor="text1"/>
                <w14:textFill>
                  <w14:solidFill>
                    <w14:schemeClr w14:val="tx1"/>
                  </w14:solidFill>
                </w14:textFill>
              </w:rPr>
            </w:pPr>
          </w:p>
        </w:tc>
      </w:tr>
      <w:tr w14:paraId="039CD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FB84EAD">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火灾报警系统</w:t>
            </w:r>
          </w:p>
        </w:tc>
        <w:tc>
          <w:tcPr>
            <w:tcW w:w="654" w:type="dxa"/>
            <w:noWrap w:val="0"/>
            <w:vAlign w:val="center"/>
          </w:tcPr>
          <w:p w14:paraId="18079F7C">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套</w:t>
            </w:r>
          </w:p>
        </w:tc>
        <w:tc>
          <w:tcPr>
            <w:tcW w:w="3646" w:type="dxa"/>
            <w:noWrap w:val="0"/>
            <w:vAlign w:val="center"/>
          </w:tcPr>
          <w:p w14:paraId="32852788">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开关站控制室</w:t>
            </w:r>
          </w:p>
        </w:tc>
        <w:tc>
          <w:tcPr>
            <w:tcW w:w="890" w:type="dxa"/>
            <w:noWrap w:val="0"/>
            <w:vAlign w:val="center"/>
          </w:tcPr>
          <w:p w14:paraId="4A4E7231">
            <w:pPr>
              <w:pStyle w:val="51"/>
              <w:keepNext w:val="0"/>
              <w:keepLines w:val="0"/>
              <w:pageBreakBefore w:val="0"/>
              <w:widowControl w:val="0"/>
              <w:kinsoku/>
              <w:bidi w:val="0"/>
              <w:rPr>
                <w:color w:val="000000" w:themeColor="text1"/>
                <w14:textFill>
                  <w14:solidFill>
                    <w14:schemeClr w14:val="tx1"/>
                  </w14:solidFill>
                </w14:textFill>
              </w:rPr>
            </w:pPr>
          </w:p>
        </w:tc>
      </w:tr>
      <w:tr w14:paraId="5C7F8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33BEC09C">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继电保护信息柜</w:t>
            </w:r>
          </w:p>
        </w:tc>
        <w:tc>
          <w:tcPr>
            <w:tcW w:w="654" w:type="dxa"/>
            <w:noWrap w:val="0"/>
            <w:vAlign w:val="center"/>
          </w:tcPr>
          <w:p w14:paraId="2CE3DAFB">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5F174D5C">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开关站控制室</w:t>
            </w:r>
          </w:p>
        </w:tc>
        <w:tc>
          <w:tcPr>
            <w:tcW w:w="890" w:type="dxa"/>
            <w:noWrap w:val="0"/>
            <w:vAlign w:val="center"/>
          </w:tcPr>
          <w:p w14:paraId="3B78180A">
            <w:pPr>
              <w:pStyle w:val="51"/>
              <w:keepNext w:val="0"/>
              <w:keepLines w:val="0"/>
              <w:pageBreakBefore w:val="0"/>
              <w:widowControl w:val="0"/>
              <w:kinsoku/>
              <w:bidi w:val="0"/>
              <w:rPr>
                <w:color w:val="000000" w:themeColor="text1"/>
                <w14:textFill>
                  <w14:solidFill>
                    <w14:schemeClr w14:val="tx1"/>
                  </w14:solidFill>
                </w14:textFill>
              </w:rPr>
            </w:pPr>
          </w:p>
        </w:tc>
      </w:tr>
      <w:tr w14:paraId="5B043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4BF5E06E">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35kV无功补偿保护测控装置</w:t>
            </w:r>
          </w:p>
        </w:tc>
        <w:tc>
          <w:tcPr>
            <w:tcW w:w="654" w:type="dxa"/>
            <w:noWrap w:val="0"/>
            <w:vAlign w:val="center"/>
          </w:tcPr>
          <w:p w14:paraId="1FF6A16C">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2668D88D">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无功补偿器</w:t>
            </w:r>
          </w:p>
        </w:tc>
        <w:tc>
          <w:tcPr>
            <w:tcW w:w="890" w:type="dxa"/>
            <w:noWrap w:val="0"/>
            <w:vAlign w:val="center"/>
          </w:tcPr>
          <w:p w14:paraId="17F3E305">
            <w:pPr>
              <w:pStyle w:val="51"/>
              <w:keepNext w:val="0"/>
              <w:keepLines w:val="0"/>
              <w:pageBreakBefore w:val="0"/>
              <w:widowControl w:val="0"/>
              <w:kinsoku/>
              <w:bidi w:val="0"/>
              <w:rPr>
                <w:color w:val="000000" w:themeColor="text1"/>
                <w14:textFill>
                  <w14:solidFill>
                    <w14:schemeClr w14:val="tx1"/>
                  </w14:solidFill>
                </w14:textFill>
              </w:rPr>
            </w:pPr>
          </w:p>
        </w:tc>
      </w:tr>
      <w:tr w14:paraId="21774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7D3C6886">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远动通信柜</w:t>
            </w:r>
          </w:p>
        </w:tc>
        <w:tc>
          <w:tcPr>
            <w:tcW w:w="654" w:type="dxa"/>
            <w:noWrap w:val="0"/>
            <w:vAlign w:val="center"/>
          </w:tcPr>
          <w:p w14:paraId="7228ACBA">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1950062D">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开关站控制室</w:t>
            </w:r>
          </w:p>
        </w:tc>
        <w:tc>
          <w:tcPr>
            <w:tcW w:w="890" w:type="dxa"/>
            <w:noWrap w:val="0"/>
            <w:vAlign w:val="center"/>
          </w:tcPr>
          <w:p w14:paraId="5C2CCFC0">
            <w:pPr>
              <w:pStyle w:val="51"/>
              <w:keepNext w:val="0"/>
              <w:keepLines w:val="0"/>
              <w:pageBreakBefore w:val="0"/>
              <w:widowControl w:val="0"/>
              <w:kinsoku/>
              <w:bidi w:val="0"/>
              <w:rPr>
                <w:color w:val="000000" w:themeColor="text1"/>
                <w14:textFill>
                  <w14:solidFill>
                    <w14:schemeClr w14:val="tx1"/>
                  </w14:solidFill>
                </w14:textFill>
              </w:rPr>
            </w:pPr>
          </w:p>
        </w:tc>
      </w:tr>
      <w:tr w14:paraId="420E8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3B217D2F">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开关站防雷接地</w:t>
            </w:r>
          </w:p>
        </w:tc>
        <w:tc>
          <w:tcPr>
            <w:tcW w:w="654" w:type="dxa"/>
            <w:noWrap w:val="0"/>
            <w:vAlign w:val="center"/>
          </w:tcPr>
          <w:p w14:paraId="72771C98">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12790B65">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开关站</w:t>
            </w:r>
          </w:p>
        </w:tc>
        <w:tc>
          <w:tcPr>
            <w:tcW w:w="890" w:type="dxa"/>
            <w:noWrap w:val="0"/>
            <w:vAlign w:val="center"/>
          </w:tcPr>
          <w:p w14:paraId="482F6983">
            <w:pPr>
              <w:pStyle w:val="51"/>
              <w:keepNext w:val="0"/>
              <w:keepLines w:val="0"/>
              <w:pageBreakBefore w:val="0"/>
              <w:widowControl w:val="0"/>
              <w:kinsoku/>
              <w:bidi w:val="0"/>
              <w:rPr>
                <w:color w:val="000000" w:themeColor="text1"/>
                <w14:textFill>
                  <w14:solidFill>
                    <w14:schemeClr w14:val="tx1"/>
                  </w14:solidFill>
                </w14:textFill>
              </w:rPr>
            </w:pPr>
          </w:p>
        </w:tc>
      </w:tr>
      <w:tr w14:paraId="20869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9DF2A7B">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光伏方阵及逆变器室接地装置</w:t>
            </w:r>
          </w:p>
        </w:tc>
        <w:tc>
          <w:tcPr>
            <w:tcW w:w="654" w:type="dxa"/>
            <w:noWrap w:val="0"/>
            <w:vAlign w:val="center"/>
          </w:tcPr>
          <w:p w14:paraId="094CE4CB">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3EFD4235">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光伏方阵区</w:t>
            </w:r>
          </w:p>
        </w:tc>
        <w:tc>
          <w:tcPr>
            <w:tcW w:w="890" w:type="dxa"/>
            <w:noWrap w:val="0"/>
            <w:vAlign w:val="center"/>
          </w:tcPr>
          <w:p w14:paraId="160A3C2C">
            <w:pPr>
              <w:pStyle w:val="51"/>
              <w:keepNext w:val="0"/>
              <w:keepLines w:val="0"/>
              <w:pageBreakBefore w:val="0"/>
              <w:widowControl w:val="0"/>
              <w:kinsoku/>
              <w:bidi w:val="0"/>
              <w:rPr>
                <w:color w:val="000000" w:themeColor="text1"/>
                <w14:textFill>
                  <w14:solidFill>
                    <w14:schemeClr w14:val="tx1"/>
                  </w14:solidFill>
                </w14:textFill>
              </w:rPr>
            </w:pPr>
          </w:p>
        </w:tc>
      </w:tr>
      <w:tr w14:paraId="7DEDE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AC9450D">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作业平台、楼梯防护栏</w:t>
            </w:r>
          </w:p>
        </w:tc>
        <w:tc>
          <w:tcPr>
            <w:tcW w:w="654" w:type="dxa"/>
            <w:noWrap w:val="0"/>
            <w:vAlign w:val="center"/>
          </w:tcPr>
          <w:p w14:paraId="32D7A091">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若干</w:t>
            </w:r>
          </w:p>
        </w:tc>
        <w:tc>
          <w:tcPr>
            <w:tcW w:w="3646" w:type="dxa"/>
            <w:noWrap w:val="0"/>
            <w:vAlign w:val="center"/>
          </w:tcPr>
          <w:p w14:paraId="2EB1294C">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各作业平台、楼梯等处</w:t>
            </w:r>
          </w:p>
        </w:tc>
        <w:tc>
          <w:tcPr>
            <w:tcW w:w="890" w:type="dxa"/>
            <w:noWrap w:val="0"/>
            <w:vAlign w:val="center"/>
          </w:tcPr>
          <w:p w14:paraId="76F7A1FF">
            <w:pPr>
              <w:pStyle w:val="51"/>
              <w:keepNext w:val="0"/>
              <w:keepLines w:val="0"/>
              <w:pageBreakBefore w:val="0"/>
              <w:widowControl w:val="0"/>
              <w:kinsoku/>
              <w:bidi w:val="0"/>
              <w:rPr>
                <w:color w:val="000000" w:themeColor="text1"/>
                <w14:textFill>
                  <w14:solidFill>
                    <w14:schemeClr w14:val="tx1"/>
                  </w14:solidFill>
                </w14:textFill>
              </w:rPr>
            </w:pPr>
          </w:p>
        </w:tc>
      </w:tr>
      <w:tr w14:paraId="29E01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64C1894B">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接地装置</w:t>
            </w:r>
          </w:p>
        </w:tc>
        <w:tc>
          <w:tcPr>
            <w:tcW w:w="654" w:type="dxa"/>
            <w:noWrap w:val="0"/>
            <w:vAlign w:val="center"/>
          </w:tcPr>
          <w:p w14:paraId="198DE372">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20308E32">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各电器设备</w:t>
            </w:r>
          </w:p>
        </w:tc>
        <w:tc>
          <w:tcPr>
            <w:tcW w:w="890" w:type="dxa"/>
            <w:noWrap w:val="0"/>
            <w:vAlign w:val="center"/>
          </w:tcPr>
          <w:p w14:paraId="0F8887DD">
            <w:pPr>
              <w:pStyle w:val="51"/>
              <w:keepNext w:val="0"/>
              <w:keepLines w:val="0"/>
              <w:pageBreakBefore w:val="0"/>
              <w:widowControl w:val="0"/>
              <w:kinsoku/>
              <w:bidi w:val="0"/>
              <w:rPr>
                <w:color w:val="000000" w:themeColor="text1"/>
                <w14:textFill>
                  <w14:solidFill>
                    <w14:schemeClr w14:val="tx1"/>
                  </w14:solidFill>
                </w14:textFill>
              </w:rPr>
            </w:pPr>
          </w:p>
        </w:tc>
      </w:tr>
      <w:tr w14:paraId="3872D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6CDA81B6">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避雷系统</w:t>
            </w:r>
          </w:p>
        </w:tc>
        <w:tc>
          <w:tcPr>
            <w:tcW w:w="654" w:type="dxa"/>
            <w:noWrap w:val="0"/>
            <w:vAlign w:val="center"/>
          </w:tcPr>
          <w:p w14:paraId="2BC1DA93">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1套</w:t>
            </w:r>
          </w:p>
        </w:tc>
        <w:tc>
          <w:tcPr>
            <w:tcW w:w="3646" w:type="dxa"/>
            <w:noWrap w:val="0"/>
            <w:vAlign w:val="center"/>
          </w:tcPr>
          <w:p w14:paraId="1AEAD689">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厂区内各建（构）筑物及电器设备</w:t>
            </w:r>
          </w:p>
        </w:tc>
        <w:tc>
          <w:tcPr>
            <w:tcW w:w="890" w:type="dxa"/>
            <w:noWrap w:val="0"/>
            <w:vAlign w:val="center"/>
          </w:tcPr>
          <w:p w14:paraId="144408C9">
            <w:pPr>
              <w:pStyle w:val="51"/>
              <w:keepNext w:val="0"/>
              <w:keepLines w:val="0"/>
              <w:pageBreakBefore w:val="0"/>
              <w:widowControl w:val="0"/>
              <w:kinsoku/>
              <w:bidi w:val="0"/>
              <w:rPr>
                <w:color w:val="000000" w:themeColor="text1"/>
                <w14:textFill>
                  <w14:solidFill>
                    <w14:schemeClr w14:val="tx1"/>
                  </w14:solidFill>
                </w14:textFill>
              </w:rPr>
            </w:pPr>
          </w:p>
        </w:tc>
      </w:tr>
      <w:tr w14:paraId="3CF58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7A6D1DA7">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安全防护罩</w:t>
            </w:r>
          </w:p>
        </w:tc>
        <w:tc>
          <w:tcPr>
            <w:tcW w:w="654" w:type="dxa"/>
            <w:noWrap w:val="0"/>
            <w:vAlign w:val="center"/>
          </w:tcPr>
          <w:p w14:paraId="4841FD72">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若干</w:t>
            </w:r>
          </w:p>
        </w:tc>
        <w:tc>
          <w:tcPr>
            <w:tcW w:w="3646" w:type="dxa"/>
            <w:noWrap w:val="0"/>
            <w:vAlign w:val="center"/>
          </w:tcPr>
          <w:p w14:paraId="6F7AAC6F">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zh-CN"/>
                <w14:textFill>
                  <w14:solidFill>
                    <w14:schemeClr w14:val="tx1"/>
                  </w14:solidFill>
                </w14:textFill>
              </w:rPr>
              <w:t>转动设备、皮带机</w:t>
            </w:r>
          </w:p>
        </w:tc>
        <w:tc>
          <w:tcPr>
            <w:tcW w:w="890" w:type="dxa"/>
            <w:noWrap w:val="0"/>
            <w:vAlign w:val="center"/>
          </w:tcPr>
          <w:p w14:paraId="25481F0E">
            <w:pPr>
              <w:pStyle w:val="51"/>
              <w:keepNext w:val="0"/>
              <w:keepLines w:val="0"/>
              <w:pageBreakBefore w:val="0"/>
              <w:widowControl w:val="0"/>
              <w:kinsoku/>
              <w:bidi w:val="0"/>
              <w:rPr>
                <w:color w:val="000000" w:themeColor="text1"/>
                <w14:textFill>
                  <w14:solidFill>
                    <w14:schemeClr w14:val="tx1"/>
                  </w14:solidFill>
                </w14:textFill>
              </w:rPr>
            </w:pPr>
          </w:p>
        </w:tc>
      </w:tr>
      <w:tr w14:paraId="57714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47DF3886">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安全警示标志</w:t>
            </w:r>
          </w:p>
        </w:tc>
        <w:tc>
          <w:tcPr>
            <w:tcW w:w="654" w:type="dxa"/>
            <w:noWrap w:val="0"/>
            <w:vAlign w:val="center"/>
          </w:tcPr>
          <w:p w14:paraId="5F514E51">
            <w:pPr>
              <w:pStyle w:val="51"/>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若干</w:t>
            </w:r>
          </w:p>
        </w:tc>
        <w:tc>
          <w:tcPr>
            <w:tcW w:w="3646" w:type="dxa"/>
            <w:noWrap w:val="0"/>
            <w:vAlign w:val="center"/>
          </w:tcPr>
          <w:p w14:paraId="32CB59A0">
            <w:pPr>
              <w:pStyle w:val="51"/>
              <w:keepNext w:val="0"/>
              <w:keepLines w:val="0"/>
              <w:pageBreakBefore w:val="0"/>
              <w:widowControl w:val="0"/>
              <w:kinsoku/>
              <w:bidi w:val="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厂区道路及各生产动</w:t>
            </w:r>
            <w:r>
              <w:rPr>
                <w:rFonts w:hint="eastAsia" w:ascii="宋体" w:hAnsi="宋体" w:eastAsia="宋体" w:cs="宋体"/>
                <w:color w:val="000000" w:themeColor="text1"/>
                <w:lang w:val="en-US" w:eastAsia="zh-CN"/>
                <w14:textFill>
                  <w14:solidFill>
                    <w14:schemeClr w14:val="tx1"/>
                  </w14:solidFill>
                </w14:textFill>
              </w:rPr>
              <w:t>力</w:t>
            </w:r>
            <w:r>
              <w:rPr>
                <w:rFonts w:hint="eastAsia" w:ascii="宋体" w:hAnsi="宋体" w:eastAsia="宋体" w:cs="宋体"/>
                <w:color w:val="000000" w:themeColor="text1"/>
                <w14:textFill>
                  <w14:solidFill>
                    <w14:schemeClr w14:val="tx1"/>
                  </w14:solidFill>
                </w14:textFill>
              </w:rPr>
              <w:t>设备</w:t>
            </w:r>
          </w:p>
        </w:tc>
        <w:tc>
          <w:tcPr>
            <w:tcW w:w="890" w:type="dxa"/>
            <w:noWrap w:val="0"/>
            <w:vAlign w:val="center"/>
          </w:tcPr>
          <w:p w14:paraId="4D19B9FB">
            <w:pPr>
              <w:pStyle w:val="51"/>
              <w:keepNext w:val="0"/>
              <w:keepLines w:val="0"/>
              <w:pageBreakBefore w:val="0"/>
              <w:widowControl w:val="0"/>
              <w:kinsoku/>
              <w:bidi w:val="0"/>
              <w:rPr>
                <w:color w:val="000000" w:themeColor="text1"/>
                <w14:textFill>
                  <w14:solidFill>
                    <w14:schemeClr w14:val="tx1"/>
                  </w14:solidFill>
                </w14:textFill>
              </w:rPr>
            </w:pPr>
          </w:p>
        </w:tc>
      </w:tr>
      <w:tr w14:paraId="698DA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99" w:type="dxa"/>
            <w:gridSpan w:val="4"/>
            <w:noWrap w:val="0"/>
            <w:vAlign w:val="center"/>
          </w:tcPr>
          <w:p w14:paraId="43902A70">
            <w:pPr>
              <w:pStyle w:val="51"/>
              <w:keepNext w:val="0"/>
              <w:keepLines w:val="0"/>
              <w:pageBreakBefore w:val="0"/>
              <w:widowControl w:val="0"/>
              <w:kinsoku/>
              <w:bidi w:val="0"/>
              <w:rPr>
                <w:color w:val="000000" w:themeColor="text1"/>
                <w14:textFill>
                  <w14:solidFill>
                    <w14:schemeClr w14:val="tx1"/>
                  </w14:solidFill>
                </w14:textFill>
              </w:rPr>
            </w:pPr>
            <w:r>
              <w:rPr>
                <w:rFonts w:hint="eastAsia"/>
                <w:b/>
                <w:bCs/>
                <w:color w:val="000000" w:themeColor="text1"/>
                <w14:textFill>
                  <w14:solidFill>
                    <w14:schemeClr w14:val="tx1"/>
                  </w14:solidFill>
                </w14:textFill>
              </w:rPr>
              <w:t>控制事故措施</w:t>
            </w:r>
          </w:p>
        </w:tc>
      </w:tr>
      <w:tr w14:paraId="5EC5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49B31186">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654" w:type="dxa"/>
            <w:noWrap w:val="0"/>
            <w:vAlign w:val="center"/>
          </w:tcPr>
          <w:p w14:paraId="7BBF0F72">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3646" w:type="dxa"/>
            <w:noWrap w:val="0"/>
            <w:vAlign w:val="center"/>
          </w:tcPr>
          <w:p w14:paraId="79B75F9C">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安装位置</w:t>
            </w:r>
          </w:p>
        </w:tc>
        <w:tc>
          <w:tcPr>
            <w:tcW w:w="890" w:type="dxa"/>
            <w:noWrap w:val="0"/>
            <w:vAlign w:val="center"/>
          </w:tcPr>
          <w:p w14:paraId="2DACB2FA">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317D0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5C069612">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疏散标志及应急照明</w:t>
            </w:r>
          </w:p>
        </w:tc>
        <w:tc>
          <w:tcPr>
            <w:tcW w:w="654" w:type="dxa"/>
            <w:noWrap w:val="0"/>
            <w:vAlign w:val="center"/>
          </w:tcPr>
          <w:p w14:paraId="59444BD7">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3646" w:type="dxa"/>
            <w:noWrap w:val="0"/>
            <w:vAlign w:val="center"/>
          </w:tcPr>
          <w:p w14:paraId="7D4D5D68">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厂区</w:t>
            </w:r>
          </w:p>
        </w:tc>
        <w:tc>
          <w:tcPr>
            <w:tcW w:w="890" w:type="dxa"/>
            <w:noWrap w:val="0"/>
            <w:vAlign w:val="center"/>
          </w:tcPr>
          <w:p w14:paraId="367B5F58">
            <w:pPr>
              <w:pStyle w:val="51"/>
              <w:keepNext w:val="0"/>
              <w:keepLines w:val="0"/>
              <w:pageBreakBefore w:val="0"/>
              <w:widowControl w:val="0"/>
              <w:kinsoku/>
              <w:bidi w:val="0"/>
              <w:rPr>
                <w:color w:val="000000" w:themeColor="text1"/>
                <w14:textFill>
                  <w14:solidFill>
                    <w14:schemeClr w14:val="tx1"/>
                  </w14:solidFill>
                </w14:textFill>
              </w:rPr>
            </w:pPr>
          </w:p>
        </w:tc>
      </w:tr>
      <w:tr w14:paraId="6146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DAB5958">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事故警铃</w:t>
            </w:r>
          </w:p>
        </w:tc>
        <w:tc>
          <w:tcPr>
            <w:tcW w:w="654" w:type="dxa"/>
            <w:noWrap w:val="0"/>
            <w:vAlign w:val="center"/>
          </w:tcPr>
          <w:p w14:paraId="71899075">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4只</w:t>
            </w:r>
          </w:p>
        </w:tc>
        <w:tc>
          <w:tcPr>
            <w:tcW w:w="3646" w:type="dxa"/>
            <w:noWrap w:val="0"/>
            <w:vAlign w:val="center"/>
          </w:tcPr>
          <w:p w14:paraId="0BAB94B7">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890" w:type="dxa"/>
            <w:noWrap w:val="0"/>
            <w:vAlign w:val="center"/>
          </w:tcPr>
          <w:p w14:paraId="349720D9">
            <w:pPr>
              <w:pStyle w:val="51"/>
              <w:keepNext w:val="0"/>
              <w:keepLines w:val="0"/>
              <w:pageBreakBefore w:val="0"/>
              <w:widowControl w:val="0"/>
              <w:kinsoku/>
              <w:bidi w:val="0"/>
              <w:rPr>
                <w:color w:val="000000" w:themeColor="text1"/>
                <w14:textFill>
                  <w14:solidFill>
                    <w14:schemeClr w14:val="tx1"/>
                  </w14:solidFill>
                </w14:textFill>
              </w:rPr>
            </w:pPr>
          </w:p>
        </w:tc>
      </w:tr>
      <w:tr w14:paraId="559C2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71111BD3">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绝缘杆</w:t>
            </w:r>
          </w:p>
        </w:tc>
        <w:tc>
          <w:tcPr>
            <w:tcW w:w="654" w:type="dxa"/>
            <w:noWrap w:val="0"/>
            <w:vAlign w:val="center"/>
          </w:tcPr>
          <w:p w14:paraId="1432E993">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2只</w:t>
            </w:r>
          </w:p>
        </w:tc>
        <w:tc>
          <w:tcPr>
            <w:tcW w:w="3646" w:type="dxa"/>
            <w:noWrap w:val="0"/>
            <w:vAlign w:val="center"/>
          </w:tcPr>
          <w:p w14:paraId="2F2824C8">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各电器设备</w:t>
            </w:r>
          </w:p>
        </w:tc>
        <w:tc>
          <w:tcPr>
            <w:tcW w:w="890" w:type="dxa"/>
            <w:noWrap w:val="0"/>
            <w:vAlign w:val="center"/>
          </w:tcPr>
          <w:p w14:paraId="32A1C5A9">
            <w:pPr>
              <w:pStyle w:val="51"/>
              <w:keepNext w:val="0"/>
              <w:keepLines w:val="0"/>
              <w:pageBreakBefore w:val="0"/>
              <w:widowControl w:val="0"/>
              <w:kinsoku/>
              <w:bidi w:val="0"/>
              <w:rPr>
                <w:color w:val="000000" w:themeColor="text1"/>
                <w14:textFill>
                  <w14:solidFill>
                    <w14:schemeClr w14:val="tx1"/>
                  </w14:solidFill>
                </w14:textFill>
              </w:rPr>
            </w:pPr>
          </w:p>
        </w:tc>
      </w:tr>
      <w:tr w14:paraId="61A73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99" w:type="dxa"/>
            <w:gridSpan w:val="4"/>
            <w:noWrap w:val="0"/>
            <w:vAlign w:val="center"/>
          </w:tcPr>
          <w:p w14:paraId="2C52F5AE">
            <w:pPr>
              <w:pStyle w:val="51"/>
              <w:keepNext w:val="0"/>
              <w:keepLines w:val="0"/>
              <w:pageBreakBefore w:val="0"/>
              <w:widowControl w:val="0"/>
              <w:kinsoku/>
              <w:bidi w:val="0"/>
              <w:rPr>
                <w:color w:val="000000" w:themeColor="text1"/>
                <w14:textFill>
                  <w14:solidFill>
                    <w14:schemeClr w14:val="tx1"/>
                  </w14:solidFill>
                </w14:textFill>
              </w:rPr>
            </w:pPr>
            <w:r>
              <w:rPr>
                <w:rFonts w:hint="eastAsia"/>
                <w:b/>
                <w:bCs/>
                <w:color w:val="000000" w:themeColor="text1"/>
                <w14:textFill>
                  <w14:solidFill>
                    <w14:schemeClr w14:val="tx1"/>
                  </w14:solidFill>
                </w14:textFill>
              </w:rPr>
              <w:t>减少和消除事故影响设施</w:t>
            </w:r>
          </w:p>
        </w:tc>
      </w:tr>
      <w:tr w14:paraId="175EC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3A520312">
            <w:pPr>
              <w:pStyle w:val="51"/>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654" w:type="dxa"/>
            <w:noWrap w:val="0"/>
            <w:vAlign w:val="center"/>
          </w:tcPr>
          <w:p w14:paraId="4437803A">
            <w:pPr>
              <w:pStyle w:val="51"/>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3646" w:type="dxa"/>
            <w:noWrap w:val="0"/>
            <w:vAlign w:val="center"/>
          </w:tcPr>
          <w:p w14:paraId="0BC99AAB">
            <w:pPr>
              <w:pStyle w:val="51"/>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安装位置</w:t>
            </w:r>
          </w:p>
        </w:tc>
        <w:tc>
          <w:tcPr>
            <w:tcW w:w="890" w:type="dxa"/>
            <w:noWrap w:val="0"/>
            <w:vAlign w:val="center"/>
          </w:tcPr>
          <w:p w14:paraId="09D478FF">
            <w:pPr>
              <w:pStyle w:val="51"/>
              <w:keepNext w:val="0"/>
              <w:keepLines w:val="0"/>
              <w:pageBreakBefore w:val="0"/>
              <w:widowControl w:val="0"/>
              <w:kinsoku/>
              <w:bidi w:val="0"/>
              <w:rPr>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14:paraId="5C1BA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12F6E2FE">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手提式干粉灭火器</w:t>
            </w:r>
          </w:p>
        </w:tc>
        <w:tc>
          <w:tcPr>
            <w:tcW w:w="654" w:type="dxa"/>
            <w:noWrap w:val="0"/>
            <w:vAlign w:val="center"/>
          </w:tcPr>
          <w:p w14:paraId="533B7332">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3646" w:type="dxa"/>
            <w:noWrap w:val="0"/>
            <w:vAlign w:val="center"/>
          </w:tcPr>
          <w:p w14:paraId="1DE37F47">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35KV配电室、控制室、继保室、无功补偿设备</w:t>
            </w:r>
          </w:p>
        </w:tc>
        <w:tc>
          <w:tcPr>
            <w:tcW w:w="890" w:type="dxa"/>
            <w:noWrap w:val="0"/>
            <w:vAlign w:val="center"/>
          </w:tcPr>
          <w:p w14:paraId="3253A13E">
            <w:pPr>
              <w:pStyle w:val="51"/>
              <w:keepNext w:val="0"/>
              <w:keepLines w:val="0"/>
              <w:pageBreakBefore w:val="0"/>
              <w:widowControl w:val="0"/>
              <w:kinsoku/>
              <w:bidi w:val="0"/>
              <w:rPr>
                <w:color w:val="000000" w:themeColor="text1"/>
                <w14:textFill>
                  <w14:solidFill>
                    <w14:schemeClr w14:val="tx1"/>
                  </w14:solidFill>
                </w14:textFill>
              </w:rPr>
            </w:pPr>
          </w:p>
        </w:tc>
      </w:tr>
      <w:tr w14:paraId="77E0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7D156F2A">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MT7二氧化碳灭火器</w:t>
            </w:r>
          </w:p>
        </w:tc>
        <w:tc>
          <w:tcPr>
            <w:tcW w:w="654" w:type="dxa"/>
            <w:noWrap w:val="0"/>
            <w:vAlign w:val="center"/>
          </w:tcPr>
          <w:p w14:paraId="0A7ADC85">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2具</w:t>
            </w:r>
          </w:p>
        </w:tc>
        <w:tc>
          <w:tcPr>
            <w:tcW w:w="3646" w:type="dxa"/>
            <w:noWrap w:val="0"/>
            <w:vAlign w:val="center"/>
          </w:tcPr>
          <w:p w14:paraId="31EC547E">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35KV配电室、GIS室、无功功率</w:t>
            </w:r>
          </w:p>
        </w:tc>
        <w:tc>
          <w:tcPr>
            <w:tcW w:w="890" w:type="dxa"/>
            <w:noWrap w:val="0"/>
            <w:vAlign w:val="center"/>
          </w:tcPr>
          <w:p w14:paraId="6E3F1FDB">
            <w:pPr>
              <w:pStyle w:val="51"/>
              <w:keepNext w:val="0"/>
              <w:keepLines w:val="0"/>
              <w:pageBreakBefore w:val="0"/>
              <w:widowControl w:val="0"/>
              <w:kinsoku/>
              <w:bidi w:val="0"/>
              <w:rPr>
                <w:color w:val="000000" w:themeColor="text1"/>
                <w14:textFill>
                  <w14:solidFill>
                    <w14:schemeClr w14:val="tx1"/>
                  </w14:solidFill>
                </w14:textFill>
              </w:rPr>
            </w:pPr>
          </w:p>
        </w:tc>
      </w:tr>
      <w:tr w14:paraId="3C840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47D1BE04">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担架</w:t>
            </w:r>
          </w:p>
        </w:tc>
        <w:tc>
          <w:tcPr>
            <w:tcW w:w="654" w:type="dxa"/>
            <w:noWrap w:val="0"/>
            <w:vAlign w:val="center"/>
          </w:tcPr>
          <w:p w14:paraId="151AE093">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具</w:t>
            </w:r>
          </w:p>
        </w:tc>
        <w:tc>
          <w:tcPr>
            <w:tcW w:w="3646" w:type="dxa"/>
            <w:noWrap w:val="0"/>
            <w:vAlign w:val="center"/>
          </w:tcPr>
          <w:p w14:paraId="7AC165F5">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厂区应急</w:t>
            </w:r>
            <w:r>
              <w:rPr>
                <w:color w:val="000000" w:themeColor="text1"/>
                <w14:textFill>
                  <w14:solidFill>
                    <w14:schemeClr w14:val="tx1"/>
                  </w14:solidFill>
                </w14:textFill>
              </w:rPr>
              <w:t>救援</w:t>
            </w:r>
            <w:r>
              <w:rPr>
                <w:rFonts w:hint="eastAsia"/>
                <w:color w:val="000000" w:themeColor="text1"/>
                <w14:textFill>
                  <w14:solidFill>
                    <w14:schemeClr w14:val="tx1"/>
                  </w14:solidFill>
                </w14:textFill>
              </w:rPr>
              <w:t>器材</w:t>
            </w:r>
            <w:r>
              <w:rPr>
                <w:color w:val="000000" w:themeColor="text1"/>
                <w14:textFill>
                  <w14:solidFill>
                    <w14:schemeClr w14:val="tx1"/>
                  </w14:solidFill>
                </w14:textFill>
              </w:rPr>
              <w:t>室</w:t>
            </w:r>
          </w:p>
        </w:tc>
        <w:tc>
          <w:tcPr>
            <w:tcW w:w="890" w:type="dxa"/>
            <w:noWrap w:val="0"/>
            <w:vAlign w:val="center"/>
          </w:tcPr>
          <w:p w14:paraId="20793961">
            <w:pPr>
              <w:pStyle w:val="51"/>
              <w:keepNext w:val="0"/>
              <w:keepLines w:val="0"/>
              <w:pageBreakBefore w:val="0"/>
              <w:widowControl w:val="0"/>
              <w:kinsoku/>
              <w:bidi w:val="0"/>
              <w:rPr>
                <w:color w:val="000000" w:themeColor="text1"/>
                <w14:textFill>
                  <w14:solidFill>
                    <w14:schemeClr w14:val="tx1"/>
                  </w14:solidFill>
                </w14:textFill>
              </w:rPr>
            </w:pPr>
          </w:p>
        </w:tc>
      </w:tr>
      <w:tr w14:paraId="36A1E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109" w:type="dxa"/>
            <w:noWrap w:val="0"/>
            <w:vAlign w:val="center"/>
          </w:tcPr>
          <w:p w14:paraId="68D187D8">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工作服、口罩、手套</w:t>
            </w:r>
          </w:p>
        </w:tc>
        <w:tc>
          <w:tcPr>
            <w:tcW w:w="654" w:type="dxa"/>
            <w:noWrap w:val="0"/>
            <w:vAlign w:val="center"/>
          </w:tcPr>
          <w:p w14:paraId="00B595D2">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3646" w:type="dxa"/>
            <w:noWrap w:val="0"/>
            <w:vAlign w:val="center"/>
          </w:tcPr>
          <w:p w14:paraId="23DF7E76">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定时发放</w:t>
            </w:r>
          </w:p>
        </w:tc>
        <w:tc>
          <w:tcPr>
            <w:tcW w:w="890" w:type="dxa"/>
            <w:noWrap w:val="0"/>
            <w:vAlign w:val="center"/>
          </w:tcPr>
          <w:p w14:paraId="198F38D4">
            <w:pPr>
              <w:pStyle w:val="51"/>
              <w:keepNext w:val="0"/>
              <w:keepLines w:val="0"/>
              <w:pageBreakBefore w:val="0"/>
              <w:widowControl w:val="0"/>
              <w:kinsoku/>
              <w:bidi w:val="0"/>
              <w:rPr>
                <w:color w:val="000000" w:themeColor="text1"/>
                <w14:textFill>
                  <w14:solidFill>
                    <w14:schemeClr w14:val="tx1"/>
                  </w14:solidFill>
                </w14:textFill>
              </w:rPr>
            </w:pPr>
          </w:p>
        </w:tc>
      </w:tr>
    </w:tbl>
    <w:p w14:paraId="6E28644F">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32" w:name="_Toc9805"/>
      <w:r>
        <w:rPr>
          <w:rFonts w:hint="eastAsia"/>
          <w:color w:val="000000" w:themeColor="text1"/>
          <w:lang w:val="en-US" w:eastAsia="zh-CN"/>
          <w14:textFill>
            <w14:solidFill>
              <w14:schemeClr w14:val="tx1"/>
            </w14:solidFill>
          </w14:textFill>
        </w:rPr>
        <w:t>劳动保护</w:t>
      </w:r>
      <w:bookmarkEnd w:id="132"/>
    </w:p>
    <w:p w14:paraId="0CFDB11D">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华能澜沧江（景洪）新能源有限公司依照厂区的作业环境为员工配备了劳动作业防护用品工作服、工作鞋、绝缘鞋、绝缘手套、安全帽等。</w:t>
      </w:r>
    </w:p>
    <w:p w14:paraId="761EE198">
      <w:pPr>
        <w:pStyle w:val="4"/>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33" w:name="_Toc5500"/>
      <w:r>
        <w:rPr>
          <w:rFonts w:hint="eastAsia"/>
          <w:color w:val="000000" w:themeColor="text1"/>
          <w:lang w:val="en-US" w:eastAsia="zh-CN"/>
          <w14:textFill>
            <w14:solidFill>
              <w14:schemeClr w14:val="tx1"/>
            </w14:solidFill>
          </w14:textFill>
        </w:rPr>
        <w:t>安全投入</w:t>
      </w:r>
      <w:bookmarkEnd w:id="133"/>
    </w:p>
    <w:p w14:paraId="5780213F">
      <w:pPr>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为保证生产安全，必须进行安全设施投入，项目在进行经济预算时必须预算安全专项资金。主要安全设施包括：预防事故设施中的检测、报警设施、设备安全防护设施、作业场所防护设施、安全警示标志；控制事故设施；减少与消除事故影响措施的防止火灾蔓延设施、消防灭火设施、应</w:t>
      </w:r>
      <w:r>
        <w:rPr>
          <w:rFonts w:hint="eastAsia" w:ascii="Times New Roman" w:hAnsi="Times New Roman" w:eastAsia="宋体" w:cs="Times New Roman"/>
          <w:color w:val="000000" w:themeColor="text1"/>
          <w:lang w:val="en-US" w:eastAsia="zh-CN"/>
          <w14:textFill>
            <w14:solidFill>
              <w14:schemeClr w14:val="tx1"/>
            </w14:solidFill>
          </w14:textFill>
        </w:rPr>
        <w:t>急救援设施、劳动防护用品和装备，以及工伤保险、培训等。</w:t>
      </w:r>
    </w:p>
    <w:p w14:paraId="3477B9F2">
      <w:pPr>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华能澜沧江（景洪）新能源有限公司基诺乡巴卡村洛科新寨光伏电站安全设施专项投入</w:t>
      </w:r>
      <w:r>
        <w:rPr>
          <w:rFonts w:hint="eastAsia" w:cs="Times New Roman"/>
          <w:color w:val="000000" w:themeColor="text1"/>
          <w:lang w:val="en-US" w:eastAsia="zh-CN"/>
          <w14:textFill>
            <w14:solidFill>
              <w14:schemeClr w14:val="tx1"/>
            </w14:solidFill>
          </w14:textFill>
        </w:rPr>
        <w:t>18</w:t>
      </w:r>
      <w:r>
        <w:rPr>
          <w:rFonts w:hint="eastAsia" w:ascii="Times New Roman" w:hAnsi="Times New Roman" w:eastAsia="宋体" w:cs="Times New Roman"/>
          <w:color w:val="000000" w:themeColor="text1"/>
          <w:lang w:val="en-US" w:eastAsia="zh-CN"/>
          <w14:textFill>
            <w14:solidFill>
              <w14:schemeClr w14:val="tx1"/>
            </w14:solidFill>
          </w14:textFill>
        </w:rPr>
        <w:t>万元，具体如下表所示</w:t>
      </w:r>
      <w:r>
        <w:rPr>
          <w:rFonts w:hint="eastAsia"/>
          <w:color w:val="000000" w:themeColor="text1"/>
          <w:lang w:val="en-US" w:eastAsia="zh-CN"/>
          <w14:textFill>
            <w14:solidFill>
              <w14:schemeClr w14:val="tx1"/>
            </w14:solidFill>
          </w14:textFill>
        </w:rPr>
        <w:t>：</w:t>
      </w:r>
    </w:p>
    <w:p w14:paraId="3335D4CC">
      <w:pPr>
        <w:pStyle w:val="12"/>
        <w:bidi w:val="0"/>
        <w:rPr>
          <w:rFonts w:hint="eastAsia"/>
          <w:color w:val="000000" w:themeColor="text1"/>
          <w:lang w:eastAsia="zh-CN"/>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项目安全设施投入</w:t>
      </w:r>
      <w:r>
        <w:rPr>
          <w:color w:val="000000" w:themeColor="text1"/>
          <w14:textFill>
            <w14:solidFill>
              <w14:schemeClr w14:val="tx1"/>
            </w14:solidFill>
          </w14:textFill>
        </w:rPr>
        <w:t>表</w:t>
      </w:r>
    </w:p>
    <w:tbl>
      <w:tblPr>
        <w:tblStyle w:val="28"/>
        <w:tblW w:w="50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36"/>
        <w:gridCol w:w="1493"/>
        <w:gridCol w:w="1303"/>
        <w:gridCol w:w="4386"/>
        <w:gridCol w:w="1280"/>
      </w:tblGrid>
      <w:tr w14:paraId="4523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2" w:hRule="atLeast"/>
          <w:jc w:val="center"/>
        </w:trPr>
        <w:tc>
          <w:tcPr>
            <w:tcW w:w="298" w:type="pct"/>
            <w:tcBorders>
              <w:tl2br w:val="nil"/>
              <w:tr2bl w:val="nil"/>
            </w:tcBorders>
            <w:noWrap w:val="0"/>
            <w:vAlign w:val="center"/>
          </w:tcPr>
          <w:p w14:paraId="48C9AC7C">
            <w:pPr>
              <w:pStyle w:val="50"/>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829" w:type="pct"/>
            <w:tcBorders>
              <w:tl2br w:val="nil"/>
              <w:tr2bl w:val="nil"/>
            </w:tcBorders>
            <w:noWrap w:val="0"/>
            <w:vAlign w:val="center"/>
          </w:tcPr>
          <w:p w14:paraId="4C611661">
            <w:pPr>
              <w:pStyle w:val="50"/>
              <w:bidi w:val="0"/>
              <w:ind w:left="0" w:leftChars="0" w:right="0" w:rightChars="0" w:firstLine="0" w:firstLineChars="0"/>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安全设施名称</w:t>
            </w:r>
          </w:p>
        </w:tc>
        <w:tc>
          <w:tcPr>
            <w:tcW w:w="724" w:type="pct"/>
            <w:tcBorders>
              <w:tl2br w:val="nil"/>
              <w:tr2bl w:val="nil"/>
            </w:tcBorders>
            <w:noWrap w:val="0"/>
            <w:vAlign w:val="center"/>
          </w:tcPr>
          <w:p w14:paraId="3C0C9AB4">
            <w:pPr>
              <w:pStyle w:val="50"/>
              <w:bidi w:val="0"/>
              <w:ind w:left="0" w:leftChars="0" w:right="0" w:rightChars="0" w:firstLine="0" w:firstLineChars="0"/>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安全设施投资</w:t>
            </w:r>
          </w:p>
        </w:tc>
        <w:tc>
          <w:tcPr>
            <w:tcW w:w="2436" w:type="pct"/>
            <w:tcBorders>
              <w:tl2br w:val="nil"/>
              <w:tr2bl w:val="nil"/>
            </w:tcBorders>
            <w:noWrap w:val="0"/>
            <w:vAlign w:val="center"/>
          </w:tcPr>
          <w:p w14:paraId="11048F90">
            <w:pPr>
              <w:pStyle w:val="50"/>
              <w:bidi w:val="0"/>
              <w:ind w:left="0" w:leftChars="0" w:right="0" w:rightChars="0" w:firstLine="0" w:firstLineChars="0"/>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备注</w:t>
            </w:r>
          </w:p>
        </w:tc>
        <w:tc>
          <w:tcPr>
            <w:tcW w:w="711" w:type="pct"/>
            <w:tcBorders>
              <w:tl2br w:val="nil"/>
              <w:tr2bl w:val="nil"/>
            </w:tcBorders>
            <w:noWrap w:val="0"/>
            <w:vAlign w:val="center"/>
          </w:tcPr>
          <w:p w14:paraId="1CA79BC6">
            <w:pPr>
              <w:pStyle w:val="50"/>
              <w:bidi w:val="0"/>
              <w:ind w:left="0" w:leftChars="0" w:right="0" w:rightChars="0" w:firstLine="0" w:firstLineChars="0"/>
              <w:jc w:val="center"/>
              <w:rPr>
                <w:rFonts w:hint="default" w:ascii="Times New Roman" w:hAnsi="Times New Roman" w:eastAsia="宋体" w:cs="Times New Roman"/>
                <w:b/>
                <w:bCs/>
                <w:color w:val="000000" w:themeColor="text1"/>
                <w:lang w:val="en-US" w:eastAsia="zh-CN"/>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占安全设施投资比例%</w:t>
            </w:r>
          </w:p>
        </w:tc>
      </w:tr>
      <w:tr w14:paraId="402F3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298" w:type="pct"/>
            <w:tcBorders>
              <w:tl2br w:val="nil"/>
              <w:tr2bl w:val="nil"/>
            </w:tcBorders>
            <w:noWrap w:val="0"/>
            <w:vAlign w:val="center"/>
          </w:tcPr>
          <w:p w14:paraId="4FF3CEE0">
            <w:pPr>
              <w:pStyle w:val="50"/>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829" w:type="pct"/>
            <w:tcBorders>
              <w:tl2br w:val="nil"/>
              <w:tr2bl w:val="nil"/>
            </w:tcBorders>
            <w:noWrap w:val="0"/>
            <w:vAlign w:val="center"/>
          </w:tcPr>
          <w:p w14:paraId="01FC5465">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主要安全设施</w:t>
            </w:r>
          </w:p>
        </w:tc>
        <w:tc>
          <w:tcPr>
            <w:tcW w:w="724" w:type="pct"/>
            <w:tcBorders>
              <w:tl2br w:val="nil"/>
              <w:tr2bl w:val="nil"/>
            </w:tcBorders>
            <w:noWrap w:val="0"/>
            <w:vAlign w:val="center"/>
          </w:tcPr>
          <w:p w14:paraId="6090A329">
            <w:pPr>
              <w:adjustRightInd w:val="0"/>
              <w:snapToGrid w:val="0"/>
              <w:spacing w:line="340" w:lineRule="exact"/>
              <w:ind w:left="0" w:leftChars="0" w:right="0" w:rightChars="0"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2.25</w:t>
            </w:r>
          </w:p>
        </w:tc>
        <w:tc>
          <w:tcPr>
            <w:tcW w:w="2436" w:type="pct"/>
            <w:tcBorders>
              <w:tl2br w:val="nil"/>
              <w:tr2bl w:val="nil"/>
            </w:tcBorders>
            <w:noWrap w:val="0"/>
            <w:vAlign w:val="center"/>
          </w:tcPr>
          <w:p w14:paraId="0C6BD07C">
            <w:pPr>
              <w:pStyle w:val="50"/>
              <w:bidi w:val="0"/>
              <w:rPr>
                <w:color w:val="000000" w:themeColor="text1"/>
                <w14:textFill>
                  <w14:solidFill>
                    <w14:schemeClr w14:val="tx1"/>
                  </w14:solidFill>
                </w14:textFill>
              </w:rPr>
            </w:pPr>
            <w:r>
              <w:rPr>
                <w:color w:val="000000" w:themeColor="text1"/>
                <w14:textFill>
                  <w14:solidFill>
                    <w14:schemeClr w14:val="tx1"/>
                  </w14:solidFill>
                </w14:textFill>
              </w:rPr>
              <w:t>包括：设备防护装置、防雷、防静电及接地系统、灭火器、风机、消防设施等费用。</w:t>
            </w:r>
          </w:p>
        </w:tc>
        <w:tc>
          <w:tcPr>
            <w:tcW w:w="711" w:type="pct"/>
            <w:tcBorders>
              <w:tl2br w:val="nil"/>
              <w:tr2bl w:val="nil"/>
            </w:tcBorders>
            <w:noWrap w:val="0"/>
            <w:vAlign w:val="center"/>
          </w:tcPr>
          <w:p w14:paraId="418E94A6">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r>
      <w:tr w14:paraId="602B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298" w:type="pct"/>
            <w:tcBorders>
              <w:tl2br w:val="nil"/>
              <w:tr2bl w:val="nil"/>
            </w:tcBorders>
            <w:noWrap w:val="0"/>
            <w:vAlign w:val="center"/>
          </w:tcPr>
          <w:p w14:paraId="03276960">
            <w:pPr>
              <w:pStyle w:val="50"/>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829" w:type="pct"/>
            <w:tcBorders>
              <w:tl2br w:val="nil"/>
              <w:tr2bl w:val="nil"/>
            </w:tcBorders>
            <w:noWrap w:val="0"/>
            <w:vAlign w:val="center"/>
          </w:tcPr>
          <w:p w14:paraId="5036C455">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监控装备</w:t>
            </w:r>
          </w:p>
        </w:tc>
        <w:tc>
          <w:tcPr>
            <w:tcW w:w="724" w:type="pct"/>
            <w:tcBorders>
              <w:tl2br w:val="nil"/>
              <w:tr2bl w:val="nil"/>
            </w:tcBorders>
            <w:noWrap w:val="0"/>
            <w:vAlign w:val="center"/>
          </w:tcPr>
          <w:p w14:paraId="31F1A160">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w:t>
            </w:r>
          </w:p>
        </w:tc>
        <w:tc>
          <w:tcPr>
            <w:tcW w:w="2436" w:type="pct"/>
            <w:tcBorders>
              <w:tl2br w:val="nil"/>
              <w:tr2bl w:val="nil"/>
            </w:tcBorders>
            <w:noWrap w:val="0"/>
            <w:vAlign w:val="center"/>
          </w:tcPr>
          <w:p w14:paraId="16AE57EB">
            <w:pPr>
              <w:pStyle w:val="50"/>
              <w:bidi w:val="0"/>
              <w:rPr>
                <w:color w:val="000000" w:themeColor="text1"/>
                <w14:textFill>
                  <w14:solidFill>
                    <w14:schemeClr w14:val="tx1"/>
                  </w14:solidFill>
                </w14:textFill>
              </w:rPr>
            </w:pPr>
            <w:r>
              <w:rPr>
                <w:color w:val="000000" w:themeColor="text1"/>
                <w14:textFill>
                  <w14:solidFill>
                    <w14:schemeClr w14:val="tx1"/>
                  </w14:solidFill>
                </w14:textFill>
              </w:rPr>
              <w:t>包括：视频监控系统、火灾自动报警、入侵防护系统、</w:t>
            </w:r>
          </w:p>
          <w:p w14:paraId="084BDCD9">
            <w:pPr>
              <w:pStyle w:val="50"/>
              <w:bidi w:val="0"/>
              <w:rPr>
                <w:color w:val="000000" w:themeColor="text1"/>
                <w14:textFill>
                  <w14:solidFill>
                    <w14:schemeClr w14:val="tx1"/>
                  </w14:solidFill>
                </w14:textFill>
              </w:rPr>
            </w:pPr>
            <w:r>
              <w:rPr>
                <w:color w:val="000000" w:themeColor="text1"/>
                <w14:textFill>
                  <w14:solidFill>
                    <w14:schemeClr w14:val="tx1"/>
                  </w14:solidFill>
                </w14:textFill>
              </w:rPr>
              <w:t>微机综合自动化监控装置、AGC/AVC控制系统、微机五防装置、光伏方阵图像监视及防盗报警系统、微机监控调试、继电保护系统等。</w:t>
            </w:r>
          </w:p>
        </w:tc>
        <w:tc>
          <w:tcPr>
            <w:tcW w:w="711" w:type="pct"/>
            <w:tcBorders>
              <w:tl2br w:val="nil"/>
              <w:tr2bl w:val="nil"/>
            </w:tcBorders>
            <w:noWrap w:val="0"/>
            <w:vAlign w:val="center"/>
          </w:tcPr>
          <w:p w14:paraId="2A9BF56B">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66.7</w:t>
            </w:r>
          </w:p>
        </w:tc>
      </w:tr>
      <w:tr w14:paraId="3004A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298" w:type="pct"/>
            <w:tcBorders>
              <w:tl2br w:val="nil"/>
              <w:tr2bl w:val="nil"/>
            </w:tcBorders>
            <w:noWrap w:val="0"/>
            <w:vAlign w:val="center"/>
          </w:tcPr>
          <w:p w14:paraId="46FD17B7">
            <w:pPr>
              <w:pStyle w:val="50"/>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829" w:type="pct"/>
            <w:tcBorders>
              <w:tl2br w:val="nil"/>
              <w:tr2bl w:val="nil"/>
            </w:tcBorders>
            <w:noWrap w:val="0"/>
            <w:vAlign w:val="center"/>
          </w:tcPr>
          <w:p w14:paraId="69C74572">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安全教育装备和安全检测费用</w:t>
            </w:r>
          </w:p>
        </w:tc>
        <w:tc>
          <w:tcPr>
            <w:tcW w:w="724" w:type="pct"/>
            <w:tcBorders>
              <w:tl2br w:val="nil"/>
              <w:tr2bl w:val="nil"/>
            </w:tcBorders>
            <w:noWrap w:val="0"/>
            <w:vAlign w:val="center"/>
          </w:tcPr>
          <w:p w14:paraId="0AE76C42">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2.63</w:t>
            </w:r>
          </w:p>
        </w:tc>
        <w:tc>
          <w:tcPr>
            <w:tcW w:w="2436" w:type="pct"/>
            <w:tcBorders>
              <w:tl2br w:val="nil"/>
              <w:tr2bl w:val="nil"/>
            </w:tcBorders>
            <w:noWrap w:val="0"/>
            <w:vAlign w:val="center"/>
          </w:tcPr>
          <w:p w14:paraId="42399B71">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包括：培训装备费用、教育费用，安全设施检测费用。</w:t>
            </w:r>
          </w:p>
        </w:tc>
        <w:tc>
          <w:tcPr>
            <w:tcW w:w="711" w:type="pct"/>
            <w:tcBorders>
              <w:tl2br w:val="nil"/>
              <w:tr2bl w:val="nil"/>
            </w:tcBorders>
            <w:noWrap w:val="0"/>
            <w:vAlign w:val="center"/>
          </w:tcPr>
          <w:p w14:paraId="6EA11024">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14.6</w:t>
            </w:r>
          </w:p>
        </w:tc>
      </w:tr>
      <w:tr w14:paraId="47435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jc w:val="center"/>
        </w:trPr>
        <w:tc>
          <w:tcPr>
            <w:tcW w:w="298" w:type="pct"/>
            <w:tcBorders>
              <w:tl2br w:val="nil"/>
              <w:tr2bl w:val="nil"/>
            </w:tcBorders>
            <w:noWrap w:val="0"/>
            <w:vAlign w:val="center"/>
          </w:tcPr>
          <w:p w14:paraId="22EA3F41">
            <w:pPr>
              <w:pStyle w:val="50"/>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829" w:type="pct"/>
            <w:tcBorders>
              <w:tl2br w:val="nil"/>
              <w:tr2bl w:val="nil"/>
            </w:tcBorders>
            <w:noWrap w:val="0"/>
            <w:vAlign w:val="center"/>
          </w:tcPr>
          <w:p w14:paraId="63A5E4DD">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事故应急防护费用</w:t>
            </w:r>
          </w:p>
        </w:tc>
        <w:tc>
          <w:tcPr>
            <w:tcW w:w="724" w:type="pct"/>
            <w:tcBorders>
              <w:tl2br w:val="nil"/>
              <w:tr2bl w:val="nil"/>
            </w:tcBorders>
            <w:noWrap w:val="0"/>
            <w:vAlign w:val="center"/>
          </w:tcPr>
          <w:p w14:paraId="495D255D">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0.75</w:t>
            </w:r>
          </w:p>
        </w:tc>
        <w:tc>
          <w:tcPr>
            <w:tcW w:w="2436" w:type="pct"/>
            <w:tcBorders>
              <w:tl2br w:val="nil"/>
              <w:tr2bl w:val="nil"/>
            </w:tcBorders>
            <w:noWrap w:val="0"/>
            <w:vAlign w:val="center"/>
          </w:tcPr>
          <w:p w14:paraId="4AD36CE9">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应急演练、应急培训、</w:t>
            </w:r>
            <w:r>
              <w:rPr>
                <w:rFonts w:hint="eastAsia"/>
                <w:color w:val="000000" w:themeColor="text1"/>
                <w:lang w:eastAsia="zh-CN"/>
                <w14:textFill>
                  <w14:solidFill>
                    <w14:schemeClr w14:val="tx1"/>
                  </w14:solidFill>
                </w14:textFill>
              </w:rPr>
              <w:t>应急物资</w:t>
            </w:r>
            <w:r>
              <w:rPr>
                <w:color w:val="000000" w:themeColor="text1"/>
                <w14:textFill>
                  <w14:solidFill>
                    <w14:schemeClr w14:val="tx1"/>
                  </w14:solidFill>
                </w14:textFill>
              </w:rPr>
              <w:t>等。</w:t>
            </w:r>
          </w:p>
        </w:tc>
        <w:tc>
          <w:tcPr>
            <w:tcW w:w="711" w:type="pct"/>
            <w:tcBorders>
              <w:tl2br w:val="nil"/>
              <w:tr2bl w:val="nil"/>
            </w:tcBorders>
            <w:noWrap w:val="0"/>
            <w:vAlign w:val="center"/>
          </w:tcPr>
          <w:p w14:paraId="31239950">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4.2</w:t>
            </w:r>
          </w:p>
        </w:tc>
      </w:tr>
      <w:tr w14:paraId="19F14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98" w:type="pct"/>
            <w:tcBorders>
              <w:tl2br w:val="nil"/>
              <w:tr2bl w:val="nil"/>
            </w:tcBorders>
            <w:noWrap w:val="0"/>
            <w:vAlign w:val="center"/>
          </w:tcPr>
          <w:p w14:paraId="742B1875">
            <w:pPr>
              <w:pStyle w:val="50"/>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829" w:type="pct"/>
            <w:tcBorders>
              <w:tl2br w:val="nil"/>
              <w:tr2bl w:val="nil"/>
            </w:tcBorders>
            <w:noWrap w:val="0"/>
            <w:vAlign w:val="center"/>
          </w:tcPr>
          <w:p w14:paraId="6A858944">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其它安全设施费用</w:t>
            </w:r>
          </w:p>
        </w:tc>
        <w:tc>
          <w:tcPr>
            <w:tcW w:w="724" w:type="pct"/>
            <w:tcBorders>
              <w:tl2br w:val="nil"/>
              <w:tr2bl w:val="nil"/>
            </w:tcBorders>
            <w:noWrap w:val="0"/>
            <w:vAlign w:val="center"/>
          </w:tcPr>
          <w:p w14:paraId="27EBE36C">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0.37</w:t>
            </w:r>
          </w:p>
        </w:tc>
        <w:tc>
          <w:tcPr>
            <w:tcW w:w="2436" w:type="pct"/>
            <w:tcBorders>
              <w:tl2br w:val="nil"/>
              <w:tr2bl w:val="nil"/>
            </w:tcBorders>
            <w:noWrap w:val="0"/>
            <w:vAlign w:val="center"/>
          </w:tcPr>
          <w:p w14:paraId="4A1EE5EC">
            <w:pPr>
              <w:pStyle w:val="50"/>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事故应急照明、安全标识、防护栏杆、防护罩、劳保用品。</w:t>
            </w:r>
          </w:p>
        </w:tc>
        <w:tc>
          <w:tcPr>
            <w:tcW w:w="711" w:type="pct"/>
            <w:tcBorders>
              <w:tl2br w:val="nil"/>
              <w:tr2bl w:val="nil"/>
            </w:tcBorders>
            <w:noWrap w:val="0"/>
            <w:vAlign w:val="center"/>
          </w:tcPr>
          <w:p w14:paraId="243BB1AF">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2.0</w:t>
            </w:r>
          </w:p>
        </w:tc>
      </w:tr>
      <w:tr w14:paraId="53B41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jc w:val="center"/>
        </w:trPr>
        <w:tc>
          <w:tcPr>
            <w:tcW w:w="298" w:type="pct"/>
            <w:tcBorders>
              <w:tl2br w:val="nil"/>
              <w:tr2bl w:val="nil"/>
            </w:tcBorders>
            <w:noWrap w:val="0"/>
            <w:vAlign w:val="center"/>
          </w:tcPr>
          <w:p w14:paraId="517FA3AD">
            <w:pPr>
              <w:pStyle w:val="50"/>
              <w:bidi w:val="0"/>
              <w:ind w:left="0" w:leftChars="0" w:right="0" w:rightChars="0" w:firstLine="0" w:firstLineChars="0"/>
              <w:jc w:val="center"/>
              <w:rPr>
                <w:color w:val="000000" w:themeColor="text1"/>
                <w14:textFill>
                  <w14:solidFill>
                    <w14:schemeClr w14:val="tx1"/>
                  </w14:solidFill>
                </w14:textFill>
              </w:rPr>
            </w:pPr>
          </w:p>
        </w:tc>
        <w:tc>
          <w:tcPr>
            <w:tcW w:w="829" w:type="pct"/>
            <w:tcBorders>
              <w:tl2br w:val="nil"/>
              <w:tr2bl w:val="nil"/>
            </w:tcBorders>
            <w:noWrap w:val="0"/>
            <w:vAlign w:val="center"/>
          </w:tcPr>
          <w:p w14:paraId="558533E4">
            <w:pPr>
              <w:pStyle w:val="50"/>
              <w:bidi w:val="0"/>
              <w:rPr>
                <w:color w:val="000000" w:themeColor="text1"/>
                <w14:textFill>
                  <w14:solidFill>
                    <w14:schemeClr w14:val="tx1"/>
                  </w14:solidFill>
                </w14:textFill>
              </w:rPr>
            </w:pPr>
            <w:r>
              <w:rPr>
                <w:color w:val="000000" w:themeColor="text1"/>
                <w14:textFill>
                  <w14:solidFill>
                    <w14:schemeClr w14:val="tx1"/>
                  </w14:solidFill>
                </w14:textFill>
              </w:rPr>
              <w:t>总计</w:t>
            </w:r>
          </w:p>
        </w:tc>
        <w:tc>
          <w:tcPr>
            <w:tcW w:w="724" w:type="pct"/>
            <w:tcBorders>
              <w:tl2br w:val="nil"/>
              <w:tr2bl w:val="nil"/>
            </w:tcBorders>
            <w:noWrap w:val="0"/>
            <w:vAlign w:val="center"/>
          </w:tcPr>
          <w:p w14:paraId="7F258B8C">
            <w:pPr>
              <w:adjustRightInd w:val="0"/>
              <w:snapToGrid w:val="0"/>
              <w:spacing w:line="340" w:lineRule="exact"/>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18.00</w:t>
            </w:r>
          </w:p>
        </w:tc>
        <w:tc>
          <w:tcPr>
            <w:tcW w:w="2436" w:type="pct"/>
            <w:tcBorders>
              <w:tl2br w:val="nil"/>
              <w:tr2bl w:val="nil"/>
            </w:tcBorders>
            <w:noWrap w:val="0"/>
            <w:vAlign w:val="center"/>
          </w:tcPr>
          <w:p w14:paraId="6AFD8DEE">
            <w:pPr>
              <w:pStyle w:val="50"/>
              <w:bidi w:val="0"/>
              <w:rPr>
                <w:color w:val="000000" w:themeColor="text1"/>
                <w14:textFill>
                  <w14:solidFill>
                    <w14:schemeClr w14:val="tx1"/>
                  </w14:solidFill>
                </w14:textFill>
              </w:rPr>
            </w:pPr>
          </w:p>
        </w:tc>
        <w:tc>
          <w:tcPr>
            <w:tcW w:w="711" w:type="pct"/>
            <w:tcBorders>
              <w:tl2br w:val="nil"/>
              <w:tr2bl w:val="nil"/>
            </w:tcBorders>
            <w:noWrap w:val="0"/>
            <w:vAlign w:val="center"/>
          </w:tcPr>
          <w:p w14:paraId="7AD70265">
            <w:pPr>
              <w:adjustRightInd w:val="0"/>
              <w:snapToGrid w:val="0"/>
              <w:spacing w:line="340" w:lineRule="exact"/>
              <w:ind w:firstLine="0" w:firstLineChars="0"/>
              <w:jc w:val="center"/>
              <w:rPr>
                <w:color w:val="000000" w:themeColor="text1"/>
                <w14:textFill>
                  <w14:solidFill>
                    <w14:schemeClr w14:val="tx1"/>
                  </w14:solidFill>
                </w14:textFill>
              </w:rPr>
            </w:pPr>
            <w:r>
              <w:rPr>
                <w:color w:val="000000" w:themeColor="text1"/>
                <w:sz w:val="21"/>
                <w:szCs w:val="21"/>
                <w14:textFill>
                  <w14:solidFill>
                    <w14:schemeClr w14:val="tx1"/>
                  </w14:solidFill>
                </w14:textFill>
              </w:rPr>
              <w:t>100</w:t>
            </w:r>
          </w:p>
        </w:tc>
      </w:tr>
    </w:tbl>
    <w:p w14:paraId="5F35FE97">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电站</w:t>
      </w:r>
      <w:r>
        <w:rPr>
          <w:rFonts w:hint="eastAsia" w:ascii="宋体" w:hAnsi="宋体" w:eastAsia="宋体" w:cs="宋体"/>
          <w:color w:val="000000" w:themeColor="text1"/>
          <w:lang w:val="zh-CN" w:eastAsia="zh-CN"/>
          <w14:textFill>
            <w14:solidFill>
              <w14:schemeClr w14:val="tx1"/>
            </w14:solidFill>
          </w14:textFill>
        </w:rPr>
        <w:t>目前</w:t>
      </w:r>
      <w:r>
        <w:rPr>
          <w:rFonts w:hint="eastAsia" w:ascii="宋体" w:hAnsi="宋体" w:eastAsia="宋体" w:cs="宋体"/>
          <w:color w:val="000000" w:themeColor="text1"/>
          <w:lang w:val="en-US" w:eastAsia="zh-CN"/>
          <w14:textFill>
            <w14:solidFill>
              <w14:schemeClr w14:val="tx1"/>
            </w14:solidFill>
          </w14:textFill>
        </w:rPr>
        <w:t>已按安全设施设计要求进行安全设施专项资金投入，</w:t>
      </w:r>
      <w:r>
        <w:rPr>
          <w:rFonts w:hint="eastAsia" w:ascii="宋体" w:hAnsi="宋体" w:eastAsia="宋体" w:cs="宋体"/>
          <w:color w:val="000000" w:themeColor="text1"/>
          <w:lang w:val="zh-CN" w:eastAsia="zh-CN"/>
          <w14:textFill>
            <w14:solidFill>
              <w14:schemeClr w14:val="tx1"/>
            </w14:solidFill>
          </w14:textFill>
        </w:rPr>
        <w:t>累计专项投</w:t>
      </w:r>
      <w:r>
        <w:rPr>
          <w:rFonts w:hint="eastAsia" w:ascii="宋体" w:hAnsi="宋体" w:eastAsia="宋体" w:cs="宋体"/>
          <w:color w:val="000000" w:themeColor="text1"/>
          <w:lang w:val="en-US" w:eastAsia="zh-CN"/>
          <w14:textFill>
            <w14:solidFill>
              <w14:schemeClr w14:val="tx1"/>
            </w14:solidFill>
          </w14:textFill>
        </w:rPr>
        <w:t>入约18万元。</w:t>
      </w:r>
    </w:p>
    <w:p w14:paraId="5CD9F127">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电站后期</w:t>
      </w:r>
      <w:r>
        <w:rPr>
          <w:rFonts w:hint="eastAsia" w:ascii="宋体" w:hAnsi="宋体" w:eastAsia="宋体" w:cs="宋体"/>
          <w:color w:val="000000" w:themeColor="text1"/>
          <w:lang w:val="zh-CN" w:eastAsia="zh-CN"/>
          <w14:textFill>
            <w14:solidFill>
              <w14:schemeClr w14:val="tx1"/>
            </w14:solidFill>
          </w14:textFill>
        </w:rPr>
        <w:t>生产</w:t>
      </w:r>
      <w:r>
        <w:rPr>
          <w:rFonts w:hint="eastAsia" w:ascii="宋体" w:hAnsi="宋体" w:eastAsia="宋体" w:cs="宋体"/>
          <w:color w:val="000000" w:themeColor="text1"/>
          <w:lang w:val="en-US" w:eastAsia="zh-CN"/>
          <w14:textFill>
            <w14:solidFill>
              <w14:schemeClr w14:val="tx1"/>
            </w14:solidFill>
          </w14:textFill>
        </w:rPr>
        <w:t>运行</w:t>
      </w:r>
      <w:r>
        <w:rPr>
          <w:rFonts w:hint="eastAsia" w:ascii="宋体" w:hAnsi="宋体" w:eastAsia="宋体" w:cs="宋体"/>
          <w:color w:val="000000" w:themeColor="text1"/>
          <w:lang w:val="zh-CN" w:eastAsia="zh-CN"/>
          <w14:textFill>
            <w14:solidFill>
              <w14:schemeClr w14:val="tx1"/>
            </w14:solidFill>
          </w14:textFill>
        </w:rPr>
        <w:t>过程中应</w:t>
      </w:r>
      <w:r>
        <w:rPr>
          <w:rFonts w:hint="eastAsia" w:ascii="宋体" w:hAnsi="宋体" w:eastAsia="宋体" w:cs="宋体"/>
          <w:color w:val="000000" w:themeColor="text1"/>
          <w:lang w:val="en-US" w:eastAsia="zh-CN"/>
          <w14:textFill>
            <w14:solidFill>
              <w14:schemeClr w14:val="tx1"/>
            </w14:solidFill>
          </w14:textFill>
        </w:rPr>
        <w:t>按《企业安全生产费用提取和使用管理办法》（财资〔2022〕136号）第四十三条的要求，以上一年度营业收入为依据，采取超额累退方式确定本年度应计提安全生产费用，并逐月平均提取。</w:t>
      </w:r>
    </w:p>
    <w:p w14:paraId="1DF9528D">
      <w:pPr>
        <w:pStyle w:val="3"/>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34" w:name="_Toc16575"/>
      <w:bookmarkStart w:id="135" w:name="_Toc11833"/>
      <w:bookmarkStart w:id="136" w:name="_Toc11707"/>
      <w:r>
        <w:rPr>
          <w:rFonts w:hint="eastAsia"/>
          <w:color w:val="000000" w:themeColor="text1"/>
          <w:lang w:val="en-US" w:eastAsia="zh-CN"/>
          <w14:textFill>
            <w14:solidFill>
              <w14:schemeClr w14:val="tx1"/>
            </w14:solidFill>
          </w14:textFill>
        </w:rPr>
        <w:t>施工及监理概况</w:t>
      </w:r>
      <w:bookmarkEnd w:id="134"/>
      <w:bookmarkEnd w:id="135"/>
      <w:bookmarkEnd w:id="136"/>
    </w:p>
    <w:p w14:paraId="06BC8357">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39"/>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该电站光伏场区的光伏方阵、土建工程、电气系统由中国水利水电第九工程局有限公司负责施工，施工单位资质情况如下：</w:t>
      </w:r>
    </w:p>
    <w:p w14:paraId="4E6FBFF3">
      <w:pPr>
        <w:pStyle w:val="12"/>
        <w:bidi w:val="0"/>
        <w:rPr>
          <w:color w:val="000000" w:themeColor="text1"/>
          <w14:textFill>
            <w14:solidFill>
              <w14:schemeClr w14:val="tx1"/>
            </w14:solidFill>
          </w14:textFill>
        </w:rPr>
      </w:pPr>
      <w:r>
        <w:rPr>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 xml:space="preserve">2-22 </w:t>
      </w:r>
      <w:r>
        <w:rPr>
          <w:color w:val="000000" w:themeColor="text1"/>
          <w14:textFill>
            <w14:solidFill>
              <w14:schemeClr w14:val="tx1"/>
            </w14:solidFill>
          </w14:textFill>
        </w:rPr>
        <w:t xml:space="preserve"> 施工单位资质情况</w:t>
      </w:r>
    </w:p>
    <w:tbl>
      <w:tblPr>
        <w:tblStyle w:val="49"/>
        <w:tblW w:w="89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
        <w:gridCol w:w="1703"/>
        <w:gridCol w:w="25"/>
        <w:gridCol w:w="2394"/>
        <w:gridCol w:w="2395"/>
        <w:gridCol w:w="2381"/>
        <w:gridCol w:w="25"/>
      </w:tblGrid>
      <w:tr w14:paraId="76379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25" w:type="dxa"/>
          <w:trHeight w:val="449" w:hRule="atLeast"/>
        </w:trPr>
        <w:tc>
          <w:tcPr>
            <w:tcW w:w="1728" w:type="dxa"/>
            <w:gridSpan w:val="2"/>
            <w:noWrap w:val="0"/>
            <w:vAlign w:val="top"/>
          </w:tcPr>
          <w:p w14:paraId="13086C7C">
            <w:pPr>
              <w:pStyle w:val="42"/>
              <w:spacing w:before="185" w:line="229" w:lineRule="auto"/>
              <w:ind w:left="486"/>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单位名称</w:t>
            </w:r>
          </w:p>
        </w:tc>
        <w:tc>
          <w:tcPr>
            <w:tcW w:w="7195" w:type="dxa"/>
            <w:gridSpan w:val="4"/>
            <w:noWrap w:val="0"/>
            <w:vAlign w:val="top"/>
          </w:tcPr>
          <w:p w14:paraId="2DF090B0">
            <w:pPr>
              <w:pStyle w:val="42"/>
              <w:spacing w:before="183" w:line="228" w:lineRule="auto"/>
              <w:ind w:left="193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中国水利水电第</w:t>
            </w:r>
            <w:r>
              <w:rPr>
                <w:rFonts w:hint="eastAsia" w:ascii="宋体" w:hAnsi="宋体" w:eastAsia="宋体" w:cs="宋体"/>
                <w:color w:val="000000" w:themeColor="text1"/>
                <w:spacing w:val="8"/>
                <w:sz w:val="21"/>
                <w:szCs w:val="21"/>
                <w:lang w:val="en-US" w:eastAsia="zh-CN"/>
                <w14:textFill>
                  <w14:solidFill>
                    <w14:schemeClr w14:val="tx1"/>
                  </w14:solidFill>
                </w14:textFill>
              </w:rPr>
              <w:t>九</w:t>
            </w:r>
            <w:r>
              <w:rPr>
                <w:rFonts w:hint="eastAsia" w:ascii="宋体" w:hAnsi="宋体" w:eastAsia="宋体" w:cs="宋体"/>
                <w:color w:val="000000" w:themeColor="text1"/>
                <w:spacing w:val="8"/>
                <w:sz w:val="21"/>
                <w:szCs w:val="21"/>
                <w14:textFill>
                  <w14:solidFill>
                    <w14:schemeClr w14:val="tx1"/>
                  </w14:solidFill>
                </w14:textFill>
              </w:rPr>
              <w:t>工程局有限公司</w:t>
            </w:r>
          </w:p>
        </w:tc>
      </w:tr>
      <w:tr w14:paraId="47464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25" w:type="dxa"/>
          <w:trHeight w:val="564" w:hRule="atLeast"/>
        </w:trPr>
        <w:tc>
          <w:tcPr>
            <w:tcW w:w="1728" w:type="dxa"/>
            <w:gridSpan w:val="2"/>
            <w:noWrap w:val="0"/>
            <w:vAlign w:val="top"/>
          </w:tcPr>
          <w:p w14:paraId="2B6749C1">
            <w:pPr>
              <w:pStyle w:val="42"/>
              <w:spacing w:before="176" w:line="227" w:lineRule="auto"/>
              <w:ind w:left="448"/>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证书名称</w:t>
            </w:r>
          </w:p>
        </w:tc>
        <w:tc>
          <w:tcPr>
            <w:tcW w:w="2394" w:type="dxa"/>
            <w:noWrap w:val="0"/>
            <w:vAlign w:val="top"/>
          </w:tcPr>
          <w:p w14:paraId="4A702D6F">
            <w:pPr>
              <w:pStyle w:val="42"/>
              <w:spacing w:before="176" w:line="227" w:lineRule="auto"/>
              <w:ind w:left="25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建筑业企业资质证书</w:t>
            </w:r>
          </w:p>
        </w:tc>
        <w:tc>
          <w:tcPr>
            <w:tcW w:w="2395" w:type="dxa"/>
            <w:noWrap w:val="0"/>
            <w:vAlign w:val="top"/>
          </w:tcPr>
          <w:p w14:paraId="7E77B5E3">
            <w:pPr>
              <w:pStyle w:val="42"/>
              <w:spacing w:before="176" w:line="227" w:lineRule="auto"/>
              <w:ind w:left="781"/>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证书编号</w:t>
            </w:r>
          </w:p>
        </w:tc>
        <w:tc>
          <w:tcPr>
            <w:tcW w:w="2406" w:type="dxa"/>
            <w:gridSpan w:val="2"/>
            <w:noWrap w:val="0"/>
            <w:vAlign w:val="top"/>
          </w:tcPr>
          <w:p w14:paraId="504C77CD">
            <w:pPr>
              <w:spacing w:before="212" w:line="195" w:lineRule="auto"/>
              <w:ind w:left="654"/>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D15</w:t>
            </w:r>
            <w:r>
              <w:rPr>
                <w:rFonts w:hint="eastAsia" w:ascii="宋体" w:hAnsi="宋体" w:cs="宋体"/>
                <w:color w:val="000000" w:themeColor="text1"/>
                <w:spacing w:val="4"/>
                <w:sz w:val="21"/>
                <w:szCs w:val="21"/>
                <w:lang w:val="en-US" w:eastAsia="zh-CN"/>
                <w14:textFill>
                  <w14:solidFill>
                    <w14:schemeClr w14:val="tx1"/>
                  </w14:solidFill>
                </w14:textFill>
              </w:rPr>
              <w:t>2006684</w:t>
            </w:r>
          </w:p>
        </w:tc>
      </w:tr>
      <w:tr w14:paraId="2F614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25" w:type="dxa"/>
          <w:trHeight w:val="567" w:hRule="atLeast"/>
        </w:trPr>
        <w:tc>
          <w:tcPr>
            <w:tcW w:w="1728" w:type="dxa"/>
            <w:gridSpan w:val="2"/>
            <w:noWrap w:val="0"/>
            <w:vAlign w:val="top"/>
          </w:tcPr>
          <w:p w14:paraId="3D70A65D">
            <w:pPr>
              <w:pStyle w:val="42"/>
              <w:spacing w:before="180" w:line="228" w:lineRule="auto"/>
              <w:ind w:left="44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有效日期</w:t>
            </w:r>
          </w:p>
        </w:tc>
        <w:tc>
          <w:tcPr>
            <w:tcW w:w="2394" w:type="dxa"/>
            <w:noWrap w:val="0"/>
            <w:vAlign w:val="top"/>
          </w:tcPr>
          <w:p w14:paraId="406D934C">
            <w:pPr>
              <w:spacing w:before="216" w:line="195" w:lineRule="auto"/>
              <w:ind w:left="70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2028-12-22</w:t>
            </w:r>
          </w:p>
        </w:tc>
        <w:tc>
          <w:tcPr>
            <w:tcW w:w="2395" w:type="dxa"/>
            <w:noWrap w:val="0"/>
            <w:vAlign w:val="top"/>
          </w:tcPr>
          <w:p w14:paraId="1EEC2E5D">
            <w:pPr>
              <w:pStyle w:val="42"/>
              <w:spacing w:before="180" w:line="227" w:lineRule="auto"/>
              <w:ind w:left="784"/>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发证机关</w:t>
            </w:r>
          </w:p>
        </w:tc>
        <w:tc>
          <w:tcPr>
            <w:tcW w:w="2406" w:type="dxa"/>
            <w:gridSpan w:val="2"/>
            <w:noWrap w:val="0"/>
            <w:vAlign w:val="top"/>
          </w:tcPr>
          <w:p w14:paraId="62FDAAF7">
            <w:pPr>
              <w:pStyle w:val="42"/>
              <w:spacing w:before="43" w:line="237" w:lineRule="auto"/>
              <w:ind w:left="797" w:right="48" w:hanging="726"/>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中华人民共和国住房和城</w:t>
            </w:r>
            <w:r>
              <w:rPr>
                <w:rFonts w:hint="eastAsia" w:ascii="宋体" w:hAnsi="宋体" w:eastAsia="宋体" w:cs="宋体"/>
                <w:color w:val="000000" w:themeColor="text1"/>
                <w:spacing w:val="5"/>
                <w:sz w:val="21"/>
                <w:szCs w:val="21"/>
                <w14:textFill>
                  <w14:solidFill>
                    <w14:schemeClr w14:val="tx1"/>
                  </w14:solidFill>
                </w14:textFill>
              </w:rPr>
              <w:t>乡建设部</w:t>
            </w:r>
          </w:p>
        </w:tc>
      </w:tr>
      <w:tr w14:paraId="3EAC7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25" w:type="dxa"/>
          <w:trHeight w:val="552" w:hRule="atLeast"/>
        </w:trPr>
        <w:tc>
          <w:tcPr>
            <w:tcW w:w="1728" w:type="dxa"/>
            <w:gridSpan w:val="2"/>
            <w:noWrap w:val="0"/>
            <w:vAlign w:val="top"/>
          </w:tcPr>
          <w:p w14:paraId="2D5ACF52">
            <w:pPr>
              <w:pStyle w:val="42"/>
              <w:spacing w:before="170" w:line="228" w:lineRule="auto"/>
              <w:ind w:left="457"/>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3"/>
                <w:sz w:val="21"/>
                <w:szCs w:val="21"/>
                <w14:textFill>
                  <w14:solidFill>
                    <w14:schemeClr w14:val="tx1"/>
                  </w14:solidFill>
                </w14:textFill>
              </w:rPr>
              <w:t>资质范围</w:t>
            </w:r>
          </w:p>
        </w:tc>
        <w:tc>
          <w:tcPr>
            <w:tcW w:w="7195" w:type="dxa"/>
            <w:gridSpan w:val="4"/>
            <w:noWrap w:val="0"/>
            <w:vAlign w:val="top"/>
          </w:tcPr>
          <w:p w14:paraId="64DF3010">
            <w:pPr>
              <w:pStyle w:val="42"/>
              <w:spacing w:before="34" w:line="234" w:lineRule="auto"/>
              <w:ind w:left="9" w:right="5" w:firstLine="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1"/>
                <w:sz w:val="21"/>
                <w:szCs w:val="21"/>
                <w14:textFill>
                  <w14:solidFill>
                    <w14:schemeClr w14:val="tx1"/>
                  </w14:solidFill>
                </w14:textFill>
              </w:rPr>
              <w:t>水利水电工程施工总承包特级；建筑工程施工总承</w:t>
            </w:r>
            <w:r>
              <w:rPr>
                <w:rFonts w:hint="eastAsia" w:cs="宋体"/>
                <w:color w:val="000000" w:themeColor="text1"/>
                <w:spacing w:val="11"/>
                <w:sz w:val="21"/>
                <w:szCs w:val="21"/>
                <w:lang w:val="en-US" w:eastAsia="zh-CN"/>
                <w14:textFill>
                  <w14:solidFill>
                    <w14:schemeClr w14:val="tx1"/>
                  </w14:solidFill>
                </w14:textFill>
              </w:rPr>
              <w:t>特</w:t>
            </w:r>
            <w:r>
              <w:rPr>
                <w:rFonts w:hint="eastAsia" w:ascii="宋体" w:hAnsi="宋体" w:eastAsia="宋体" w:cs="宋体"/>
                <w:color w:val="000000" w:themeColor="text1"/>
                <w:spacing w:val="11"/>
                <w:sz w:val="21"/>
                <w:szCs w:val="21"/>
                <w14:textFill>
                  <w14:solidFill>
                    <w14:schemeClr w14:val="tx1"/>
                  </w14:solidFill>
                </w14:textFill>
              </w:rPr>
              <w:t>级</w:t>
            </w:r>
            <w:r>
              <w:rPr>
                <w:rFonts w:hint="eastAsia" w:cs="宋体"/>
                <w:color w:val="000000" w:themeColor="text1"/>
                <w:spacing w:val="11"/>
                <w:sz w:val="21"/>
                <w:szCs w:val="21"/>
                <w:lang w:eastAsia="zh-CN"/>
                <w14:textFill>
                  <w14:solidFill>
                    <w14:schemeClr w14:val="tx1"/>
                  </w14:solidFill>
                </w14:textFill>
              </w:rPr>
              <w:t>；</w:t>
            </w:r>
            <w:r>
              <w:rPr>
                <w:rFonts w:hint="eastAsia" w:ascii="宋体" w:hAnsi="宋体" w:eastAsia="宋体" w:cs="宋体"/>
                <w:color w:val="000000" w:themeColor="text1"/>
                <w:spacing w:val="11"/>
                <w:sz w:val="21"/>
                <w:szCs w:val="21"/>
                <w14:textFill>
                  <w14:solidFill>
                    <w14:schemeClr w14:val="tx1"/>
                  </w14:solidFill>
                </w14:textFill>
              </w:rPr>
              <w:t>市政公用工程</w:t>
            </w:r>
            <w:r>
              <w:rPr>
                <w:rFonts w:hint="eastAsia" w:ascii="宋体" w:hAnsi="宋体" w:eastAsia="宋体" w:cs="宋体"/>
                <w:color w:val="000000" w:themeColor="text1"/>
                <w:spacing w:val="10"/>
                <w:sz w:val="21"/>
                <w:szCs w:val="21"/>
                <w14:textFill>
                  <w14:solidFill>
                    <w14:schemeClr w14:val="tx1"/>
                  </w14:solidFill>
                </w14:textFill>
              </w:rPr>
              <w:t>施工总</w:t>
            </w:r>
            <w:r>
              <w:rPr>
                <w:rFonts w:hint="eastAsia" w:ascii="宋体" w:hAnsi="宋体" w:eastAsia="宋体" w:cs="宋体"/>
                <w:color w:val="000000" w:themeColor="text1"/>
                <w:spacing w:val="9"/>
                <w:sz w:val="21"/>
                <w:szCs w:val="21"/>
                <w14:textFill>
                  <w14:solidFill>
                    <w14:schemeClr w14:val="tx1"/>
                  </w14:solidFill>
                </w14:textFill>
              </w:rPr>
              <w:t>承包壹级</w:t>
            </w:r>
            <w:r>
              <w:rPr>
                <w:rFonts w:hint="eastAsia" w:cs="宋体"/>
                <w:color w:val="000000" w:themeColor="text1"/>
                <w:spacing w:val="9"/>
                <w:sz w:val="21"/>
                <w:szCs w:val="21"/>
                <w:lang w:eastAsia="zh-CN"/>
                <w14:textFill>
                  <w14:solidFill>
                    <w14:schemeClr w14:val="tx1"/>
                  </w14:solidFill>
                </w14:textFill>
              </w:rPr>
              <w:t>；</w:t>
            </w:r>
            <w:r>
              <w:rPr>
                <w:rFonts w:hint="eastAsia" w:cs="宋体"/>
                <w:color w:val="000000" w:themeColor="text1"/>
                <w:spacing w:val="9"/>
                <w:sz w:val="21"/>
                <w:szCs w:val="21"/>
                <w:lang w:val="en-US" w:eastAsia="zh-CN"/>
                <w14:textFill>
                  <w14:solidFill>
                    <w14:schemeClr w14:val="tx1"/>
                  </w14:solidFill>
                </w14:textFill>
              </w:rPr>
              <w:t>电力</w:t>
            </w:r>
            <w:r>
              <w:rPr>
                <w:rFonts w:hint="eastAsia" w:ascii="宋体" w:hAnsi="宋体" w:eastAsia="宋体" w:cs="宋体"/>
                <w:color w:val="000000" w:themeColor="text1"/>
                <w:spacing w:val="9"/>
                <w:sz w:val="21"/>
                <w:szCs w:val="21"/>
                <w14:textFill>
                  <w14:solidFill>
                    <w14:schemeClr w14:val="tx1"/>
                  </w14:solidFill>
                </w14:textFill>
              </w:rPr>
              <w:t>工程施工总承包壹级；</w:t>
            </w:r>
            <w:r>
              <w:rPr>
                <w:rFonts w:hint="eastAsia" w:cs="宋体"/>
                <w:color w:val="000000" w:themeColor="text1"/>
                <w:spacing w:val="9"/>
                <w:sz w:val="21"/>
                <w:szCs w:val="21"/>
                <w:lang w:val="en-US" w:eastAsia="zh-CN"/>
                <w14:textFill>
                  <w14:solidFill>
                    <w14:schemeClr w14:val="tx1"/>
                  </w14:solidFill>
                </w14:textFill>
              </w:rPr>
              <w:t>矿山</w:t>
            </w:r>
            <w:r>
              <w:rPr>
                <w:rFonts w:hint="eastAsia" w:ascii="宋体" w:hAnsi="宋体" w:eastAsia="宋体" w:cs="宋体"/>
                <w:color w:val="000000" w:themeColor="text1"/>
                <w:spacing w:val="9"/>
                <w:sz w:val="21"/>
                <w:szCs w:val="21"/>
                <w14:textFill>
                  <w14:solidFill>
                    <w14:schemeClr w14:val="tx1"/>
                  </w14:solidFill>
                </w14:textFill>
              </w:rPr>
              <w:t>工程</w:t>
            </w:r>
            <w:r>
              <w:rPr>
                <w:rFonts w:hint="eastAsia" w:cs="宋体"/>
                <w:color w:val="000000" w:themeColor="text1"/>
                <w:spacing w:val="9"/>
                <w:sz w:val="21"/>
                <w:szCs w:val="21"/>
                <w:lang w:val="en-US" w:eastAsia="zh-CN"/>
                <w14:textFill>
                  <w14:solidFill>
                    <w14:schemeClr w14:val="tx1"/>
                  </w14:solidFill>
                </w14:textFill>
              </w:rPr>
              <w:t>施工总</w:t>
            </w:r>
            <w:r>
              <w:rPr>
                <w:rFonts w:hint="eastAsia" w:ascii="宋体" w:hAnsi="宋体" w:eastAsia="宋体" w:cs="宋体"/>
                <w:color w:val="000000" w:themeColor="text1"/>
                <w:spacing w:val="9"/>
                <w:sz w:val="21"/>
                <w:szCs w:val="21"/>
                <w14:textFill>
                  <w14:solidFill>
                    <w14:schemeClr w14:val="tx1"/>
                  </w14:solidFill>
                </w14:textFill>
              </w:rPr>
              <w:t>承包壹级。</w:t>
            </w:r>
          </w:p>
        </w:tc>
      </w:tr>
    </w:tbl>
    <w:p w14:paraId="7F4E2AF9">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39"/>
        <w:textAlignment w:val="auto"/>
        <w:rPr>
          <w:color w:val="000000" w:themeColor="text1"/>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该光伏发电站的监理是由江西同济建设项目管理股份有限公司负责， 监理单位资质情况如下：</w:t>
      </w:r>
    </w:p>
    <w:p w14:paraId="5DA1BB13">
      <w:pPr>
        <w:pStyle w:val="12"/>
        <w:bidi w:val="0"/>
        <w:rPr>
          <w:color w:val="000000" w:themeColor="text1"/>
          <w14:textFill>
            <w14:solidFill>
              <w14:schemeClr w14:val="tx1"/>
            </w14:solidFill>
          </w14:textFill>
        </w:rPr>
      </w:pPr>
      <w:r>
        <w:rPr>
          <w:color w:val="000000" w:themeColor="text1"/>
          <w14:textFill>
            <w14:solidFill>
              <w14:schemeClr w14:val="tx1"/>
            </w14:solidFill>
          </w14:textFill>
        </w:rPr>
        <w:t>表 2-</w:t>
      </w:r>
      <w:r>
        <w:rPr>
          <w:rFonts w:hint="eastAsia"/>
          <w:color w:val="000000" w:themeColor="text1"/>
          <w:lang w:val="en-US" w:eastAsia="zh-CN"/>
          <w14:textFill>
            <w14:solidFill>
              <w14:schemeClr w14:val="tx1"/>
            </w14:solidFill>
          </w14:textFill>
        </w:rPr>
        <w:t>23</w:t>
      </w:r>
      <w:r>
        <w:rPr>
          <w:color w:val="000000" w:themeColor="text1"/>
          <w14:textFill>
            <w14:solidFill>
              <w14:schemeClr w14:val="tx1"/>
            </w14:solidFill>
          </w14:textFill>
        </w:rPr>
        <w:t xml:space="preserve"> 监理单位资质情况</w:t>
      </w:r>
    </w:p>
    <w:tbl>
      <w:tblPr>
        <w:tblStyle w:val="49"/>
        <w:tblW w:w="893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28"/>
        <w:gridCol w:w="2287"/>
        <w:gridCol w:w="1579"/>
        <w:gridCol w:w="3338"/>
      </w:tblGrid>
      <w:tr w14:paraId="23C41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1728" w:type="dxa"/>
            <w:noWrap w:val="0"/>
            <w:vAlign w:val="top"/>
          </w:tcPr>
          <w:p w14:paraId="56F4E130">
            <w:pPr>
              <w:pStyle w:val="42"/>
              <w:spacing w:before="163" w:line="228" w:lineRule="auto"/>
              <w:ind w:left="45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单位名称</w:t>
            </w:r>
          </w:p>
        </w:tc>
        <w:tc>
          <w:tcPr>
            <w:tcW w:w="7204" w:type="dxa"/>
            <w:gridSpan w:val="3"/>
            <w:noWrap w:val="0"/>
            <w:vAlign w:val="top"/>
          </w:tcPr>
          <w:p w14:paraId="2B09D618">
            <w:pPr>
              <w:pStyle w:val="42"/>
              <w:spacing w:before="162" w:line="228" w:lineRule="auto"/>
              <w:ind w:left="1943"/>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江西同济建设项目管理股份有限公司</w:t>
            </w:r>
          </w:p>
        </w:tc>
      </w:tr>
      <w:tr w14:paraId="6CF8D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1728" w:type="dxa"/>
            <w:noWrap w:val="0"/>
            <w:vAlign w:val="top"/>
          </w:tcPr>
          <w:p w14:paraId="12A81CB0">
            <w:pPr>
              <w:pStyle w:val="42"/>
              <w:spacing w:before="157" w:line="227" w:lineRule="auto"/>
              <w:ind w:left="448"/>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证书名称</w:t>
            </w:r>
          </w:p>
        </w:tc>
        <w:tc>
          <w:tcPr>
            <w:tcW w:w="2287" w:type="dxa"/>
            <w:noWrap w:val="0"/>
            <w:vAlign w:val="top"/>
          </w:tcPr>
          <w:p w14:paraId="2AAED5B5">
            <w:pPr>
              <w:pStyle w:val="42"/>
              <w:spacing w:before="157" w:line="227"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工程监理资质证书</w:t>
            </w:r>
          </w:p>
        </w:tc>
        <w:tc>
          <w:tcPr>
            <w:tcW w:w="1579" w:type="dxa"/>
            <w:noWrap w:val="0"/>
            <w:vAlign w:val="top"/>
          </w:tcPr>
          <w:p w14:paraId="7D6E1CA5">
            <w:pPr>
              <w:pStyle w:val="42"/>
              <w:spacing w:before="157" w:line="227"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证书编号</w:t>
            </w:r>
          </w:p>
        </w:tc>
        <w:tc>
          <w:tcPr>
            <w:tcW w:w="3338" w:type="dxa"/>
            <w:noWrap w:val="0"/>
            <w:vAlign w:val="top"/>
          </w:tcPr>
          <w:p w14:paraId="69197439">
            <w:pPr>
              <w:spacing w:before="193" w:line="195" w:lineRule="auto"/>
              <w:ind w:left="672"/>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E1</w:t>
            </w:r>
            <w:r>
              <w:rPr>
                <w:rFonts w:hint="eastAsia" w:ascii="宋体" w:hAnsi="宋体" w:cs="宋体"/>
                <w:color w:val="000000" w:themeColor="text1"/>
                <w:spacing w:val="3"/>
                <w:sz w:val="21"/>
                <w:szCs w:val="21"/>
                <w:lang w:val="en-US" w:eastAsia="zh-CN"/>
                <w14:textFill>
                  <w14:solidFill>
                    <w14:schemeClr w14:val="tx1"/>
                  </w14:solidFill>
                </w14:textFill>
              </w:rPr>
              <w:t>36000378</w:t>
            </w:r>
          </w:p>
        </w:tc>
      </w:tr>
      <w:tr w14:paraId="408829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1728" w:type="dxa"/>
            <w:noWrap w:val="0"/>
            <w:vAlign w:val="top"/>
          </w:tcPr>
          <w:p w14:paraId="38E21748">
            <w:pPr>
              <w:pStyle w:val="42"/>
              <w:spacing w:before="153" w:line="228" w:lineRule="auto"/>
              <w:ind w:left="449"/>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有效日期</w:t>
            </w:r>
          </w:p>
        </w:tc>
        <w:tc>
          <w:tcPr>
            <w:tcW w:w="2287" w:type="dxa"/>
            <w:noWrap w:val="0"/>
            <w:vAlign w:val="top"/>
          </w:tcPr>
          <w:p w14:paraId="75DD2046">
            <w:pPr>
              <w:spacing w:before="189" w:line="195" w:lineRule="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202</w:t>
            </w:r>
            <w:r>
              <w:rPr>
                <w:rFonts w:hint="eastAsia" w:ascii="宋体" w:hAnsi="宋体" w:cs="宋体"/>
                <w:color w:val="000000" w:themeColor="text1"/>
                <w:spacing w:val="4"/>
                <w:sz w:val="21"/>
                <w:szCs w:val="21"/>
                <w:lang w:val="en-US" w:eastAsia="zh-CN"/>
                <w14:textFill>
                  <w14:solidFill>
                    <w14:schemeClr w14:val="tx1"/>
                  </w14:solidFill>
                </w14:textFill>
              </w:rPr>
              <w:t>8</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cs="宋体"/>
                <w:color w:val="000000" w:themeColor="text1"/>
                <w:spacing w:val="4"/>
                <w:sz w:val="21"/>
                <w:szCs w:val="21"/>
                <w:lang w:val="en-US" w:eastAsia="zh-CN"/>
                <w14:textFill>
                  <w14:solidFill>
                    <w14:schemeClr w14:val="tx1"/>
                  </w14:solidFill>
                </w14:textFill>
              </w:rPr>
              <w:t>12</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cs="宋体"/>
                <w:color w:val="000000" w:themeColor="text1"/>
                <w:spacing w:val="4"/>
                <w:sz w:val="21"/>
                <w:szCs w:val="21"/>
                <w:lang w:val="en-US" w:eastAsia="zh-CN"/>
                <w14:textFill>
                  <w14:solidFill>
                    <w14:schemeClr w14:val="tx1"/>
                  </w14:solidFill>
                </w14:textFill>
              </w:rPr>
              <w:t>22</w:t>
            </w:r>
          </w:p>
        </w:tc>
        <w:tc>
          <w:tcPr>
            <w:tcW w:w="1579" w:type="dxa"/>
            <w:noWrap w:val="0"/>
            <w:vAlign w:val="top"/>
          </w:tcPr>
          <w:p w14:paraId="21307548">
            <w:pPr>
              <w:pStyle w:val="42"/>
              <w:spacing w:before="153" w:line="227"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发证机关</w:t>
            </w:r>
          </w:p>
        </w:tc>
        <w:tc>
          <w:tcPr>
            <w:tcW w:w="3338" w:type="dxa"/>
            <w:noWrap w:val="0"/>
            <w:vAlign w:val="top"/>
          </w:tcPr>
          <w:p w14:paraId="16232330">
            <w:pPr>
              <w:pStyle w:val="42"/>
              <w:spacing w:before="152" w:line="228" w:lineRule="auto"/>
              <w:ind w:left="73"/>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中华人民共和国住房和城</w:t>
            </w:r>
            <w:r>
              <w:rPr>
                <w:rFonts w:hint="eastAsia" w:ascii="宋体" w:hAnsi="宋体" w:eastAsia="宋体" w:cs="宋体"/>
                <w:color w:val="000000" w:themeColor="text1"/>
                <w:spacing w:val="5"/>
                <w:sz w:val="21"/>
                <w:szCs w:val="21"/>
                <w14:textFill>
                  <w14:solidFill>
                    <w14:schemeClr w14:val="tx1"/>
                  </w14:solidFill>
                </w14:textFill>
              </w:rPr>
              <w:t>乡建设部</w:t>
            </w:r>
          </w:p>
        </w:tc>
      </w:tr>
    </w:tbl>
    <w:p w14:paraId="17FCB7D8">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39"/>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施工、监理情况详见附件</w:t>
      </w:r>
      <w:r>
        <w:rPr>
          <w:rFonts w:hint="eastAsia" w:ascii="宋体" w:hAnsi="宋体" w:cs="宋体"/>
          <w:color w:val="000000" w:themeColor="text1"/>
          <w:kern w:val="2"/>
          <w:sz w:val="28"/>
          <w:szCs w:val="24"/>
          <w:lang w:val="en-US" w:eastAsia="zh-CN" w:bidi="ar-SA"/>
          <w14:textFill>
            <w14:solidFill>
              <w14:schemeClr w14:val="tx1"/>
            </w14:solidFill>
          </w14:textFill>
        </w:rPr>
        <w:t>6</w:t>
      </w:r>
      <w:r>
        <w:rPr>
          <w:rFonts w:hint="eastAsia" w:ascii="宋体" w:hAnsi="宋体" w:eastAsia="宋体" w:cs="宋体"/>
          <w:color w:val="000000" w:themeColor="text1"/>
          <w:kern w:val="2"/>
          <w:sz w:val="28"/>
          <w:szCs w:val="24"/>
          <w:lang w:val="en-US" w:eastAsia="zh-CN" w:bidi="ar-SA"/>
          <w14:textFill>
            <w14:solidFill>
              <w14:schemeClr w14:val="tx1"/>
            </w14:solidFill>
          </w14:textFill>
        </w:rPr>
        <w:t>施工单位资质及工程施工总结报告，附件</w:t>
      </w:r>
      <w:r>
        <w:rPr>
          <w:rFonts w:hint="eastAsia" w:ascii="宋体" w:hAnsi="宋体" w:cs="宋体"/>
          <w:color w:val="000000" w:themeColor="text1"/>
          <w:kern w:val="2"/>
          <w:sz w:val="28"/>
          <w:szCs w:val="24"/>
          <w:lang w:val="en-US" w:eastAsia="zh-CN" w:bidi="ar-SA"/>
          <w14:textFill>
            <w14:solidFill>
              <w14:schemeClr w14:val="tx1"/>
            </w14:solidFill>
          </w14:textFill>
        </w:rPr>
        <w:t>7</w:t>
      </w:r>
      <w:r>
        <w:rPr>
          <w:rFonts w:hint="eastAsia" w:ascii="宋体" w:hAnsi="宋体" w:eastAsia="宋体" w:cs="宋体"/>
          <w:color w:val="000000" w:themeColor="text1"/>
          <w:kern w:val="2"/>
          <w:sz w:val="28"/>
          <w:szCs w:val="24"/>
          <w:lang w:val="en-US" w:eastAsia="zh-CN" w:bidi="ar-SA"/>
          <w14:textFill>
            <w14:solidFill>
              <w14:schemeClr w14:val="tx1"/>
            </w14:solidFill>
          </w14:textFill>
        </w:rPr>
        <w:t>监理单位资质及监理总结报告。</w:t>
      </w:r>
    </w:p>
    <w:p w14:paraId="27A09AF2">
      <w:pPr>
        <w:pStyle w:val="3"/>
        <w:keepNext w:val="0"/>
        <w:keepLines w:val="0"/>
        <w:pageBreakBefore w:val="0"/>
        <w:widowControl w:val="0"/>
        <w:kinsoku/>
        <w:bidi w:val="0"/>
        <w:rPr>
          <w:rFonts w:hint="default"/>
          <w:color w:val="000000" w:themeColor="text1"/>
          <w:lang w:val="en-US" w:eastAsia="zh-CN"/>
          <w14:textFill>
            <w14:solidFill>
              <w14:schemeClr w14:val="tx1"/>
            </w14:solidFill>
          </w14:textFill>
        </w:rPr>
      </w:pPr>
      <w:bookmarkStart w:id="137" w:name="_Toc16753"/>
      <w:bookmarkStart w:id="138" w:name="_Toc15495"/>
      <w:bookmarkStart w:id="139" w:name="_Toc22362"/>
      <w:r>
        <w:rPr>
          <w:rFonts w:hint="eastAsia" w:cs="Times New Roman"/>
          <w:bCs/>
          <w:color w:val="000000" w:themeColor="text1"/>
          <w:kern w:val="2"/>
          <w:sz w:val="32"/>
          <w:szCs w:val="36"/>
          <w:lang w:val="en-US" w:eastAsia="zh-CN" w:bidi="ar-SA"/>
          <w14:textFill>
            <w14:solidFill>
              <w14:schemeClr w14:val="tx1"/>
            </w14:solidFill>
          </w14:textFill>
        </w:rPr>
        <w:t>安全设施设计变更说明</w:t>
      </w:r>
      <w:bookmarkEnd w:id="137"/>
    </w:p>
    <w:p w14:paraId="39A32E16">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项目建设过程，无安全设施设计重大变更。</w:t>
      </w:r>
    </w:p>
    <w:p w14:paraId="567E10B6">
      <w:pPr>
        <w:pStyle w:val="3"/>
        <w:keepNext w:val="0"/>
        <w:keepLines w:val="0"/>
        <w:pageBreakBefore w:val="0"/>
        <w:widowControl w:val="0"/>
        <w:kinsoku/>
        <w:bidi w:val="0"/>
        <w:rPr>
          <w:rFonts w:hint="eastAsia"/>
          <w:color w:val="000000" w:themeColor="text1"/>
          <w:lang w:val="en-US" w:eastAsia="zh-CN"/>
          <w14:textFill>
            <w14:solidFill>
              <w14:schemeClr w14:val="tx1"/>
            </w14:solidFill>
          </w14:textFill>
        </w:rPr>
      </w:pPr>
      <w:bookmarkStart w:id="140" w:name="_Toc25931"/>
      <w:r>
        <w:rPr>
          <w:rFonts w:hint="eastAsia"/>
          <w:color w:val="000000" w:themeColor="text1"/>
          <w:lang w:val="en-US" w:eastAsia="zh-CN"/>
          <w14:textFill>
            <w14:solidFill>
              <w14:schemeClr w14:val="tx1"/>
            </w14:solidFill>
          </w14:textFill>
        </w:rPr>
        <w:t>试运行概况</w:t>
      </w:r>
      <w:bookmarkEnd w:id="138"/>
      <w:bookmarkEnd w:id="139"/>
      <w:bookmarkEnd w:id="140"/>
    </w:p>
    <w:p w14:paraId="29E8610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color w:val="4874CB" w:themeColor="accent1"/>
          <w:spacing w:val="-2"/>
          <w:sz w:val="28"/>
          <w:szCs w:val="28"/>
          <w:highlight w:val="red"/>
          <w:lang w:val="en-US" w:eastAsia="zh-CN"/>
          <w14:textFill>
            <w14:solidFill>
              <w14:schemeClr w14:val="accent1"/>
            </w14:solidFill>
          </w14:textFill>
        </w:rPr>
      </w:pPr>
      <w:r>
        <w:rPr>
          <w:rFonts w:hint="eastAsia" w:ascii="宋体" w:hAnsi="宋体" w:eastAsia="宋体" w:cs="宋体"/>
          <w:color w:val="4874CB" w:themeColor="accent1"/>
          <w:spacing w:val="-2"/>
          <w:highlight w:val="none"/>
          <w14:textFill>
            <w14:solidFill>
              <w14:schemeClr w14:val="accent1"/>
            </w14:solidFill>
          </w14:textFill>
        </w:rPr>
        <w:t>华能澜沧江（景洪）新能源有限公司</w:t>
      </w:r>
      <w:r>
        <w:rPr>
          <w:rFonts w:hint="eastAsia" w:ascii="宋体" w:hAnsi="宋体" w:eastAsia="宋体" w:cs="宋体"/>
          <w:color w:val="4874CB" w:themeColor="accent1"/>
          <w:highlight w:val="none"/>
          <w:lang w:eastAsia="zh-CN"/>
          <w14:textFill>
            <w14:solidFill>
              <w14:schemeClr w14:val="accent1"/>
            </w14:solidFill>
          </w14:textFill>
        </w:rPr>
        <w:t>基诺乡巴卡村洛科新寨光伏电站</w:t>
      </w:r>
      <w:r>
        <w:rPr>
          <w:rFonts w:hint="eastAsia" w:ascii="宋体" w:hAnsi="宋体" w:eastAsia="宋体" w:cs="宋体"/>
          <w:color w:val="4874CB" w:themeColor="accent1"/>
          <w:spacing w:val="1"/>
          <w:sz w:val="28"/>
          <w:szCs w:val="28"/>
          <w:highlight w:val="none"/>
          <w14:textFill>
            <w14:solidFill>
              <w14:schemeClr w14:val="accent1"/>
            </w14:solidFill>
          </w14:textFill>
        </w:rPr>
        <w:t>光伏场区由</w:t>
      </w:r>
      <w:r>
        <w:rPr>
          <w:rFonts w:hint="eastAsia" w:ascii="宋体" w:hAnsi="宋体" w:eastAsia="宋体" w:cs="宋体"/>
          <w:color w:val="4874CB" w:themeColor="accent1"/>
          <w:spacing w:val="1"/>
          <w:sz w:val="28"/>
          <w:szCs w:val="28"/>
          <w:highlight w:val="none"/>
          <w:lang w:val="en-US" w:eastAsia="zh-CN"/>
          <w14:textFill>
            <w14:solidFill>
              <w14:schemeClr w14:val="accent1"/>
            </w14:solidFill>
          </w14:textFill>
        </w:rPr>
        <w:t>6</w:t>
      </w:r>
      <w:r>
        <w:rPr>
          <w:rFonts w:hint="eastAsia" w:ascii="宋体" w:hAnsi="宋体" w:eastAsia="宋体" w:cs="宋体"/>
          <w:color w:val="4874CB" w:themeColor="accent1"/>
          <w:spacing w:val="1"/>
          <w:sz w:val="28"/>
          <w:szCs w:val="28"/>
          <w:highlight w:val="none"/>
          <w14:textFill>
            <w14:solidFill>
              <w14:schemeClr w14:val="accent1"/>
            </w14:solidFill>
          </w14:textFill>
        </w:rPr>
        <w:t>个方阵</w:t>
      </w:r>
      <w:r>
        <w:rPr>
          <w:rFonts w:hint="eastAsia" w:ascii="宋体" w:hAnsi="宋体" w:eastAsia="宋体" w:cs="宋体"/>
          <w:color w:val="4874CB" w:themeColor="accent1"/>
          <w:spacing w:val="-5"/>
          <w:sz w:val="28"/>
          <w:szCs w:val="28"/>
          <w:highlight w:val="none"/>
          <w14:textFill>
            <w14:solidFill>
              <w14:schemeClr w14:val="accent1"/>
            </w14:solidFill>
          </w14:textFill>
        </w:rPr>
        <w:t>组成。项目于</w:t>
      </w:r>
      <w:r>
        <w:rPr>
          <w:rFonts w:hint="eastAsia" w:ascii="宋体" w:hAnsi="宋体" w:eastAsia="宋体" w:cs="宋体"/>
          <w:color w:val="4874CB" w:themeColor="accent1"/>
          <w:spacing w:val="-67"/>
          <w:sz w:val="28"/>
          <w:szCs w:val="28"/>
          <w:highlight w:val="none"/>
          <w14:textFill>
            <w14:solidFill>
              <w14:schemeClr w14:val="accent1"/>
            </w14:solidFill>
          </w14:textFill>
        </w:rPr>
        <w:t xml:space="preserve"> </w:t>
      </w:r>
      <w:r>
        <w:rPr>
          <w:rFonts w:hint="eastAsia" w:ascii="宋体" w:hAnsi="宋体" w:eastAsia="宋体" w:cs="宋体"/>
          <w:color w:val="4874CB" w:themeColor="accent1"/>
          <w:spacing w:val="-5"/>
          <w:sz w:val="28"/>
          <w:szCs w:val="28"/>
          <w:highlight w:val="none"/>
          <w14:textFill>
            <w14:solidFill>
              <w14:schemeClr w14:val="accent1"/>
            </w14:solidFill>
          </w14:textFill>
        </w:rPr>
        <w:t>202</w:t>
      </w:r>
      <w:r>
        <w:rPr>
          <w:rFonts w:hint="eastAsia" w:ascii="宋体" w:hAnsi="宋体" w:eastAsia="宋体" w:cs="宋体"/>
          <w:color w:val="4874CB" w:themeColor="accent1"/>
          <w:spacing w:val="-5"/>
          <w:sz w:val="28"/>
          <w:szCs w:val="28"/>
          <w:highlight w:val="none"/>
          <w:lang w:val="en-US" w:eastAsia="zh-CN"/>
          <w14:textFill>
            <w14:solidFill>
              <w14:schemeClr w14:val="accent1"/>
            </w14:solidFill>
          </w14:textFill>
        </w:rPr>
        <w:t>3</w:t>
      </w:r>
      <w:r>
        <w:rPr>
          <w:rFonts w:hint="eastAsia" w:ascii="宋体" w:hAnsi="宋体" w:eastAsia="宋体" w:cs="宋体"/>
          <w:color w:val="4874CB" w:themeColor="accent1"/>
          <w:spacing w:val="-5"/>
          <w:sz w:val="28"/>
          <w:szCs w:val="28"/>
          <w:highlight w:val="none"/>
          <w14:textFill>
            <w14:solidFill>
              <w14:schemeClr w14:val="accent1"/>
            </w14:solidFill>
          </w14:textFill>
        </w:rPr>
        <w:t>年</w:t>
      </w:r>
      <w:r>
        <w:rPr>
          <w:rFonts w:hint="eastAsia" w:ascii="宋体" w:hAnsi="宋体" w:eastAsia="宋体" w:cs="宋体"/>
          <w:color w:val="4874CB" w:themeColor="accent1"/>
          <w:spacing w:val="-54"/>
          <w:sz w:val="28"/>
          <w:szCs w:val="28"/>
          <w:highlight w:val="none"/>
          <w14:textFill>
            <w14:solidFill>
              <w14:schemeClr w14:val="accent1"/>
            </w14:solidFill>
          </w14:textFill>
        </w:rPr>
        <w:t xml:space="preserve"> </w:t>
      </w:r>
      <w:r>
        <w:rPr>
          <w:rFonts w:hint="eastAsia" w:ascii="宋体" w:hAnsi="宋体" w:eastAsia="宋体" w:cs="宋体"/>
          <w:color w:val="4874CB" w:themeColor="accent1"/>
          <w:spacing w:val="-5"/>
          <w:sz w:val="28"/>
          <w:szCs w:val="28"/>
          <w:highlight w:val="none"/>
          <w:lang w:val="en-US" w:eastAsia="zh-CN"/>
          <w14:textFill>
            <w14:solidFill>
              <w14:schemeClr w14:val="accent1"/>
            </w14:solidFill>
          </w14:textFill>
        </w:rPr>
        <w:t>10</w:t>
      </w:r>
      <w:r>
        <w:rPr>
          <w:rFonts w:hint="eastAsia" w:ascii="宋体" w:hAnsi="宋体" w:eastAsia="宋体" w:cs="宋体"/>
          <w:color w:val="4874CB" w:themeColor="accent1"/>
          <w:spacing w:val="-5"/>
          <w:sz w:val="28"/>
          <w:szCs w:val="28"/>
          <w:highlight w:val="none"/>
          <w14:textFill>
            <w14:solidFill>
              <w14:schemeClr w14:val="accent1"/>
            </w14:solidFill>
          </w14:textFill>
        </w:rPr>
        <w:t>月</w:t>
      </w:r>
      <w:r>
        <w:rPr>
          <w:rFonts w:hint="eastAsia" w:ascii="宋体" w:hAnsi="宋体" w:eastAsia="宋体" w:cs="宋体"/>
          <w:color w:val="4874CB" w:themeColor="accent1"/>
          <w:spacing w:val="-64"/>
          <w:sz w:val="28"/>
          <w:szCs w:val="28"/>
          <w:highlight w:val="none"/>
          <w:lang w:val="en-US" w:eastAsia="zh-CN"/>
          <w14:textFill>
            <w14:solidFill>
              <w14:schemeClr w14:val="accent1"/>
            </w14:solidFill>
          </w14:textFill>
        </w:rPr>
        <w:t>9</w:t>
      </w:r>
      <w:r>
        <w:rPr>
          <w:rFonts w:hint="eastAsia" w:ascii="宋体" w:hAnsi="宋体" w:eastAsia="宋体" w:cs="宋体"/>
          <w:color w:val="4874CB" w:themeColor="accent1"/>
          <w:spacing w:val="-5"/>
          <w:sz w:val="28"/>
          <w:szCs w:val="28"/>
          <w:highlight w:val="none"/>
          <w14:textFill>
            <w14:solidFill>
              <w14:schemeClr w14:val="accent1"/>
            </w14:solidFill>
          </w14:textFill>
        </w:rPr>
        <w:t>日正式开</w:t>
      </w:r>
      <w:r>
        <w:rPr>
          <w:rFonts w:hint="eastAsia" w:ascii="宋体" w:hAnsi="宋体" w:eastAsia="宋体" w:cs="宋体"/>
          <w:color w:val="4874CB" w:themeColor="accent1"/>
          <w:spacing w:val="-6"/>
          <w:sz w:val="28"/>
          <w:szCs w:val="28"/>
          <w:highlight w:val="none"/>
          <w14:textFill>
            <w14:solidFill>
              <w14:schemeClr w14:val="accent1"/>
            </w14:solidFill>
          </w14:textFill>
        </w:rPr>
        <w:t>工建设，</w:t>
      </w:r>
      <w:r>
        <w:rPr>
          <w:rFonts w:hint="eastAsia" w:ascii="宋体" w:hAnsi="宋体" w:eastAsia="宋体" w:cs="宋体"/>
          <w:color w:val="4874CB" w:themeColor="accent1"/>
          <w:kern w:val="2"/>
          <w:sz w:val="28"/>
          <w:szCs w:val="28"/>
          <w:highlight w:val="none"/>
          <w:lang w:val="zh-CN" w:eastAsia="zh-CN" w:bidi="ar-SA"/>
          <w14:textFill>
            <w14:solidFill>
              <w14:schemeClr w14:val="accent1"/>
            </w14:solidFill>
          </w14:textFill>
        </w:rPr>
        <w:t>2</w:t>
      </w:r>
      <w:r>
        <w:rPr>
          <w:rFonts w:hint="eastAsia" w:ascii="宋体" w:hAnsi="宋体" w:eastAsia="宋体" w:cs="宋体"/>
          <w:color w:val="4874CB" w:themeColor="accent1"/>
          <w:kern w:val="2"/>
          <w:sz w:val="28"/>
          <w:szCs w:val="28"/>
          <w:lang w:val="zh-CN" w:eastAsia="zh-CN" w:bidi="ar-SA"/>
          <w14:textFill>
            <w14:solidFill>
              <w14:schemeClr w14:val="accent1"/>
            </w14:solidFill>
          </w14:textFill>
        </w:rPr>
        <w:t>024年</w:t>
      </w:r>
      <w:r>
        <w:rPr>
          <w:rFonts w:hint="eastAsia" w:ascii="宋体" w:hAnsi="宋体" w:eastAsia="宋体" w:cs="宋体"/>
          <w:color w:val="4874CB" w:themeColor="accent1"/>
          <w:kern w:val="2"/>
          <w:sz w:val="28"/>
          <w:szCs w:val="28"/>
          <w:lang w:val="en-US" w:eastAsia="zh-CN" w:bidi="ar-SA"/>
          <w14:textFill>
            <w14:solidFill>
              <w14:schemeClr w14:val="accent1"/>
            </w14:solidFill>
          </w14:textFill>
        </w:rPr>
        <w:t>1</w:t>
      </w:r>
      <w:r>
        <w:rPr>
          <w:rFonts w:hint="eastAsia" w:ascii="宋体" w:hAnsi="宋体" w:eastAsia="宋体" w:cs="宋体"/>
          <w:color w:val="4874CB" w:themeColor="accent1"/>
          <w:kern w:val="2"/>
          <w:sz w:val="28"/>
          <w:szCs w:val="28"/>
          <w:lang w:val="zh-CN" w:eastAsia="zh-CN" w:bidi="ar-SA"/>
          <w14:textFill>
            <w14:solidFill>
              <w14:schemeClr w14:val="accent1"/>
            </w14:solidFill>
          </w14:textFill>
        </w:rPr>
        <w:t>月1</w:t>
      </w:r>
      <w:r>
        <w:rPr>
          <w:rFonts w:hint="eastAsia" w:ascii="宋体" w:hAnsi="宋体" w:eastAsia="宋体" w:cs="宋体"/>
          <w:color w:val="4874CB" w:themeColor="accent1"/>
          <w:kern w:val="2"/>
          <w:sz w:val="28"/>
          <w:szCs w:val="28"/>
          <w:lang w:val="en-US" w:eastAsia="zh-CN" w:bidi="ar-SA"/>
          <w14:textFill>
            <w14:solidFill>
              <w14:schemeClr w14:val="accent1"/>
            </w14:solidFill>
          </w14:textFill>
        </w:rPr>
        <w:t>0</w:t>
      </w:r>
      <w:r>
        <w:rPr>
          <w:rFonts w:hint="eastAsia" w:ascii="宋体" w:hAnsi="宋体" w:eastAsia="宋体" w:cs="宋体"/>
          <w:color w:val="4874CB" w:themeColor="accent1"/>
          <w:kern w:val="2"/>
          <w:sz w:val="28"/>
          <w:szCs w:val="28"/>
          <w:lang w:val="zh-CN" w:eastAsia="zh-CN" w:bidi="ar-SA"/>
          <w14:textFill>
            <w14:solidFill>
              <w14:schemeClr w14:val="accent1"/>
            </w14:solidFill>
          </w14:textFill>
        </w:rPr>
        <w:t>日完成项目建设，</w:t>
      </w:r>
      <w:r>
        <w:rPr>
          <w:rFonts w:hint="eastAsia" w:ascii="宋体" w:hAnsi="宋体" w:eastAsia="宋体" w:cs="宋体"/>
          <w:color w:val="4874CB" w:themeColor="accent1"/>
          <w:sz w:val="28"/>
          <w:szCs w:val="28"/>
          <w:highlight w:val="none"/>
          <w14:textFill>
            <w14:solidFill>
              <w14:schemeClr w14:val="accent1"/>
            </w14:solidFill>
          </w14:textFill>
        </w:rPr>
        <w:t>202</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4</w:t>
      </w:r>
      <w:r>
        <w:rPr>
          <w:rFonts w:hint="eastAsia" w:ascii="宋体" w:hAnsi="宋体" w:eastAsia="宋体" w:cs="宋体"/>
          <w:color w:val="4874CB" w:themeColor="accent1"/>
          <w:sz w:val="28"/>
          <w:szCs w:val="28"/>
          <w:highlight w:val="none"/>
          <w14:textFill>
            <w14:solidFill>
              <w14:schemeClr w14:val="accent1"/>
            </w14:solidFill>
          </w14:textFill>
        </w:rPr>
        <w:t>年1月</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24</w:t>
      </w:r>
      <w:r>
        <w:rPr>
          <w:rFonts w:hint="eastAsia" w:ascii="宋体" w:hAnsi="宋体" w:eastAsia="宋体" w:cs="宋体"/>
          <w:color w:val="4874CB" w:themeColor="accent1"/>
          <w:sz w:val="28"/>
          <w:szCs w:val="28"/>
          <w:highlight w:val="none"/>
          <w14:textFill>
            <w14:solidFill>
              <w14:schemeClr w14:val="accent1"/>
            </w14:solidFill>
          </w14:textFill>
        </w:rPr>
        <w:t>日</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完成机组投运前工程验收，1月31日首次接入西双版纳电网并网调试运行。2024年2月1日</w:t>
      </w:r>
      <w:r>
        <w:rPr>
          <w:rFonts w:hint="eastAsia" w:ascii="宋体" w:hAnsi="宋体" w:eastAsia="宋体" w:cs="宋体"/>
          <w:color w:val="4874CB" w:themeColor="accent1"/>
          <w:spacing w:val="-2"/>
          <w:sz w:val="28"/>
          <w:szCs w:val="28"/>
          <w:highlight w:val="none"/>
          <w14:textFill>
            <w14:solidFill>
              <w14:schemeClr w14:val="accent1"/>
            </w14:solidFill>
          </w14:textFill>
        </w:rPr>
        <w:t>进入试运行</w:t>
      </w:r>
      <w:r>
        <w:rPr>
          <w:rFonts w:hint="eastAsia" w:ascii="宋体" w:hAnsi="宋体" w:eastAsia="宋体" w:cs="宋体"/>
          <w:color w:val="4874CB" w:themeColor="accent1"/>
          <w:spacing w:val="-2"/>
          <w:sz w:val="28"/>
          <w:szCs w:val="28"/>
          <w:highlight w:val="none"/>
          <w:lang w:eastAsia="zh-CN"/>
          <w14:textFill>
            <w14:solidFill>
              <w14:schemeClr w14:val="accent1"/>
            </w14:solidFill>
          </w14:textFill>
        </w:rPr>
        <w:t>，</w:t>
      </w:r>
      <w:r>
        <w:rPr>
          <w:rFonts w:hint="eastAsia" w:ascii="宋体" w:hAnsi="宋体" w:eastAsia="宋体" w:cs="宋体"/>
          <w:color w:val="4874CB" w:themeColor="accent1"/>
          <w:sz w:val="28"/>
          <w:szCs w:val="28"/>
          <w:highlight w:val="none"/>
          <w14:textFill>
            <w14:solidFill>
              <w14:schemeClr w14:val="accent1"/>
            </w14:solidFill>
          </w14:textFill>
        </w:rPr>
        <w:t>试运行至</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2</w:t>
      </w:r>
      <w:r>
        <w:rPr>
          <w:rFonts w:hint="eastAsia" w:ascii="宋体" w:hAnsi="宋体" w:eastAsia="宋体" w:cs="宋体"/>
          <w:color w:val="4874CB" w:themeColor="accent1"/>
          <w:sz w:val="28"/>
          <w:szCs w:val="28"/>
          <w:highlight w:val="none"/>
          <w14:textFill>
            <w14:solidFill>
              <w14:schemeClr w14:val="accent1"/>
            </w14:solidFill>
          </w14:textFill>
        </w:rPr>
        <w:t>月</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19</w:t>
      </w:r>
      <w:r>
        <w:rPr>
          <w:rFonts w:hint="eastAsia" w:ascii="宋体" w:hAnsi="宋体" w:eastAsia="宋体" w:cs="宋体"/>
          <w:color w:val="4874CB" w:themeColor="accent1"/>
          <w:sz w:val="28"/>
          <w:szCs w:val="28"/>
          <w:highlight w:val="none"/>
          <w14:textFill>
            <w14:solidFill>
              <w14:schemeClr w14:val="accent1"/>
            </w14:solidFill>
          </w14:textFill>
        </w:rPr>
        <w:t>日</w:t>
      </w:r>
      <w:r>
        <w:rPr>
          <w:rFonts w:hint="eastAsia" w:ascii="宋体" w:hAnsi="宋体" w:eastAsia="宋体" w:cs="宋体"/>
          <w:color w:val="4874CB" w:themeColor="accent1"/>
          <w:sz w:val="28"/>
          <w:szCs w:val="28"/>
          <w:highlight w:val="none"/>
          <w:lang w:val="en-US" w:eastAsia="zh-CN"/>
          <w14:textFill>
            <w14:solidFill>
              <w14:schemeClr w14:val="accent1"/>
            </w14:solidFill>
          </w14:textFill>
        </w:rPr>
        <w:t>。</w:t>
      </w:r>
      <w:r>
        <w:rPr>
          <w:rFonts w:hint="eastAsia" w:ascii="宋体" w:hAnsi="宋体" w:eastAsia="宋体" w:cs="宋体"/>
          <w:color w:val="4874CB" w:themeColor="accent1"/>
          <w:spacing w:val="-2"/>
          <w:sz w:val="28"/>
          <w:szCs w:val="28"/>
          <w:highlight w:val="none"/>
          <w14:textFill>
            <w14:solidFill>
              <w14:schemeClr w14:val="accent1"/>
            </w14:solidFill>
          </w14:textFill>
        </w:rPr>
        <w:t>现项目光伏方阵、电气</w:t>
      </w:r>
      <w:r>
        <w:rPr>
          <w:rFonts w:hint="eastAsia" w:ascii="宋体" w:hAnsi="宋体" w:eastAsia="宋体" w:cs="宋体"/>
          <w:color w:val="4874CB" w:themeColor="accent1"/>
          <w:spacing w:val="-3"/>
          <w:sz w:val="28"/>
          <w:szCs w:val="28"/>
          <w:highlight w:val="none"/>
          <w14:textFill>
            <w14:solidFill>
              <w14:schemeClr w14:val="accent1"/>
            </w14:solidFill>
          </w14:textFill>
        </w:rPr>
        <w:t>系统、土建工程</w:t>
      </w:r>
      <w:r>
        <w:rPr>
          <w:rFonts w:hint="eastAsia" w:ascii="宋体" w:hAnsi="宋体" w:eastAsia="宋体" w:cs="宋体"/>
          <w:color w:val="4874CB" w:themeColor="accent1"/>
          <w:spacing w:val="-2"/>
          <w:sz w:val="28"/>
          <w:szCs w:val="28"/>
          <w:highlight w:val="none"/>
          <w14:textFill>
            <w14:solidFill>
              <w14:schemeClr w14:val="accent1"/>
            </w14:solidFill>
          </w14:textFill>
        </w:rPr>
        <w:t>等均已全部建成投产使用，</w:t>
      </w:r>
      <w:r>
        <w:rPr>
          <w:rFonts w:hint="eastAsia" w:ascii="宋体" w:hAnsi="宋体" w:eastAsia="宋体" w:cs="宋体"/>
          <w:color w:val="4874CB" w:themeColor="accent1"/>
          <w:spacing w:val="-2"/>
          <w:sz w:val="28"/>
          <w:szCs w:val="28"/>
          <w:highlight w:val="none"/>
          <w:lang w:val="en-US" w:eastAsia="zh-CN"/>
          <w14:textFill>
            <w14:solidFill>
              <w14:schemeClr w14:val="accent1"/>
            </w14:solidFill>
          </w14:textFill>
        </w:rPr>
        <w:t>2024年1</w:t>
      </w:r>
      <w:r>
        <w:rPr>
          <w:rFonts w:hint="eastAsia" w:ascii="宋体" w:hAnsi="宋体" w:cs="宋体"/>
          <w:color w:val="4874CB" w:themeColor="accent1"/>
          <w:spacing w:val="-2"/>
          <w:sz w:val="28"/>
          <w:szCs w:val="28"/>
          <w:highlight w:val="none"/>
          <w:lang w:val="en-US" w:eastAsia="zh-CN"/>
          <w14:textFill>
            <w14:solidFill>
              <w14:schemeClr w14:val="accent1"/>
            </w14:solidFill>
          </w14:textFill>
        </w:rPr>
        <w:t>0</w:t>
      </w:r>
      <w:r>
        <w:rPr>
          <w:rFonts w:hint="eastAsia" w:ascii="宋体" w:hAnsi="宋体" w:eastAsia="宋体" w:cs="宋体"/>
          <w:color w:val="4874CB" w:themeColor="accent1"/>
          <w:spacing w:val="-2"/>
          <w:sz w:val="28"/>
          <w:szCs w:val="28"/>
          <w:highlight w:val="none"/>
          <w:lang w:val="en-US" w:eastAsia="zh-CN"/>
          <w14:textFill>
            <w14:solidFill>
              <w14:schemeClr w14:val="accent1"/>
            </w14:solidFill>
          </w14:textFill>
        </w:rPr>
        <w:t>月12日取得西双版纳供电局电力调度控制中心并网调试意见书（调【2024】66号）。</w:t>
      </w:r>
      <w:r>
        <w:rPr>
          <w:rFonts w:hint="eastAsia" w:ascii="宋体" w:hAnsi="宋体" w:eastAsia="宋体" w:cs="宋体"/>
          <w:color w:val="4874CB" w:themeColor="accent1"/>
          <w:sz w:val="28"/>
          <w:szCs w:val="28"/>
          <w14:textFill>
            <w14:solidFill>
              <w14:schemeClr w14:val="accent1"/>
            </w14:solidFill>
          </w14:textFill>
        </w:rPr>
        <w:t>试运行期间累计发电量</w:t>
      </w:r>
      <w:r>
        <w:rPr>
          <w:rFonts w:hint="eastAsia" w:ascii="宋体" w:hAnsi="宋体" w:eastAsia="宋体" w:cs="宋体"/>
          <w:color w:val="4874CB" w:themeColor="accent1"/>
          <w:sz w:val="28"/>
          <w:szCs w:val="28"/>
          <w:lang w:val="en-US" w:eastAsia="zh-CN"/>
          <w14:textFill>
            <w14:solidFill>
              <w14:schemeClr w14:val="accent1"/>
            </w14:solidFill>
          </w14:textFill>
        </w:rPr>
        <w:t>9.828</w:t>
      </w:r>
      <w:r>
        <w:rPr>
          <w:rFonts w:hint="eastAsia" w:ascii="宋体" w:hAnsi="宋体" w:eastAsia="宋体" w:cs="宋体"/>
          <w:color w:val="4874CB" w:themeColor="accent1"/>
          <w:sz w:val="28"/>
          <w:szCs w:val="28"/>
          <w14:textFill>
            <w14:solidFill>
              <w14:schemeClr w14:val="accent1"/>
            </w14:solidFill>
          </w14:textFill>
        </w:rPr>
        <w:t>万kWh,光伏组件接收总辐射量累计达60kWh/m</w:t>
      </w:r>
      <w:r>
        <w:rPr>
          <w:rFonts w:hint="eastAsia" w:ascii="宋体" w:hAnsi="宋体" w:eastAsia="宋体" w:cs="宋体"/>
          <w:color w:val="4874CB" w:themeColor="accent1"/>
          <w:sz w:val="28"/>
          <w:szCs w:val="28"/>
          <w:vertAlign w:val="superscript"/>
          <w14:textFill>
            <w14:solidFill>
              <w14:schemeClr w14:val="accent1"/>
            </w14:solidFill>
          </w14:textFill>
        </w:rPr>
        <w:t>2</w:t>
      </w:r>
      <w:r>
        <w:rPr>
          <w:rFonts w:hint="eastAsia" w:ascii="宋体" w:hAnsi="宋体" w:eastAsia="宋体" w:cs="宋体"/>
          <w:color w:val="4874CB" w:themeColor="accent1"/>
          <w:sz w:val="28"/>
          <w:szCs w:val="28"/>
          <w14:textFill>
            <w14:solidFill>
              <w14:schemeClr w14:val="accent1"/>
            </w14:solidFill>
          </w14:textFill>
        </w:rPr>
        <w:t>,未发生影响试运行的故障，圆满完成项目整体试运行工作</w:t>
      </w:r>
      <w:r>
        <w:rPr>
          <w:rFonts w:hint="eastAsia" w:ascii="宋体" w:hAnsi="宋体" w:eastAsia="宋体" w:cs="宋体"/>
          <w:color w:val="4874CB" w:themeColor="accent1"/>
          <w:sz w:val="28"/>
          <w:szCs w:val="28"/>
          <w:lang w:eastAsia="zh-CN"/>
          <w14:textFill>
            <w14:solidFill>
              <w14:schemeClr w14:val="accent1"/>
            </w14:solidFill>
          </w14:textFill>
        </w:rPr>
        <w:t>。</w:t>
      </w:r>
    </w:p>
    <w:p w14:paraId="14921320">
      <w:pPr>
        <w:spacing w:line="500" w:lineRule="exact"/>
        <w:ind w:firstLine="560" w:firstLineChars="200"/>
        <w:rPr>
          <w:rFonts w:hint="default" w:ascii="宋体" w:hAnsi="宋体" w:cs="宋体"/>
          <w:color w:val="4874CB" w:themeColor="accent1"/>
          <w:spacing w:val="-2"/>
          <w:sz w:val="28"/>
          <w:szCs w:val="28"/>
          <w:highlight w:val="red"/>
          <w:lang w:val="en-US" w:eastAsia="zh-CN"/>
          <w14:textFill>
            <w14:solidFill>
              <w14:schemeClr w14:val="accent1"/>
            </w14:solidFill>
          </w14:textFill>
        </w:rPr>
      </w:pPr>
      <w:r>
        <w:rPr>
          <w:rFonts w:hint="eastAsia" w:ascii="宋体" w:hAnsi="宋体" w:eastAsia="宋体" w:cs="宋体"/>
          <w:color w:val="4874CB" w:themeColor="accent1"/>
          <w:sz w:val="28"/>
          <w:szCs w:val="28"/>
          <w14:textFill>
            <w14:solidFill>
              <w14:schemeClr w14:val="accent1"/>
            </w14:solidFill>
          </w14:textFill>
        </w:rPr>
        <w:t>截止2025年</w:t>
      </w:r>
      <w:r>
        <w:rPr>
          <w:rFonts w:hint="eastAsia" w:ascii="宋体" w:hAnsi="宋体" w:eastAsia="宋体" w:cs="宋体"/>
          <w:color w:val="4874CB" w:themeColor="accent1"/>
          <w:sz w:val="28"/>
          <w:szCs w:val="28"/>
          <w:lang w:val="en-US" w:eastAsia="zh-CN"/>
          <w14:textFill>
            <w14:solidFill>
              <w14:schemeClr w14:val="accent1"/>
            </w14:solidFill>
          </w14:textFill>
        </w:rPr>
        <w:t>01</w:t>
      </w:r>
      <w:r>
        <w:rPr>
          <w:rFonts w:hint="eastAsia" w:ascii="宋体" w:hAnsi="宋体" w:eastAsia="宋体" w:cs="宋体"/>
          <w:color w:val="4874CB" w:themeColor="accent1"/>
          <w:sz w:val="28"/>
          <w:szCs w:val="28"/>
          <w14:textFill>
            <w14:solidFill>
              <w14:schemeClr w14:val="accent1"/>
            </w14:solidFill>
          </w14:textFill>
        </w:rPr>
        <w:t>月</w:t>
      </w:r>
      <w:r>
        <w:rPr>
          <w:rFonts w:hint="eastAsia" w:ascii="宋体" w:hAnsi="宋体" w:eastAsia="宋体" w:cs="宋体"/>
          <w:color w:val="4874CB" w:themeColor="accent1"/>
          <w:sz w:val="28"/>
          <w:szCs w:val="28"/>
          <w:lang w:val="en-US" w:eastAsia="zh-CN"/>
          <w14:textFill>
            <w14:solidFill>
              <w14:schemeClr w14:val="accent1"/>
            </w14:solidFill>
          </w14:textFill>
        </w:rPr>
        <w:t>08</w:t>
      </w:r>
      <w:r>
        <w:rPr>
          <w:rFonts w:hint="eastAsia" w:ascii="宋体" w:hAnsi="宋体" w:eastAsia="宋体" w:cs="宋体"/>
          <w:color w:val="4874CB" w:themeColor="accent1"/>
          <w:sz w:val="28"/>
          <w:szCs w:val="28"/>
          <w14:textFill>
            <w14:solidFill>
              <w14:schemeClr w14:val="accent1"/>
            </w14:solidFill>
          </w14:textFill>
        </w:rPr>
        <w:t>日（评价基准日），该项目施工及运行过程中均未发生生产安全事故。</w:t>
      </w:r>
    </w:p>
    <w:p w14:paraId="6491026E">
      <w:pPr>
        <w:pStyle w:val="14"/>
        <w:numPr>
          <w:ilvl w:val="0"/>
          <w:numId w:val="0"/>
        </w:numPr>
        <w:spacing w:before="40" w:line="221" w:lineRule="auto"/>
        <w:rPr>
          <w:b/>
          <w:bCs/>
          <w:color w:val="000000" w:themeColor="text1"/>
          <w:spacing w:val="-5"/>
          <w:sz w:val="28"/>
          <w:szCs w:val="28"/>
          <w14:textFill>
            <w14:solidFill>
              <w14:schemeClr w14:val="tx1"/>
            </w14:solidFill>
          </w14:textFill>
        </w:rPr>
      </w:pPr>
    </w:p>
    <w:p w14:paraId="1B214CCC">
      <w:pPr>
        <w:keepNext w:val="0"/>
        <w:keepLines w:val="0"/>
        <w:widowControl/>
        <w:suppressLineNumbers w:val="0"/>
        <w:jc w:val="left"/>
        <w:rPr>
          <w:rFonts w:hint="eastAsia"/>
          <w:color w:val="000000" w:themeColor="text1"/>
          <w:lang w:val="en-US" w:eastAsia="zh-CN"/>
          <w14:textFill>
            <w14:solidFill>
              <w14:schemeClr w14:val="tx1"/>
            </w14:solidFill>
          </w14:textFill>
        </w:rPr>
      </w:pPr>
    </w:p>
    <w:p w14:paraId="6A6D4527">
      <w:pPr>
        <w:keepNext w:val="0"/>
        <w:keepLines w:val="0"/>
        <w:widowControl/>
        <w:suppressLineNumbers w:val="0"/>
        <w:jc w:val="left"/>
        <w:rPr>
          <w:rFonts w:hint="eastAsia"/>
          <w:color w:val="000000" w:themeColor="text1"/>
          <w:lang w:val="en-US" w:eastAsia="zh-CN"/>
          <w14:textFill>
            <w14:solidFill>
              <w14:schemeClr w14:val="tx1"/>
            </w14:solidFill>
          </w14:textFill>
        </w:rPr>
      </w:pPr>
    </w:p>
    <w:p w14:paraId="33201E13">
      <w:pPr>
        <w:keepNext w:val="0"/>
        <w:keepLines w:val="0"/>
        <w:widowControl/>
        <w:suppressLineNumbers w:val="0"/>
        <w:jc w:val="left"/>
        <w:rPr>
          <w:rFonts w:hint="eastAsia" w:ascii="Times New Roman" w:hAnsi="Times New Roman" w:eastAsia="宋体" w:cs="Times New Roman"/>
          <w:color w:val="000000" w:themeColor="text1"/>
          <w:lang w:val="en-US" w:eastAsia="zh-CN"/>
          <w14:textFill>
            <w14:solidFill>
              <w14:schemeClr w14:val="tx1"/>
            </w14:solidFill>
          </w14:textFill>
        </w:rPr>
        <w:sectPr>
          <w:footerReference r:id="rId12" w:type="default"/>
          <w:pgSz w:w="11906" w:h="16838"/>
          <w:pgMar w:top="1417" w:right="1417" w:bottom="1417" w:left="1587" w:header="851" w:footer="992" w:gutter="0"/>
          <w:pgNumType w:fmt="decimal"/>
          <w:cols w:space="0" w:num="1"/>
          <w:rtlGutter w:val="0"/>
          <w:docGrid w:type="lines" w:linePitch="318" w:charSpace="0"/>
        </w:sectPr>
      </w:pPr>
    </w:p>
    <w:p w14:paraId="08F1E909">
      <w:pPr>
        <w:pStyle w:val="2"/>
        <w:bidi w:val="0"/>
        <w:rPr>
          <w:rFonts w:hint="eastAsia"/>
          <w:color w:val="000000" w:themeColor="text1"/>
          <w:lang w:val="en-US" w:eastAsia="zh-CN"/>
          <w14:textFill>
            <w14:solidFill>
              <w14:schemeClr w14:val="tx1"/>
            </w14:solidFill>
          </w14:textFill>
        </w:rPr>
      </w:pPr>
      <w:bookmarkStart w:id="141" w:name="_Toc11963"/>
      <w:bookmarkStart w:id="142" w:name="_Toc7067"/>
      <w:r>
        <w:rPr>
          <w:rFonts w:hint="eastAsia"/>
          <w:color w:val="000000" w:themeColor="text1"/>
          <w:lang w:val="en-US" w:eastAsia="zh-CN"/>
          <w14:textFill>
            <w14:solidFill>
              <w14:schemeClr w14:val="tx1"/>
            </w14:solidFill>
          </w14:textFill>
        </w:rPr>
        <w:t>主要危险有害因素的辨识与分析</w:t>
      </w:r>
      <w:bookmarkEnd w:id="141"/>
      <w:bookmarkEnd w:id="142"/>
    </w:p>
    <w:p w14:paraId="1A4CA8A7">
      <w:pPr>
        <w:pStyle w:val="3"/>
        <w:bidi w:val="0"/>
        <w:rPr>
          <w:rFonts w:hint="eastAsia"/>
          <w:color w:val="000000" w:themeColor="text1"/>
          <w14:textFill>
            <w14:solidFill>
              <w14:schemeClr w14:val="tx1"/>
            </w14:solidFill>
          </w14:textFill>
        </w:rPr>
      </w:pPr>
      <w:bookmarkStart w:id="143" w:name="_Toc6149"/>
      <w:bookmarkStart w:id="144" w:name="_Toc19653"/>
      <w:bookmarkStart w:id="145" w:name="_Toc3539"/>
      <w:r>
        <w:rPr>
          <w:rFonts w:hint="eastAsia"/>
          <w:color w:val="000000" w:themeColor="text1"/>
          <w14:textFill>
            <w14:solidFill>
              <w14:schemeClr w14:val="tx1"/>
            </w14:solidFill>
          </w14:textFill>
        </w:rPr>
        <w:t>辨识与分析的目的</w:t>
      </w:r>
      <w:bookmarkEnd w:id="143"/>
      <w:bookmarkEnd w:id="144"/>
      <w:bookmarkEnd w:id="145"/>
    </w:p>
    <w:p w14:paraId="3EA75285">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辨识与分析是安全评价的基础。</w:t>
      </w:r>
    </w:p>
    <w:p w14:paraId="37BB9B12">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危险因素是指系统（人、机械、材料、设施、工艺、环境）中存在的，能对人造成伤亡、对物造成突发性损害的因素。</w:t>
      </w:r>
    </w:p>
    <w:p w14:paraId="47B89B19">
      <w:pPr>
        <w:keepNext w:val="0"/>
        <w:keepLines w:val="0"/>
        <w:pageBreakBefore w:val="0"/>
        <w:widowControl w:val="0"/>
        <w:kinsoku/>
        <w:bidi w:val="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有害因素</w:t>
      </w:r>
      <w:r>
        <w:rPr>
          <w:rFonts w:hint="eastAsia" w:ascii="Times New Roman" w:hAnsi="Times New Roman" w:eastAsia="宋体" w:cs="Times New Roman"/>
          <w:color w:val="000000" w:themeColor="text1"/>
          <w:lang w:val="en-US" w:eastAsia="zh-CN"/>
          <w14:textFill>
            <w14:solidFill>
              <w14:schemeClr w14:val="tx1"/>
            </w14:solidFill>
          </w14:textFill>
        </w:rPr>
        <w:t>是</w:t>
      </w:r>
      <w:r>
        <w:rPr>
          <w:rFonts w:ascii="Times New Roman" w:hAnsi="Times New Roman" w:eastAsia="宋体" w:cs="Times New Roman"/>
          <w:color w:val="000000" w:themeColor="text1"/>
          <w14:textFill>
            <w14:solidFill>
              <w14:schemeClr w14:val="tx1"/>
            </w14:solidFill>
          </w14:textFill>
        </w:rPr>
        <w:t>指能影响人的身体健康、导致疾病或物造成慢性损害的因素。</w:t>
      </w:r>
    </w:p>
    <w:p w14:paraId="6831105B">
      <w:pPr>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主要</w:t>
      </w: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的识别，就是找出生产、经营过程中最有可能引发重大事故，导致不良后果的人、机、物、工艺、环境和组织等，识别可能发生的事故、后果和条件，以便采取预防和控制措施。</w:t>
      </w:r>
    </w:p>
    <w:p w14:paraId="411C3186">
      <w:pPr>
        <w:pStyle w:val="3"/>
        <w:bidi w:val="0"/>
        <w:rPr>
          <w:color w:val="000000" w:themeColor="text1"/>
          <w14:textFill>
            <w14:solidFill>
              <w14:schemeClr w14:val="tx1"/>
            </w14:solidFill>
          </w14:textFill>
        </w:rPr>
      </w:pPr>
      <w:bookmarkStart w:id="146" w:name="_Toc70501444"/>
      <w:bookmarkStart w:id="147" w:name="_Toc30183"/>
      <w:bookmarkStart w:id="148" w:name="_Toc25450"/>
      <w:bookmarkStart w:id="149" w:name="_Toc23999"/>
      <w:r>
        <w:rPr>
          <w:color w:val="000000" w:themeColor="text1"/>
          <w14:textFill>
            <w14:solidFill>
              <w14:schemeClr w14:val="tx1"/>
            </w14:solidFill>
          </w14:textFill>
        </w:rPr>
        <w:t>辨识与分析的依据</w:t>
      </w:r>
      <w:bookmarkEnd w:id="146"/>
      <w:bookmarkEnd w:id="147"/>
      <w:bookmarkEnd w:id="148"/>
      <w:bookmarkEnd w:id="149"/>
    </w:p>
    <w:p w14:paraId="7490B3EB">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由于存在危险有害物质、能量和危险有害物质、能量失去控制两方面因素的综合作用，并导致危险有害物质的泄漏、散发和能量的意外释放。因此，存在危险有害物质、能量和危险有害物质失去控制是</w:t>
      </w:r>
      <w:r>
        <w:rPr>
          <w:rFonts w:hint="eastAsia"/>
          <w:color w:val="000000" w:themeColor="text1"/>
          <w:lang w:eastAsia="zh-CN"/>
          <w14:textFill>
            <w14:solidFill>
              <w14:schemeClr w14:val="tx1"/>
            </w14:solidFill>
          </w14:textFill>
        </w:rPr>
        <w:t>危险有害因素</w:t>
      </w:r>
      <w:r>
        <w:rPr>
          <w:rFonts w:hint="eastAsia"/>
          <w:color w:val="000000" w:themeColor="text1"/>
          <w14:textFill>
            <w14:solidFill>
              <w14:schemeClr w14:val="tx1"/>
            </w14:solidFill>
          </w14:textFill>
        </w:rPr>
        <w:t>转换为事故的根本原因。危险有害物质和能量失控主要体现在人的不安全行为、物的不安全状态、环境因素和管理缺陷等四个方面。</w:t>
      </w:r>
    </w:p>
    <w:p w14:paraId="7F925D72">
      <w:pPr>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在对该项目进行主要</w:t>
      </w: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识别时，采用《生产过程危险和有害因素分类与代码》（GB/T13861</w:t>
      </w:r>
      <w:r>
        <w:rPr>
          <w:rFonts w:hint="eastAsia"/>
          <w:color w:val="000000" w:themeColor="text1"/>
          <w:lang w:val="en-US" w:eastAsia="zh-CN"/>
          <w14:textFill>
            <w14:solidFill>
              <w14:schemeClr w14:val="tx1"/>
            </w14:solidFill>
          </w14:textFill>
        </w:rPr>
        <w:t>-</w:t>
      </w:r>
      <w:r>
        <w:rPr>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22</w:t>
      </w:r>
      <w:r>
        <w:rPr>
          <w:color w:val="000000" w:themeColor="text1"/>
          <w14:textFill>
            <w14:solidFill>
              <w14:schemeClr w14:val="tx1"/>
            </w14:solidFill>
          </w14:textFill>
        </w:rPr>
        <w:t>）、《企业职工伤亡事故分类标准标准》（GB6441</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19</w:t>
      </w:r>
      <w:r>
        <w:rPr>
          <w:color w:val="000000" w:themeColor="text1"/>
          <w14:textFill>
            <w14:solidFill>
              <w14:schemeClr w14:val="tx1"/>
            </w14:solidFill>
          </w14:textFill>
        </w:rPr>
        <w:t>86）提出的方法，结合相关法律法规、技术标准及</w:t>
      </w:r>
      <w:r>
        <w:rPr>
          <w:rFonts w:hint="eastAsia"/>
          <w:color w:val="000000" w:themeColor="text1"/>
          <w14:textFill>
            <w14:solidFill>
              <w14:schemeClr w14:val="tx1"/>
            </w14:solidFill>
          </w14:textFill>
        </w:rPr>
        <w:t>本光伏发电站</w:t>
      </w:r>
      <w:r>
        <w:rPr>
          <w:color w:val="000000" w:themeColor="text1"/>
          <w14:textFill>
            <w14:solidFill>
              <w14:schemeClr w14:val="tx1"/>
            </w14:solidFill>
          </w14:textFill>
        </w:rPr>
        <w:t>实际情况进行</w:t>
      </w: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识别。</w:t>
      </w:r>
    </w:p>
    <w:p w14:paraId="703A9251">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按照</w:t>
      </w:r>
      <w:r>
        <w:rPr>
          <w:color w:val="000000" w:themeColor="text1"/>
          <w14:textFill>
            <w14:solidFill>
              <w14:schemeClr w14:val="tx1"/>
            </w14:solidFill>
          </w14:textFill>
        </w:rPr>
        <w:t>《企业职工伤亡事故分类》（GB6441-1986），综合考虑起因物、引起事故的诱导性原因、致害物、伤害方式等，将</w:t>
      </w:r>
      <w:r>
        <w:rPr>
          <w:rFonts w:hint="eastAsia"/>
          <w:color w:val="000000" w:themeColor="text1"/>
          <w14:textFill>
            <w14:solidFill>
              <w14:schemeClr w14:val="tx1"/>
            </w14:solidFill>
          </w14:textFill>
        </w:rPr>
        <w:t>事故类别</w:t>
      </w:r>
      <w:r>
        <w:rPr>
          <w:color w:val="000000" w:themeColor="text1"/>
          <w14:textFill>
            <w14:solidFill>
              <w14:schemeClr w14:val="tx1"/>
            </w14:solidFill>
          </w14:textFill>
        </w:rPr>
        <w:t>分为20类</w:t>
      </w:r>
      <w:r>
        <w:rPr>
          <w:rFonts w:hint="eastAsia"/>
          <w:color w:val="000000" w:themeColor="text1"/>
          <w14:textFill>
            <w14:solidFill>
              <w14:schemeClr w14:val="tx1"/>
            </w14:solidFill>
          </w14:textFill>
        </w:rPr>
        <w:t>，分别为物体打击、车辆伤害、机械伤害、触电、淹溺、灼烫、火灾、高处坠落、坍塌、冒顶片帮、透水、放炮、瓦斯爆炸、火药爆炸、锅炉爆炸、容器爆炸、其他爆炸、中毒和窒息及其他伤害等</w:t>
      </w:r>
      <w:r>
        <w:rPr>
          <w:color w:val="000000" w:themeColor="text1"/>
          <w14:textFill>
            <w14:solidFill>
              <w14:schemeClr w14:val="tx1"/>
            </w14:solidFill>
          </w14:textFill>
        </w:rPr>
        <w:t>。</w:t>
      </w:r>
    </w:p>
    <w:p w14:paraId="4DC3F052">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根据《生产过程危险和有害因素分类与代码》（GB/T13861-2022）的规定，将危险因素分为四类：</w:t>
      </w:r>
    </w:p>
    <w:p w14:paraId="32F1B173">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一、人的因素</w:t>
      </w:r>
    </w:p>
    <w:p w14:paraId="263A37A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1.心理、生理性危险和有害因素；</w:t>
      </w:r>
    </w:p>
    <w:p w14:paraId="7B9FA99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2.行为性危险和有害因素。</w:t>
      </w:r>
    </w:p>
    <w:p w14:paraId="42F3F687">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二、物的因素</w:t>
      </w:r>
    </w:p>
    <w:p w14:paraId="1FCED9D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1.物理性危险和有害因素；</w:t>
      </w:r>
    </w:p>
    <w:p w14:paraId="684B6B5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2.化学性危险和有害因素；</w:t>
      </w:r>
    </w:p>
    <w:p w14:paraId="648907B1">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3.生物性危险和有害因素。</w:t>
      </w:r>
    </w:p>
    <w:p w14:paraId="1B0B06C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三、环境因素</w:t>
      </w:r>
    </w:p>
    <w:p w14:paraId="09053225">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1.室内作业场所环境不良；</w:t>
      </w:r>
    </w:p>
    <w:p w14:paraId="521671E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2.室外作业场地环境不良；</w:t>
      </w:r>
    </w:p>
    <w:p w14:paraId="5CB09B3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3.地下（含水下）作业环境不良；</w:t>
      </w:r>
    </w:p>
    <w:p w14:paraId="6BFAE66C">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4.其他作业环境不良。</w:t>
      </w:r>
    </w:p>
    <w:p w14:paraId="3B509F80">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四、管理因素。</w:t>
      </w:r>
    </w:p>
    <w:p w14:paraId="7B8DA00B">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1.职业安全卫生组织机构设置和人员配备不健全；</w:t>
      </w:r>
    </w:p>
    <w:p w14:paraId="2F63E67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2.职业安全卫生责任制不完善或未落实；</w:t>
      </w:r>
    </w:p>
    <w:p w14:paraId="095E7F9F">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3.职业安全卫生管理规章制度不完善或未落实；</w:t>
      </w:r>
    </w:p>
    <w:p w14:paraId="7CBA8916">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4.职业安全卫生投入不足；</w:t>
      </w:r>
    </w:p>
    <w:p w14:paraId="4E5AE519">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5.应急管理缺陷；</w:t>
      </w:r>
    </w:p>
    <w:p w14:paraId="59D75118">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00" w:lineRule="exact"/>
        <w:ind w:left="0" w:right="0" w:firstLine="560" w:firstLineChars="200"/>
        <w:jc w:val="left"/>
        <w:textAlignment w:val="auto"/>
        <w:outlineLvl w:val="9"/>
        <w:rPr>
          <w:rFonts w:hint="eastAsia" w:ascii="宋体" w:hAnsi="宋体" w:eastAsia="宋体" w:cs="宋体"/>
          <w:color w:val="000000" w:themeColor="text1"/>
          <w:kern w:val="2"/>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
          <w14:textFill>
            <w14:solidFill>
              <w14:schemeClr w14:val="tx1"/>
            </w14:solidFill>
          </w14:textFill>
        </w:rPr>
        <w:t>6.其他管理因素缺陷。</w:t>
      </w:r>
    </w:p>
    <w:p w14:paraId="46DA48C7">
      <w:pPr>
        <w:pStyle w:val="3"/>
        <w:bidi w:val="0"/>
        <w:rPr>
          <w:rFonts w:hint="eastAsia"/>
          <w:color w:val="000000" w:themeColor="text1"/>
          <w:lang w:val="en-US" w:eastAsia="zh-CN"/>
          <w14:textFill>
            <w14:solidFill>
              <w14:schemeClr w14:val="tx1"/>
            </w14:solidFill>
          </w14:textFill>
        </w:rPr>
      </w:pPr>
      <w:bookmarkStart w:id="150" w:name="_Toc3921"/>
      <w:bookmarkStart w:id="151" w:name="_Toc8479"/>
      <w:r>
        <w:rPr>
          <w:rFonts w:hint="eastAsia"/>
          <w:color w:val="000000" w:themeColor="text1"/>
          <w:lang w:val="en-US" w:eastAsia="zh-CN"/>
          <w14:textFill>
            <w14:solidFill>
              <w14:schemeClr w14:val="tx1"/>
            </w14:solidFill>
          </w14:textFill>
        </w:rPr>
        <w:t>主要物料特性及其危险性</w:t>
      </w:r>
      <w:bookmarkEnd w:id="150"/>
      <w:bookmarkEnd w:id="151"/>
    </w:p>
    <w:p w14:paraId="2BBE642E">
      <w:pPr>
        <w:keepNext w:val="0"/>
        <w:keepLines w:val="0"/>
        <w:pageBreakBefore w:val="0"/>
        <w:widowControl w:val="0"/>
        <w:kinsoku/>
        <w:bidi w:val="0"/>
        <w:ind w:firstLine="560" w:firstLineChars="200"/>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通过对该项目工艺过程、辅助设施等进行分析，得出项目生产中涉及的主要危险、有害物质有：</w:t>
      </w:r>
    </w:p>
    <w:p w14:paraId="3FCFF3EF">
      <w:pPr>
        <w:keepNext w:val="0"/>
        <w:keepLines w:val="0"/>
        <w:pageBreakBefore w:val="0"/>
        <w:widowControl w:val="0"/>
        <w:numPr>
          <w:ilvl w:val="0"/>
          <w:numId w:val="20"/>
        </w:numPr>
        <w:kinsoku/>
        <w:bidi w:val="0"/>
        <w:ind w:left="0" w:leftChars="0" w:firstLine="560" w:firstLineChars="200"/>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绝缘油（变压器油）；</w:t>
      </w:r>
    </w:p>
    <w:p w14:paraId="03718AEA">
      <w:pPr>
        <w:keepNext w:val="0"/>
        <w:keepLines w:val="0"/>
        <w:pageBreakBefore w:val="0"/>
        <w:widowControl w:val="0"/>
        <w:numPr>
          <w:ilvl w:val="0"/>
          <w:numId w:val="20"/>
        </w:numPr>
        <w:kinsoku/>
        <w:bidi w:val="0"/>
        <w:ind w:left="0" w:leftChars="0" w:firstLine="560" w:firstLineChars="200"/>
        <w:rPr>
          <w:rFonts w:hint="eastAsia" w:cstheme="minorBidi"/>
          <w:color w:val="000000" w:themeColor="text1"/>
          <w:sz w:val="28"/>
          <w:szCs w:val="22"/>
          <w:lang w:val="en-US" w:eastAsia="zh-CN"/>
          <w14:textFill>
            <w14:solidFill>
              <w14:schemeClr w14:val="tx1"/>
            </w14:solidFill>
          </w14:textFill>
        </w:rPr>
      </w:pPr>
      <w:r>
        <w:rPr>
          <w:rFonts w:hint="eastAsia" w:cstheme="minorBidi"/>
          <w:color w:val="000000" w:themeColor="text1"/>
          <w:sz w:val="28"/>
          <w:szCs w:val="22"/>
          <w:lang w:val="en-US" w:eastAsia="zh-CN"/>
          <w14:textFill>
            <w14:solidFill>
              <w14:schemeClr w14:val="tx1"/>
            </w14:solidFill>
          </w14:textFill>
        </w:rPr>
        <w:t>施工及检修焊接时经常使用的氧气、乙炔。</w:t>
      </w:r>
    </w:p>
    <w:p w14:paraId="55137CD8">
      <w:pPr>
        <w:pStyle w:val="4"/>
        <w:bidi w:val="0"/>
        <w:rPr>
          <w:rFonts w:hint="eastAsia"/>
          <w:color w:val="000000" w:themeColor="text1"/>
          <w:lang w:val="en-US" w:eastAsia="zh-CN"/>
          <w14:textFill>
            <w14:solidFill>
              <w14:schemeClr w14:val="tx1"/>
            </w14:solidFill>
          </w14:textFill>
        </w:rPr>
      </w:pPr>
      <w:bookmarkStart w:id="152" w:name="_Toc9666"/>
      <w:r>
        <w:rPr>
          <w:rStyle w:val="37"/>
          <w:rFonts w:hint="eastAsia"/>
          <w:b/>
          <w:color w:val="000000" w:themeColor="text1"/>
          <w:lang w:val="en-US" w:eastAsia="zh-CN"/>
          <w14:textFill>
            <w14:solidFill>
              <w14:schemeClr w14:val="tx1"/>
            </w14:solidFill>
          </w14:textFill>
        </w:rPr>
        <w:t>绝缘油（变压器油）</w:t>
      </w:r>
      <w:bookmarkEnd w:id="152"/>
    </w:p>
    <w:p w14:paraId="0833E3CB">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油属于人工合成的液体绝缘材料（合成油），多选用电气性能优良、稳定性好，特别是具有不燃性的极性液体多氯联苯（PCB），用于电容器和变压器，提高了容量和安全性，后来由于PCB的毒性被限制使用或禁用。目前变压器油主要有十二烷基苯（DDB，与矿物油混合）、硅油及酯类合成油。</w:t>
      </w:r>
    </w:p>
    <w:p w14:paraId="5110C630">
      <w:pPr>
        <w:keepNext w:val="0"/>
        <w:keepLines w:val="0"/>
        <w:pageBreakBefore w:val="0"/>
        <w:widowControl w:val="0"/>
        <w:numPr>
          <w:ilvl w:val="0"/>
          <w:numId w:val="21"/>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绝缘油含水分对变压器的危害：</w:t>
      </w:r>
    </w:p>
    <w:p w14:paraId="10226EBE">
      <w:pPr>
        <w:keepNext w:val="0"/>
        <w:keepLines w:val="0"/>
        <w:pageBreakBefore w:val="0"/>
        <w:widowControl w:val="0"/>
        <w:numPr>
          <w:ilvl w:val="0"/>
          <w:numId w:val="22"/>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水分对绝缘油的危害是十分严重的，油中水分会加速油的劣化，使其电气性能恶化，降低电气强度。含水量高的油可能降低甚至丧失延缓绝缘纸受潮的功能。当油纸水分平衡紊乱时，甚至可导致绝缘击穿。此外，油中水分还会使油的局部放电起始电压降低，局部放电强度增高。</w:t>
      </w:r>
    </w:p>
    <w:p w14:paraId="2E618C83">
      <w:pPr>
        <w:keepNext w:val="0"/>
        <w:keepLines w:val="0"/>
        <w:pageBreakBefore w:val="0"/>
        <w:widowControl w:val="0"/>
        <w:numPr>
          <w:ilvl w:val="0"/>
          <w:numId w:val="22"/>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绝缘油含水量对油本身的劣化也起着加速作用。而且油中水分会使油的局部放电起始电压降低，局部放电强度增加。因此，变压器维护中应尽可能降低油中水分，并加强油中含水量的监控和测量。</w:t>
      </w:r>
    </w:p>
    <w:p w14:paraId="531E8237">
      <w:pPr>
        <w:keepNext w:val="0"/>
        <w:keepLines w:val="0"/>
        <w:pageBreakBefore w:val="0"/>
        <w:widowControl w:val="0"/>
        <w:numPr>
          <w:ilvl w:val="0"/>
          <w:numId w:val="21"/>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绝缘油酸价增大对变压器的危害：</w:t>
      </w:r>
    </w:p>
    <w:p w14:paraId="6048EB09">
      <w:pPr>
        <w:keepNext w:val="0"/>
        <w:keepLines w:val="0"/>
        <w:pageBreakBefore w:val="0"/>
        <w:widowControl w:val="0"/>
        <w:numPr>
          <w:ilvl w:val="0"/>
          <w:numId w:val="23"/>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绝缘油的酸性组成部分对金属部件有一定的腐蚀作用，在有水或氧存在及高温条件下更为显著。</w:t>
      </w:r>
    </w:p>
    <w:p w14:paraId="79A30E93">
      <w:pPr>
        <w:keepNext w:val="0"/>
        <w:keepLines w:val="0"/>
        <w:pageBreakBefore w:val="0"/>
        <w:widowControl w:val="0"/>
        <w:numPr>
          <w:ilvl w:val="0"/>
          <w:numId w:val="23"/>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酸性组分对绝缘纤维起分解破坏作用，尤其有水分存在时，可以大幅度降低纤维质绝缘材料的机械强度。</w:t>
      </w:r>
    </w:p>
    <w:p w14:paraId="36502F95">
      <w:pPr>
        <w:keepNext w:val="0"/>
        <w:keepLines w:val="0"/>
        <w:pageBreakBefore w:val="0"/>
        <w:widowControl w:val="0"/>
        <w:numPr>
          <w:ilvl w:val="0"/>
          <w:numId w:val="23"/>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影响油的其它性能，如降低油的介电强度，增大粘度等。</w:t>
      </w:r>
    </w:p>
    <w:p w14:paraId="04156D01">
      <w:pPr>
        <w:pStyle w:val="14"/>
        <w:keepNext w:val="0"/>
        <w:keepLines w:val="0"/>
        <w:pageBreakBefore w:val="0"/>
        <w:widowControl w:val="0"/>
        <w:kinsoku/>
        <w:wordWrap/>
        <w:overflowPunct/>
        <w:topLinePunct w:val="0"/>
        <w:autoSpaceDE/>
        <w:autoSpaceDN/>
        <w:bidi w:val="0"/>
        <w:adjustRightInd/>
        <w:snapToGrid/>
        <w:spacing w:after="0" w:line="500" w:lineRule="exact"/>
        <w:ind w:firstLine="482" w:firstLineChars="200"/>
        <w:jc w:val="center"/>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表3.</w:t>
      </w: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eastAsia="zh-CN"/>
        </w:rPr>
        <w:t>-1变压器油的理化性质及危险特性表</w:t>
      </w:r>
    </w:p>
    <w:tbl>
      <w:tblPr>
        <w:tblStyle w:val="28"/>
        <w:tblpPr w:leftFromText="180" w:rightFromText="180" w:vertAnchor="text" w:horzAnchor="page" w:tblpX="1881" w:tblpY="178"/>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1397"/>
        <w:gridCol w:w="2039"/>
        <w:gridCol w:w="2306"/>
        <w:gridCol w:w="2462"/>
      </w:tblGrid>
      <w:tr w14:paraId="1F91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blHeader/>
        </w:trPr>
        <w:tc>
          <w:tcPr>
            <w:tcW w:w="1267" w:type="pct"/>
            <w:gridSpan w:val="2"/>
            <w:shd w:val="clear" w:color="auto" w:fill="auto"/>
            <w:vAlign w:val="center"/>
          </w:tcPr>
          <w:p w14:paraId="4503850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产品名称+D5:H51</w:t>
            </w:r>
          </w:p>
        </w:tc>
        <w:tc>
          <w:tcPr>
            <w:tcW w:w="3732" w:type="pct"/>
            <w:gridSpan w:val="3"/>
            <w:shd w:val="clear" w:color="auto" w:fill="auto"/>
            <w:vAlign w:val="center"/>
          </w:tcPr>
          <w:p w14:paraId="3313F45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变压器油</w:t>
            </w:r>
          </w:p>
        </w:tc>
      </w:tr>
      <w:tr w14:paraId="2816A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trPr>
        <w:tc>
          <w:tcPr>
            <w:tcW w:w="1267" w:type="pct"/>
            <w:gridSpan w:val="2"/>
            <w:shd w:val="clear" w:color="auto" w:fill="auto"/>
            <w:vAlign w:val="center"/>
          </w:tcPr>
          <w:p w14:paraId="3D9B93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化学品英文名称</w:t>
            </w:r>
          </w:p>
        </w:tc>
        <w:tc>
          <w:tcPr>
            <w:tcW w:w="3732" w:type="pct"/>
            <w:gridSpan w:val="3"/>
            <w:shd w:val="clear" w:color="auto" w:fill="auto"/>
            <w:vAlign w:val="center"/>
          </w:tcPr>
          <w:p w14:paraId="1465FF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transformer oil</w:t>
            </w:r>
          </w:p>
        </w:tc>
      </w:tr>
      <w:tr w14:paraId="0774F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8DD54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性状</w:t>
            </w:r>
          </w:p>
        </w:tc>
        <w:tc>
          <w:tcPr>
            <w:tcW w:w="1118" w:type="pct"/>
            <w:shd w:val="clear" w:color="auto" w:fill="auto"/>
            <w:vAlign w:val="center"/>
          </w:tcPr>
          <w:p w14:paraId="2E0A165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浅色液体</w:t>
            </w:r>
          </w:p>
        </w:tc>
        <w:tc>
          <w:tcPr>
            <w:tcW w:w="1264" w:type="pct"/>
            <w:shd w:val="clear" w:color="auto" w:fill="auto"/>
            <w:vAlign w:val="center"/>
          </w:tcPr>
          <w:p w14:paraId="540886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颜色</w:t>
            </w:r>
          </w:p>
        </w:tc>
        <w:tc>
          <w:tcPr>
            <w:tcW w:w="1349" w:type="pct"/>
            <w:shd w:val="clear" w:color="auto" w:fill="auto"/>
            <w:vAlign w:val="center"/>
          </w:tcPr>
          <w:p w14:paraId="661D27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&lt;1.0</w:t>
            </w:r>
          </w:p>
        </w:tc>
      </w:tr>
      <w:tr w14:paraId="180CE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2D21E18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气味</w:t>
            </w:r>
          </w:p>
        </w:tc>
        <w:tc>
          <w:tcPr>
            <w:tcW w:w="1118" w:type="pct"/>
            <w:shd w:val="clear" w:color="auto" w:fill="auto"/>
            <w:vAlign w:val="center"/>
          </w:tcPr>
          <w:p w14:paraId="07D594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无味</w:t>
            </w:r>
          </w:p>
        </w:tc>
        <w:tc>
          <w:tcPr>
            <w:tcW w:w="1264" w:type="pct"/>
            <w:shd w:val="clear" w:color="auto" w:fill="auto"/>
            <w:vAlign w:val="center"/>
          </w:tcPr>
          <w:p w14:paraId="27B526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倾点</w:t>
            </w:r>
          </w:p>
        </w:tc>
        <w:tc>
          <w:tcPr>
            <w:tcW w:w="1349" w:type="pct"/>
            <w:shd w:val="clear" w:color="auto" w:fill="auto"/>
            <w:vAlign w:val="center"/>
          </w:tcPr>
          <w:p w14:paraId="6B9040A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&lt;-35℃</w:t>
            </w:r>
          </w:p>
        </w:tc>
      </w:tr>
      <w:tr w14:paraId="6053E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434741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初馏点</w:t>
            </w:r>
          </w:p>
        </w:tc>
        <w:tc>
          <w:tcPr>
            <w:tcW w:w="1118" w:type="pct"/>
            <w:shd w:val="clear" w:color="auto" w:fill="auto"/>
            <w:vAlign w:val="center"/>
          </w:tcPr>
          <w:p w14:paraId="1FB4948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&gt;250℃</w:t>
            </w:r>
          </w:p>
        </w:tc>
        <w:tc>
          <w:tcPr>
            <w:tcW w:w="1264" w:type="pct"/>
            <w:shd w:val="clear" w:color="auto" w:fill="auto"/>
            <w:vAlign w:val="center"/>
          </w:tcPr>
          <w:p w14:paraId="6DB353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密度</w:t>
            </w:r>
          </w:p>
        </w:tc>
        <w:tc>
          <w:tcPr>
            <w:tcW w:w="1349" w:type="pct"/>
            <w:shd w:val="clear" w:color="auto" w:fill="auto"/>
            <w:vAlign w:val="center"/>
          </w:tcPr>
          <w:p w14:paraId="138494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882 kg/m</w:t>
            </w:r>
            <w:r>
              <w:rPr>
                <w:rFonts w:hint="eastAsia" w:ascii="宋体" w:hAnsi="宋体" w:eastAsia="宋体" w:cs="宋体"/>
                <w:sz w:val="21"/>
                <w:szCs w:val="21"/>
                <w:vertAlign w:val="superscript"/>
              </w:rPr>
              <w:t>3</w:t>
            </w:r>
          </w:p>
        </w:tc>
      </w:tr>
      <w:tr w14:paraId="1B58B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E48B2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闪点</w:t>
            </w:r>
          </w:p>
        </w:tc>
        <w:tc>
          <w:tcPr>
            <w:tcW w:w="1118" w:type="pct"/>
            <w:shd w:val="clear" w:color="auto" w:fill="auto"/>
            <w:vAlign w:val="center"/>
          </w:tcPr>
          <w:p w14:paraId="15F598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&gt;140℃</w:t>
            </w:r>
          </w:p>
        </w:tc>
        <w:tc>
          <w:tcPr>
            <w:tcW w:w="1264" w:type="pct"/>
            <w:shd w:val="clear" w:color="auto" w:fill="auto"/>
            <w:vAlign w:val="center"/>
          </w:tcPr>
          <w:p w14:paraId="09EEB7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自燃点</w:t>
            </w:r>
          </w:p>
        </w:tc>
        <w:tc>
          <w:tcPr>
            <w:tcW w:w="1349" w:type="pct"/>
            <w:shd w:val="clear" w:color="auto" w:fill="auto"/>
            <w:vAlign w:val="center"/>
          </w:tcPr>
          <w:p w14:paraId="260B52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&gt;270°C</w:t>
            </w:r>
          </w:p>
        </w:tc>
      </w:tr>
      <w:tr w14:paraId="4826B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3695050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水中溶解性</w:t>
            </w:r>
          </w:p>
        </w:tc>
        <w:tc>
          <w:tcPr>
            <w:tcW w:w="1118" w:type="pct"/>
            <w:shd w:val="clear" w:color="auto" w:fill="auto"/>
            <w:vAlign w:val="center"/>
          </w:tcPr>
          <w:p w14:paraId="0DEE59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不溶</w:t>
            </w:r>
          </w:p>
        </w:tc>
        <w:tc>
          <w:tcPr>
            <w:tcW w:w="1264" w:type="pct"/>
            <w:shd w:val="clear" w:color="auto" w:fill="auto"/>
            <w:vAlign w:val="center"/>
          </w:tcPr>
          <w:p w14:paraId="0BFD7D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有机溶剂中溶解性</w:t>
            </w:r>
          </w:p>
        </w:tc>
        <w:tc>
          <w:tcPr>
            <w:tcW w:w="1349" w:type="pct"/>
            <w:shd w:val="clear" w:color="auto" w:fill="auto"/>
            <w:vAlign w:val="center"/>
          </w:tcPr>
          <w:p w14:paraId="16C615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可溶</w:t>
            </w:r>
          </w:p>
        </w:tc>
      </w:tr>
      <w:tr w14:paraId="50F89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FC75E9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粘度</w:t>
            </w:r>
          </w:p>
        </w:tc>
        <w:tc>
          <w:tcPr>
            <w:tcW w:w="3732" w:type="pct"/>
            <w:gridSpan w:val="3"/>
            <w:shd w:val="clear" w:color="auto" w:fill="auto"/>
            <w:vAlign w:val="center"/>
          </w:tcPr>
          <w:p w14:paraId="6E83CA6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&lt;13mm²/s</w:t>
            </w:r>
          </w:p>
        </w:tc>
      </w:tr>
      <w:tr w14:paraId="2629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6AC123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碳型分析</w:t>
            </w:r>
          </w:p>
        </w:tc>
        <w:tc>
          <w:tcPr>
            <w:tcW w:w="3732" w:type="pct"/>
            <w:gridSpan w:val="3"/>
            <w:shd w:val="clear" w:color="auto" w:fill="auto"/>
            <w:vAlign w:val="center"/>
          </w:tcPr>
          <w:p w14:paraId="0E7B2A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CA,%&lt;10      CN,%&gt;40;</w:t>
            </w:r>
          </w:p>
        </w:tc>
      </w:tr>
      <w:tr w14:paraId="3114E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2F4899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PCA含量DMSO</w:t>
            </w:r>
          </w:p>
        </w:tc>
        <w:tc>
          <w:tcPr>
            <w:tcW w:w="3732" w:type="pct"/>
            <w:gridSpan w:val="3"/>
            <w:shd w:val="clear" w:color="auto" w:fill="auto"/>
            <w:vAlign w:val="center"/>
          </w:tcPr>
          <w:p w14:paraId="0F404E9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&lt;3%</w:t>
            </w:r>
          </w:p>
        </w:tc>
      </w:tr>
      <w:tr w14:paraId="7C55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267" w:type="pct"/>
            <w:gridSpan w:val="2"/>
            <w:shd w:val="clear" w:color="auto" w:fill="auto"/>
            <w:vAlign w:val="center"/>
          </w:tcPr>
          <w:p w14:paraId="0B3E3EE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有害物成分</w:t>
            </w:r>
          </w:p>
        </w:tc>
        <w:tc>
          <w:tcPr>
            <w:tcW w:w="3732" w:type="pct"/>
            <w:gridSpan w:val="3"/>
            <w:shd w:val="clear" w:color="auto" w:fill="auto"/>
            <w:vAlign w:val="center"/>
          </w:tcPr>
          <w:p w14:paraId="6DFF75C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烷烃、环烷族饱和烃、芳香族不饱和烃等组成的化合物</w:t>
            </w:r>
          </w:p>
        </w:tc>
      </w:tr>
      <w:tr w14:paraId="12219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7AB044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危险性概述</w:t>
            </w:r>
          </w:p>
        </w:tc>
        <w:tc>
          <w:tcPr>
            <w:tcW w:w="765" w:type="pct"/>
            <w:shd w:val="clear" w:color="auto" w:fill="auto"/>
            <w:vAlign w:val="center"/>
          </w:tcPr>
          <w:p w14:paraId="574900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物理和化学危险</w:t>
            </w:r>
          </w:p>
        </w:tc>
        <w:tc>
          <w:tcPr>
            <w:tcW w:w="3732" w:type="pct"/>
            <w:gridSpan w:val="3"/>
            <w:shd w:val="clear" w:color="auto" w:fill="auto"/>
            <w:vAlign w:val="center"/>
          </w:tcPr>
          <w:p w14:paraId="269DE33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温度升高超过物理性质的指标时，会释放出可燃的蒸气和分解产物。</w:t>
            </w:r>
          </w:p>
        </w:tc>
      </w:tr>
      <w:tr w14:paraId="20D2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01" w:type="pct"/>
            <w:vMerge w:val="continue"/>
            <w:vAlign w:val="center"/>
          </w:tcPr>
          <w:p w14:paraId="2DDFA9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765" w:type="pct"/>
            <w:shd w:val="clear" w:color="auto" w:fill="auto"/>
            <w:vAlign w:val="center"/>
          </w:tcPr>
          <w:p w14:paraId="786F47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人类健康</w:t>
            </w:r>
          </w:p>
        </w:tc>
        <w:tc>
          <w:tcPr>
            <w:tcW w:w="3732" w:type="pct"/>
            <w:gridSpan w:val="3"/>
            <w:shd w:val="clear" w:color="auto" w:fill="auto"/>
            <w:vAlign w:val="center"/>
          </w:tcPr>
          <w:p w14:paraId="6011AAC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吸入蒸气或烟雾(在高温情况下才会产生)会刺激呼吸道。长期或重复皮肤接触会造成脱脂或刺激。眼睛接触可能引起刺激。</w:t>
            </w:r>
          </w:p>
        </w:tc>
      </w:tr>
      <w:tr w14:paraId="18664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4329AE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765" w:type="pct"/>
            <w:shd w:val="clear" w:color="auto" w:fill="auto"/>
            <w:vAlign w:val="center"/>
          </w:tcPr>
          <w:p w14:paraId="310548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环境</w:t>
            </w:r>
          </w:p>
        </w:tc>
        <w:tc>
          <w:tcPr>
            <w:tcW w:w="3732" w:type="pct"/>
            <w:gridSpan w:val="3"/>
            <w:shd w:val="clear" w:color="auto" w:fill="auto"/>
            <w:vAlign w:val="center"/>
          </w:tcPr>
          <w:p w14:paraId="32C05AC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矿物白油缓慢生物降解，产品将在环境中保留一段时间。存在污染地面、土壤和水的风险。</w:t>
            </w:r>
          </w:p>
        </w:tc>
      </w:tr>
      <w:tr w14:paraId="30999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5D0FC8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498" w:type="pct"/>
            <w:gridSpan w:val="4"/>
            <w:shd w:val="clear" w:color="auto" w:fill="auto"/>
            <w:vAlign w:val="center"/>
          </w:tcPr>
          <w:p w14:paraId="5D736F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备注：在正常使用的情况下，本产品不存在不可预计的危险。</w:t>
            </w:r>
          </w:p>
        </w:tc>
      </w:tr>
      <w:tr w14:paraId="70716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1054395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急救</w:t>
            </w:r>
          </w:p>
          <w:p w14:paraId="0A27D6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措施</w:t>
            </w:r>
          </w:p>
        </w:tc>
        <w:tc>
          <w:tcPr>
            <w:tcW w:w="765" w:type="pct"/>
            <w:shd w:val="clear" w:color="auto" w:fill="auto"/>
            <w:vAlign w:val="center"/>
          </w:tcPr>
          <w:p w14:paraId="35668D6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皮肤接触</w:t>
            </w:r>
          </w:p>
        </w:tc>
        <w:tc>
          <w:tcPr>
            <w:tcW w:w="3732" w:type="pct"/>
            <w:gridSpan w:val="3"/>
            <w:shd w:val="clear" w:color="auto" w:fill="auto"/>
            <w:vAlign w:val="center"/>
          </w:tcPr>
          <w:p w14:paraId="3A4B29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立即脱去被污染的衣物，擦去矿物油，并用香皂和大量水清洗。衣物未清洗前勿使用。如果发生刺激反应，请与医生联系。</w:t>
            </w:r>
          </w:p>
        </w:tc>
      </w:tr>
      <w:tr w14:paraId="1C939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49EFE8E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13C7358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眼睛接触</w:t>
            </w:r>
          </w:p>
        </w:tc>
        <w:tc>
          <w:tcPr>
            <w:tcW w:w="3732" w:type="pct"/>
            <w:gridSpan w:val="3"/>
            <w:shd w:val="clear" w:color="auto" w:fill="auto"/>
            <w:vAlign w:val="center"/>
          </w:tcPr>
          <w:p w14:paraId="5C5DFBD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用大量的水清洗。如果发生刺激反应，请与医生联系。</w:t>
            </w:r>
          </w:p>
        </w:tc>
      </w:tr>
      <w:tr w14:paraId="193F5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6461092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79A86A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吸入</w:t>
            </w:r>
          </w:p>
        </w:tc>
        <w:tc>
          <w:tcPr>
            <w:tcW w:w="3732" w:type="pct"/>
            <w:gridSpan w:val="3"/>
            <w:shd w:val="clear" w:color="auto" w:fill="auto"/>
            <w:vAlign w:val="center"/>
          </w:tcPr>
          <w:p w14:paraId="4CFCCC8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如果吸入雾、烟或蒸气引起刺激反应，立即转移到新鲜空气处。如果 呼吸困难可进行吸氧。如症状未缓解，请与医生联系。如呼吸停止应</w:t>
            </w:r>
          </w:p>
        </w:tc>
      </w:tr>
      <w:tr w14:paraId="6EED5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DB2612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2F46FB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吸入</w:t>
            </w:r>
          </w:p>
        </w:tc>
        <w:tc>
          <w:tcPr>
            <w:tcW w:w="3732" w:type="pct"/>
            <w:gridSpan w:val="3"/>
            <w:shd w:val="clear" w:color="auto" w:fill="auto"/>
            <w:vAlign w:val="center"/>
          </w:tcPr>
          <w:p w14:paraId="512762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进行人工呼吸并立即送医院就诊。</w:t>
            </w:r>
          </w:p>
        </w:tc>
      </w:tr>
      <w:tr w14:paraId="68C87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1B4ACF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2B5BB9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食入</w:t>
            </w:r>
          </w:p>
        </w:tc>
        <w:tc>
          <w:tcPr>
            <w:tcW w:w="3732" w:type="pct"/>
            <w:gridSpan w:val="3"/>
            <w:shd w:val="clear" w:color="auto" w:fill="auto"/>
            <w:vAlign w:val="center"/>
          </w:tcPr>
          <w:p w14:paraId="78DD9C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用水清洗口腔。如果吞下量较大请与医生联系。不要进行催吐。</w:t>
            </w:r>
          </w:p>
        </w:tc>
      </w:tr>
      <w:tr w14:paraId="7E92D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6E5C999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消防</w:t>
            </w:r>
          </w:p>
          <w:p w14:paraId="717DB31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措施</w:t>
            </w:r>
          </w:p>
        </w:tc>
        <w:tc>
          <w:tcPr>
            <w:tcW w:w="765" w:type="pct"/>
            <w:shd w:val="clear" w:color="auto" w:fill="auto"/>
            <w:vAlign w:val="center"/>
          </w:tcPr>
          <w:p w14:paraId="7E4D374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合适的</w:t>
            </w:r>
          </w:p>
          <w:p w14:paraId="734E6D3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灭火剂</w:t>
            </w:r>
          </w:p>
        </w:tc>
        <w:tc>
          <w:tcPr>
            <w:tcW w:w="3732" w:type="pct"/>
            <w:gridSpan w:val="3"/>
            <w:shd w:val="clear" w:color="auto" w:fill="auto"/>
            <w:vAlign w:val="center"/>
          </w:tcPr>
          <w:p w14:paraId="22C1C4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使用干粉、二氧化碳或泡沫灭火剂。也可使用喷雾或水雾。</w:t>
            </w:r>
          </w:p>
        </w:tc>
      </w:tr>
      <w:tr w14:paraId="0BEC4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6373D1B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6D40D3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不能使用的灭火剂</w:t>
            </w:r>
          </w:p>
        </w:tc>
        <w:tc>
          <w:tcPr>
            <w:tcW w:w="3732" w:type="pct"/>
            <w:gridSpan w:val="3"/>
            <w:shd w:val="clear" w:color="auto" w:fill="auto"/>
            <w:vAlign w:val="center"/>
          </w:tcPr>
          <w:p w14:paraId="6AEFC88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不要直接使用水流。</w:t>
            </w:r>
          </w:p>
        </w:tc>
      </w:tr>
      <w:tr w14:paraId="5A603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0264C7A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6F4CB0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消防人员</w:t>
            </w:r>
          </w:p>
          <w:p w14:paraId="6C1C265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防护</w:t>
            </w:r>
          </w:p>
        </w:tc>
        <w:tc>
          <w:tcPr>
            <w:tcW w:w="3732" w:type="pct"/>
            <w:gridSpan w:val="3"/>
            <w:shd w:val="clear" w:color="auto" w:fill="auto"/>
            <w:vAlign w:val="center"/>
          </w:tcPr>
          <w:p w14:paraId="0EF7FA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消防人员应穿着全身防护服，并配带正压呼吸器。</w:t>
            </w:r>
          </w:p>
        </w:tc>
      </w:tr>
      <w:tr w14:paraId="5A8FE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01" w:type="pct"/>
            <w:vMerge w:val="restart"/>
            <w:shd w:val="clear" w:color="auto" w:fill="auto"/>
            <w:vAlign w:val="center"/>
          </w:tcPr>
          <w:p w14:paraId="37EE461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意外泄漏漏应急处理</w:t>
            </w:r>
          </w:p>
        </w:tc>
        <w:tc>
          <w:tcPr>
            <w:tcW w:w="765" w:type="pct"/>
            <w:shd w:val="clear" w:color="auto" w:fill="auto"/>
            <w:vAlign w:val="center"/>
          </w:tcPr>
          <w:p w14:paraId="4B0433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个人措施</w:t>
            </w:r>
          </w:p>
        </w:tc>
        <w:tc>
          <w:tcPr>
            <w:tcW w:w="3732" w:type="pct"/>
            <w:gridSpan w:val="3"/>
            <w:shd w:val="clear" w:color="auto" w:fill="auto"/>
            <w:vAlign w:val="center"/>
          </w:tcPr>
          <w:p w14:paraId="7B35D09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佩带适当的防护设备。立即熄灭火源。</w:t>
            </w:r>
          </w:p>
        </w:tc>
      </w:tr>
      <w:tr w14:paraId="06E5A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01" w:type="pct"/>
            <w:vMerge w:val="continue"/>
            <w:vAlign w:val="center"/>
          </w:tcPr>
          <w:p w14:paraId="5E3FD6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521D826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环境措施</w:t>
            </w:r>
          </w:p>
        </w:tc>
        <w:tc>
          <w:tcPr>
            <w:tcW w:w="3732" w:type="pct"/>
            <w:gridSpan w:val="3"/>
            <w:shd w:val="clear" w:color="auto" w:fill="auto"/>
            <w:vAlign w:val="center"/>
          </w:tcPr>
          <w:p w14:paraId="512155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防止溢出物进入或蔓延到排水沟、水道和土壤中。与当地环境保护部门联系。</w:t>
            </w:r>
          </w:p>
        </w:tc>
      </w:tr>
      <w:tr w14:paraId="04305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3267A67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4D69B5A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清洁方法</w:t>
            </w:r>
          </w:p>
        </w:tc>
        <w:tc>
          <w:tcPr>
            <w:tcW w:w="3732" w:type="pct"/>
            <w:gridSpan w:val="3"/>
            <w:shd w:val="clear" w:color="auto" w:fill="auto"/>
            <w:vAlign w:val="center"/>
          </w:tcPr>
          <w:p w14:paraId="6B6B087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如果无危险，应尽快停止泄漏。少量泄漏使，用粘土、沙、土或其它合适的材料吸收。大量泄漏时，用泵将泄漏的油泵入合适的容器中，然后再用上面提到的材料吸收。正确的废气方法按第13部分。</w:t>
            </w:r>
          </w:p>
        </w:tc>
      </w:tr>
      <w:tr w14:paraId="7AE60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01" w:type="pct"/>
            <w:vMerge w:val="restart"/>
            <w:shd w:val="clear" w:color="auto" w:fill="auto"/>
            <w:vAlign w:val="center"/>
          </w:tcPr>
          <w:p w14:paraId="4DB4ABB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操作处置与储存</w:t>
            </w:r>
          </w:p>
        </w:tc>
        <w:tc>
          <w:tcPr>
            <w:tcW w:w="765" w:type="pct"/>
            <w:shd w:val="clear" w:color="auto" w:fill="auto"/>
            <w:vAlign w:val="center"/>
          </w:tcPr>
          <w:p w14:paraId="272C69B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处理</w:t>
            </w:r>
          </w:p>
        </w:tc>
        <w:tc>
          <w:tcPr>
            <w:tcW w:w="3732" w:type="pct"/>
            <w:gridSpan w:val="3"/>
            <w:shd w:val="clear" w:color="auto" w:fill="auto"/>
            <w:vAlign w:val="center"/>
          </w:tcPr>
          <w:p w14:paraId="6DE164D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避免热、明火和强氧化剂。所有处理设备要进行接地，以防电火花。如果处于高温下或高速运动的机械设备中，可能会释放出蒸气或雾，因此需要良好的通风，使用防爆通风设备。</w:t>
            </w:r>
          </w:p>
        </w:tc>
      </w:tr>
      <w:tr w14:paraId="59244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665FC22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02A8A7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贮存</w:t>
            </w:r>
          </w:p>
        </w:tc>
        <w:tc>
          <w:tcPr>
            <w:tcW w:w="3732" w:type="pct"/>
            <w:gridSpan w:val="3"/>
            <w:shd w:val="clear" w:color="auto" w:fill="auto"/>
            <w:vAlign w:val="center"/>
          </w:tcPr>
          <w:p w14:paraId="1B2E454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贮存于干燥，凉爽环境下，通风良好处。避免强烈日光，明火和高温。</w:t>
            </w:r>
          </w:p>
        </w:tc>
      </w:tr>
      <w:tr w14:paraId="5124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501" w:type="pct"/>
            <w:vMerge w:val="restart"/>
            <w:shd w:val="clear" w:color="auto" w:fill="auto"/>
            <w:vAlign w:val="center"/>
          </w:tcPr>
          <w:p w14:paraId="5EC20CC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接触控制个体防护</w:t>
            </w:r>
          </w:p>
        </w:tc>
        <w:tc>
          <w:tcPr>
            <w:tcW w:w="765" w:type="pct"/>
            <w:shd w:val="clear" w:color="auto" w:fill="auto"/>
            <w:vAlign w:val="center"/>
          </w:tcPr>
          <w:p w14:paraId="5571F2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控制因素</w:t>
            </w:r>
          </w:p>
        </w:tc>
        <w:tc>
          <w:tcPr>
            <w:tcW w:w="3732" w:type="pct"/>
            <w:gridSpan w:val="3"/>
            <w:shd w:val="clear" w:color="auto" w:fill="auto"/>
            <w:vAlign w:val="center"/>
          </w:tcPr>
          <w:p w14:paraId="0F79DD1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如果存在矿物油的尘雾，应进行通风。</w:t>
            </w:r>
          </w:p>
        </w:tc>
      </w:tr>
      <w:tr w14:paraId="02F25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21BDF2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324BB0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呼吸防护</w:t>
            </w:r>
          </w:p>
        </w:tc>
        <w:tc>
          <w:tcPr>
            <w:tcW w:w="3732" w:type="pct"/>
            <w:gridSpan w:val="3"/>
            <w:shd w:val="clear" w:color="auto" w:fill="auto"/>
            <w:vAlign w:val="center"/>
          </w:tcPr>
          <w:p w14:paraId="1CC9C0B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如果产品需要加热，应佩戴能防护有机物蒸气的面具或呼吸器。</w:t>
            </w:r>
          </w:p>
        </w:tc>
      </w:tr>
      <w:tr w14:paraId="5A28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25FD183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7996BB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手的防护</w:t>
            </w:r>
          </w:p>
        </w:tc>
        <w:tc>
          <w:tcPr>
            <w:tcW w:w="3732" w:type="pct"/>
            <w:gridSpan w:val="3"/>
            <w:shd w:val="clear" w:color="auto" w:fill="auto"/>
            <w:vAlign w:val="center"/>
          </w:tcPr>
          <w:p w14:paraId="2699178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如果存在与皮肤反复接触的可能性，佩带防油手套。</w:t>
            </w:r>
          </w:p>
        </w:tc>
      </w:tr>
      <w:tr w14:paraId="0D1B7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5E0DEF1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579B1E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眼睛防护</w:t>
            </w:r>
          </w:p>
        </w:tc>
        <w:tc>
          <w:tcPr>
            <w:tcW w:w="3732" w:type="pct"/>
            <w:gridSpan w:val="3"/>
            <w:shd w:val="clear" w:color="auto" w:fill="auto"/>
            <w:vAlign w:val="center"/>
          </w:tcPr>
          <w:p w14:paraId="74F599D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如果可能发生溅出，佩带护目镜。</w:t>
            </w:r>
          </w:p>
        </w:tc>
      </w:tr>
      <w:tr w14:paraId="7DEC5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1493B1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216C8CA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皮肤与身体防护</w:t>
            </w:r>
          </w:p>
        </w:tc>
        <w:tc>
          <w:tcPr>
            <w:tcW w:w="3732" w:type="pct"/>
            <w:gridSpan w:val="3"/>
            <w:shd w:val="clear" w:color="auto" w:fill="auto"/>
            <w:vAlign w:val="center"/>
          </w:tcPr>
          <w:p w14:paraId="5C5D2F4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如果可能存在皮肤身体接触，穿戴防护服，经常更换或污染时更换。</w:t>
            </w:r>
          </w:p>
        </w:tc>
      </w:tr>
      <w:tr w14:paraId="4E439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501" w:type="pct"/>
            <w:vMerge w:val="continue"/>
            <w:vAlign w:val="center"/>
          </w:tcPr>
          <w:p w14:paraId="6E30397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4B1870D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卫生措施</w:t>
            </w:r>
          </w:p>
        </w:tc>
        <w:tc>
          <w:tcPr>
            <w:tcW w:w="3732" w:type="pct"/>
            <w:gridSpan w:val="3"/>
            <w:shd w:val="clear" w:color="auto" w:fill="auto"/>
            <w:vAlign w:val="center"/>
          </w:tcPr>
          <w:p w14:paraId="03AE3C1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在吃饭、喝水、吸烟，使用化妆品和上厕所前用肥皂和水洗手。受污染的衣物在重新使用前要清洗。</w:t>
            </w:r>
          </w:p>
        </w:tc>
      </w:tr>
      <w:tr w14:paraId="6ED9C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restart"/>
            <w:shd w:val="clear" w:color="auto" w:fill="auto"/>
            <w:vAlign w:val="center"/>
          </w:tcPr>
          <w:p w14:paraId="1355B7A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稳定性和反应活性</w:t>
            </w:r>
          </w:p>
        </w:tc>
        <w:tc>
          <w:tcPr>
            <w:tcW w:w="765" w:type="pct"/>
            <w:shd w:val="clear" w:color="auto" w:fill="auto"/>
            <w:vAlign w:val="center"/>
          </w:tcPr>
          <w:p w14:paraId="5A73BFD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稳定性</w:t>
            </w:r>
          </w:p>
        </w:tc>
        <w:tc>
          <w:tcPr>
            <w:tcW w:w="1118" w:type="pct"/>
            <w:shd w:val="clear" w:color="auto" w:fill="auto"/>
            <w:vAlign w:val="center"/>
          </w:tcPr>
          <w:p w14:paraId="25934EB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在通常环境下稳定。</w:t>
            </w:r>
          </w:p>
        </w:tc>
        <w:tc>
          <w:tcPr>
            <w:tcW w:w="1264" w:type="pct"/>
            <w:shd w:val="clear" w:color="auto" w:fill="auto"/>
            <w:vAlign w:val="center"/>
          </w:tcPr>
          <w:p w14:paraId="1F403B8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避免接触的条件</w:t>
            </w:r>
          </w:p>
        </w:tc>
        <w:tc>
          <w:tcPr>
            <w:tcW w:w="1349" w:type="pct"/>
            <w:shd w:val="clear" w:color="auto" w:fill="auto"/>
            <w:vAlign w:val="center"/>
          </w:tcPr>
          <w:p w14:paraId="7E3914A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过热</w:t>
            </w:r>
          </w:p>
        </w:tc>
      </w:tr>
      <w:tr w14:paraId="16C3F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3497183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2389669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避免</w:t>
            </w:r>
          </w:p>
        </w:tc>
        <w:tc>
          <w:tcPr>
            <w:tcW w:w="3732" w:type="pct"/>
            <w:gridSpan w:val="3"/>
            <w:shd w:val="clear" w:color="auto" w:fill="auto"/>
            <w:vAlign w:val="center"/>
          </w:tcPr>
          <w:p w14:paraId="6930F8C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强氧化剂。</w:t>
            </w:r>
          </w:p>
        </w:tc>
      </w:tr>
      <w:tr w14:paraId="743D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501" w:type="pct"/>
            <w:vMerge w:val="continue"/>
            <w:vAlign w:val="center"/>
          </w:tcPr>
          <w:p w14:paraId="7811B2A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5A0021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分解产物</w:t>
            </w:r>
          </w:p>
        </w:tc>
        <w:tc>
          <w:tcPr>
            <w:tcW w:w="3732" w:type="pct"/>
            <w:gridSpan w:val="3"/>
            <w:shd w:val="clear" w:color="auto" w:fill="auto"/>
            <w:vAlign w:val="center"/>
          </w:tcPr>
          <w:p w14:paraId="52146A4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热解或分解产物很大程度上取决于条件。会形成一氧化碳、二氧化碳和未知有机物。</w:t>
            </w:r>
          </w:p>
        </w:tc>
      </w:tr>
      <w:tr w14:paraId="1DF11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01" w:type="pct"/>
            <w:vMerge w:val="restart"/>
            <w:shd w:val="clear" w:color="auto" w:fill="auto"/>
            <w:vAlign w:val="center"/>
          </w:tcPr>
          <w:p w14:paraId="64C482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毒理学资料</w:t>
            </w:r>
          </w:p>
        </w:tc>
        <w:tc>
          <w:tcPr>
            <w:tcW w:w="765" w:type="pct"/>
            <w:shd w:val="clear" w:color="auto" w:fill="auto"/>
            <w:vAlign w:val="center"/>
          </w:tcPr>
          <w:p w14:paraId="61DB090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急性毒性</w:t>
            </w:r>
          </w:p>
        </w:tc>
        <w:tc>
          <w:tcPr>
            <w:tcW w:w="3732" w:type="pct"/>
            <w:gridSpan w:val="3"/>
            <w:shd w:val="clear" w:color="auto" w:fill="auto"/>
            <w:vAlign w:val="center"/>
          </w:tcPr>
          <w:p w14:paraId="2AF541F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现有研究表明LD50口服&gt;5000g/kg,可以认为急性毒性较低。</w:t>
            </w:r>
          </w:p>
        </w:tc>
      </w:tr>
      <w:tr w14:paraId="5569F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44777D6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3712BC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吸入</w:t>
            </w:r>
          </w:p>
        </w:tc>
        <w:tc>
          <w:tcPr>
            <w:tcW w:w="3732" w:type="pct"/>
            <w:gridSpan w:val="3"/>
            <w:shd w:val="clear" w:color="auto" w:fill="auto"/>
            <w:vAlign w:val="center"/>
          </w:tcPr>
          <w:p w14:paraId="64E58D4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无数据。但长时间和重复吸入高温下产生的蒸气或雾可能会刺激呼吸道。</w:t>
            </w:r>
          </w:p>
        </w:tc>
      </w:tr>
      <w:tr w14:paraId="3748A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5D88C3A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62C7DAF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食入</w:t>
            </w:r>
          </w:p>
        </w:tc>
        <w:tc>
          <w:tcPr>
            <w:tcW w:w="3732" w:type="pct"/>
            <w:gridSpan w:val="3"/>
            <w:shd w:val="clear" w:color="auto" w:fill="auto"/>
            <w:vAlign w:val="center"/>
          </w:tcPr>
          <w:p w14:paraId="282890D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无数据。但可能导致恶心甚至呕吐和腹泻。</w:t>
            </w:r>
          </w:p>
        </w:tc>
      </w:tr>
      <w:tr w14:paraId="76314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92D15E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51AE07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眼睛接触</w:t>
            </w:r>
          </w:p>
        </w:tc>
        <w:tc>
          <w:tcPr>
            <w:tcW w:w="3732" w:type="pct"/>
            <w:gridSpan w:val="3"/>
            <w:shd w:val="clear" w:color="auto" w:fill="auto"/>
            <w:vAlign w:val="center"/>
          </w:tcPr>
          <w:p w14:paraId="1C57FA7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无数据。但可能会引起发红和短暂疼痛。</w:t>
            </w:r>
          </w:p>
        </w:tc>
      </w:tr>
      <w:tr w14:paraId="44701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5C5661D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78F407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致敏</w:t>
            </w:r>
          </w:p>
        </w:tc>
        <w:tc>
          <w:tcPr>
            <w:tcW w:w="3732" w:type="pct"/>
            <w:gridSpan w:val="3"/>
            <w:shd w:val="clear" w:color="auto" w:fill="auto"/>
            <w:vAlign w:val="center"/>
          </w:tcPr>
          <w:p w14:paraId="44BDE7B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研究表明无致敏迹象。</w:t>
            </w:r>
          </w:p>
        </w:tc>
      </w:tr>
      <w:tr w14:paraId="56FE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501" w:type="pct"/>
            <w:vMerge w:val="restart"/>
            <w:shd w:val="clear" w:color="auto" w:fill="auto"/>
            <w:vAlign w:val="center"/>
          </w:tcPr>
          <w:p w14:paraId="1BEED36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生态学资料</w:t>
            </w:r>
          </w:p>
        </w:tc>
        <w:tc>
          <w:tcPr>
            <w:tcW w:w="765" w:type="pct"/>
            <w:shd w:val="clear" w:color="auto" w:fill="auto"/>
            <w:vAlign w:val="center"/>
          </w:tcPr>
          <w:p w14:paraId="343151D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概述</w:t>
            </w:r>
          </w:p>
        </w:tc>
        <w:tc>
          <w:tcPr>
            <w:tcW w:w="3732" w:type="pct"/>
            <w:gridSpan w:val="3"/>
            <w:shd w:val="clear" w:color="auto" w:fill="auto"/>
            <w:vAlign w:val="center"/>
          </w:tcPr>
          <w:p w14:paraId="631C7D4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根据OECD-203实验方法进行检测，各产品鱼类急性毒性检测结果均显示LC50&gt;100mg/L,属于低毒类物质。对环境无可预见的损害。</w:t>
            </w:r>
          </w:p>
        </w:tc>
      </w:tr>
      <w:tr w14:paraId="6DA64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7B5B64E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7C3A5D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迁移率</w:t>
            </w:r>
          </w:p>
        </w:tc>
        <w:tc>
          <w:tcPr>
            <w:tcW w:w="3732" w:type="pct"/>
            <w:gridSpan w:val="3"/>
            <w:shd w:val="clear" w:color="auto" w:fill="auto"/>
            <w:vAlign w:val="center"/>
          </w:tcPr>
          <w:p w14:paraId="660F225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低，因为不溶于水。</w:t>
            </w:r>
          </w:p>
        </w:tc>
      </w:tr>
      <w:tr w14:paraId="3C22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01" w:type="pct"/>
            <w:vMerge w:val="continue"/>
            <w:vAlign w:val="center"/>
          </w:tcPr>
          <w:p w14:paraId="1F1B04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6A8704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持续性/降解能力</w:t>
            </w:r>
          </w:p>
        </w:tc>
        <w:tc>
          <w:tcPr>
            <w:tcW w:w="3732" w:type="pct"/>
            <w:gridSpan w:val="3"/>
            <w:shd w:val="clear" w:color="auto" w:fill="auto"/>
            <w:vAlign w:val="center"/>
          </w:tcPr>
          <w:p w14:paraId="58CFEF7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根据OECD-301D方法进行检测，各产品28天生物降解率介于10.1%~27.1%问。物质不符合可迅速生物降解的标准。</w:t>
            </w:r>
          </w:p>
        </w:tc>
      </w:tr>
      <w:tr w14:paraId="331E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vMerge w:val="continue"/>
            <w:vAlign w:val="center"/>
          </w:tcPr>
          <w:p w14:paraId="099E690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765" w:type="pct"/>
            <w:shd w:val="clear" w:color="auto" w:fill="auto"/>
            <w:vAlign w:val="center"/>
          </w:tcPr>
          <w:p w14:paraId="1D304D5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生物积聚</w:t>
            </w:r>
          </w:p>
        </w:tc>
        <w:tc>
          <w:tcPr>
            <w:tcW w:w="3732" w:type="pct"/>
            <w:gridSpan w:val="3"/>
            <w:shd w:val="clear" w:color="auto" w:fill="auto"/>
            <w:vAlign w:val="center"/>
          </w:tcPr>
          <w:p w14:paraId="61130E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无数据，但烃类分子的体积降低了生物积聚的可能性。</w:t>
            </w:r>
          </w:p>
        </w:tc>
      </w:tr>
      <w:tr w14:paraId="28024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01" w:type="pct"/>
            <w:shd w:val="clear" w:color="auto" w:fill="auto"/>
            <w:vAlign w:val="center"/>
          </w:tcPr>
          <w:p w14:paraId="411BB6F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废弃</w:t>
            </w:r>
          </w:p>
        </w:tc>
        <w:tc>
          <w:tcPr>
            <w:tcW w:w="765" w:type="pct"/>
            <w:shd w:val="clear" w:color="auto" w:fill="auto"/>
            <w:vAlign w:val="center"/>
          </w:tcPr>
          <w:p w14:paraId="5F465C6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废弃物性质</w:t>
            </w:r>
          </w:p>
        </w:tc>
        <w:tc>
          <w:tcPr>
            <w:tcW w:w="3732" w:type="pct"/>
            <w:gridSpan w:val="3"/>
            <w:shd w:val="clear" w:color="auto" w:fill="auto"/>
            <w:vAlign w:val="center"/>
          </w:tcPr>
          <w:p w14:paraId="2954746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w:t>
            </w:r>
          </w:p>
        </w:tc>
      </w:tr>
    </w:tbl>
    <w:p w14:paraId="1F30E7A4">
      <w:pPr>
        <w:pStyle w:val="4"/>
        <w:bidi w:val="0"/>
        <w:rPr>
          <w:rFonts w:hint="eastAsia"/>
          <w:color w:val="000000" w:themeColor="text1"/>
          <w:lang w:val="en-US" w:eastAsia="zh-CN"/>
          <w14:textFill>
            <w14:solidFill>
              <w14:schemeClr w14:val="tx1"/>
            </w14:solidFill>
          </w14:textFill>
        </w:rPr>
      </w:pPr>
      <w:bookmarkStart w:id="153" w:name="_Toc21564"/>
      <w:r>
        <w:rPr>
          <w:rFonts w:hint="eastAsia"/>
          <w:color w:val="000000" w:themeColor="text1"/>
          <w:lang w:val="en-US" w:eastAsia="zh-CN"/>
          <w14:textFill>
            <w14:solidFill>
              <w14:schemeClr w14:val="tx1"/>
            </w14:solidFill>
          </w14:textFill>
        </w:rPr>
        <w:t>乙炔</w:t>
      </w:r>
      <w:bookmarkEnd w:id="153"/>
    </w:p>
    <w:p w14:paraId="2E401D29">
      <w:pPr>
        <w:keepNext w:val="0"/>
        <w:keepLines w:val="0"/>
        <w:pageBreakBefore w:val="0"/>
        <w:widowControl w:val="0"/>
        <w:kinsoku/>
        <w:bidi w:val="0"/>
        <w:rPr>
          <w:rFonts w:hint="eastAsia" w:ascii="宋体" w:hAnsi="宋体" w:eastAsia="宋体" w:cs="宋体"/>
          <w:sz w:val="28"/>
          <w:szCs w:val="28"/>
          <w:lang w:eastAsia="zh-CN"/>
        </w:rPr>
      </w:pPr>
      <w:r>
        <w:rPr>
          <w:rFonts w:hint="eastAsia"/>
          <w:color w:val="000000" w:themeColor="text1"/>
          <w:lang w:val="en-US" w:eastAsia="zh-CN"/>
          <w14:textFill>
            <w14:solidFill>
              <w14:schemeClr w14:val="tx1"/>
            </w14:solidFill>
          </w14:textFill>
        </w:rPr>
        <w:t>电站在施工及检修焊接时经常使用钢瓶装的乙炔。乙炔</w:t>
      </w:r>
      <w:r>
        <w:rPr>
          <w:rFonts w:hint="eastAsia" w:ascii="宋体" w:hAnsi="宋体" w:eastAsia="宋体" w:cs="宋体"/>
          <w:sz w:val="28"/>
          <w:szCs w:val="28"/>
          <w:lang w:eastAsia="zh-CN"/>
        </w:rPr>
        <w:t>危险特性：极易燃烧爆炸。与空气混合能形成爆炸性混合物，遇明火、高热能引起燃烧爆炸。与氧化剂接触猛烈反应。经压缩或加热可造成剧烈爆炸。与氟、氯等接触会发生剧烈的化学反应。能与铜、银、汞等的化合物生成爆炸性物质。毒性：空气中浓度为60%～80%时，几分钟动物出现麻醉；吸入浓度为20%时，发生嗜睡、呕吐、呼吸困难。</w:t>
      </w:r>
    </w:p>
    <w:p w14:paraId="4132E455">
      <w:pPr>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ascii="宋体" w:hAnsi="宋体" w:eastAsia="宋体" w:cs="宋体"/>
          <w:sz w:val="28"/>
          <w:szCs w:val="28"/>
        </w:rPr>
        <w:t>健康危害：具有弱麻醉作用。</w:t>
      </w:r>
      <w:r>
        <w:rPr>
          <w:rFonts w:hint="eastAsia" w:ascii="宋体" w:hAnsi="宋体" w:eastAsia="宋体" w:cs="宋体"/>
          <w:sz w:val="28"/>
          <w:szCs w:val="28"/>
          <w:lang w:eastAsia="zh-CN"/>
        </w:rPr>
        <w:t>高浓度吸入可引起单纯窒息。暴露于20％浓度时，出现明显缺氧症状；吸入高浓度，初期兴奋、多语、哭笑不安，后出现眩晕、头痛、恶心、呕吐、共济失调、嗜睡；严重者昏迷、紫绀、瞳孔对光反应消失、脉弱而不齐。当混有磷化氢、硫化氢时，毒性增大，应予以注意。</w:t>
      </w:r>
    </w:p>
    <w:p w14:paraId="0C18823F">
      <w:pPr>
        <w:pStyle w:val="14"/>
        <w:spacing w:line="500" w:lineRule="exact"/>
        <w:ind w:firstLine="482" w:firstLineChars="200"/>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表3.</w:t>
      </w: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 xml:space="preserve"> 乙炔的理化性质及危险特性</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008"/>
        <w:gridCol w:w="682"/>
        <w:gridCol w:w="1336"/>
        <w:gridCol w:w="314"/>
        <w:gridCol w:w="368"/>
        <w:gridCol w:w="529"/>
        <w:gridCol w:w="242"/>
        <w:gridCol w:w="1282"/>
        <w:gridCol w:w="264"/>
        <w:gridCol w:w="2451"/>
      </w:tblGrid>
      <w:tr w14:paraId="28FC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restart"/>
            <w:vAlign w:val="center"/>
          </w:tcPr>
          <w:p w14:paraId="23496D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标识</w:t>
            </w:r>
          </w:p>
        </w:tc>
        <w:tc>
          <w:tcPr>
            <w:tcW w:w="2324" w:type="pct"/>
            <w:gridSpan w:val="6"/>
            <w:vAlign w:val="center"/>
          </w:tcPr>
          <w:p w14:paraId="530BCC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中文名： 乙炔</w:t>
            </w:r>
          </w:p>
        </w:tc>
        <w:tc>
          <w:tcPr>
            <w:tcW w:w="2325" w:type="pct"/>
            <w:gridSpan w:val="4"/>
            <w:vAlign w:val="center"/>
          </w:tcPr>
          <w:p w14:paraId="06B356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英文名：acetylene</w:t>
            </w:r>
          </w:p>
        </w:tc>
      </w:tr>
      <w:tr w14:paraId="63A0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continue"/>
            <w:vAlign w:val="center"/>
          </w:tcPr>
          <w:p w14:paraId="0900C0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660" w:type="pct"/>
            <w:gridSpan w:val="3"/>
            <w:vAlign w:val="center"/>
          </w:tcPr>
          <w:p w14:paraId="7CE0F9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分子式：C</w:t>
            </w:r>
            <w:r>
              <w:rPr>
                <w:rFonts w:hint="eastAsia" w:ascii="宋体" w:hAnsi="宋体" w:eastAsia="宋体" w:cs="宋体"/>
                <w:sz w:val="21"/>
                <w:szCs w:val="21"/>
                <w:vertAlign w:val="subscript"/>
              </w:rPr>
              <w:t>2</w:t>
            </w:r>
            <w:r>
              <w:rPr>
                <w:rFonts w:hint="eastAsia" w:ascii="宋体" w:hAnsi="宋体" w:eastAsia="宋体" w:cs="宋体"/>
                <w:sz w:val="21"/>
                <w:szCs w:val="21"/>
              </w:rPr>
              <w:t>H</w:t>
            </w:r>
            <w:r>
              <w:rPr>
                <w:rFonts w:hint="eastAsia" w:ascii="宋体" w:hAnsi="宋体" w:eastAsia="宋体" w:cs="宋体"/>
                <w:sz w:val="21"/>
                <w:szCs w:val="21"/>
                <w:vertAlign w:val="subscript"/>
              </w:rPr>
              <w:t>2</w:t>
            </w:r>
          </w:p>
        </w:tc>
        <w:tc>
          <w:tcPr>
            <w:tcW w:w="1500" w:type="pct"/>
            <w:gridSpan w:val="5"/>
            <w:vAlign w:val="center"/>
          </w:tcPr>
          <w:p w14:paraId="5DD5EF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分子量：26.04</w:t>
            </w:r>
          </w:p>
        </w:tc>
        <w:tc>
          <w:tcPr>
            <w:tcW w:w="1489" w:type="pct"/>
            <w:gridSpan w:val="2"/>
            <w:vAlign w:val="center"/>
          </w:tcPr>
          <w:p w14:paraId="73501E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CAS号：74-86-2</w:t>
            </w:r>
          </w:p>
        </w:tc>
      </w:tr>
      <w:tr w14:paraId="73C4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continue"/>
            <w:vAlign w:val="center"/>
          </w:tcPr>
          <w:p w14:paraId="12942CD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324" w:type="pct"/>
            <w:gridSpan w:val="6"/>
            <w:vAlign w:val="center"/>
          </w:tcPr>
          <w:p w14:paraId="5989E77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危险货物编号：21024</w:t>
            </w:r>
          </w:p>
        </w:tc>
        <w:tc>
          <w:tcPr>
            <w:tcW w:w="2325" w:type="pct"/>
            <w:gridSpan w:val="4"/>
            <w:vAlign w:val="center"/>
          </w:tcPr>
          <w:p w14:paraId="1A8177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UN编号：1001</w:t>
            </w:r>
          </w:p>
        </w:tc>
      </w:tr>
      <w:tr w14:paraId="539B2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350" w:type="pct"/>
            <w:vMerge w:val="continue"/>
            <w:vAlign w:val="center"/>
          </w:tcPr>
          <w:p w14:paraId="65970DF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649" w:type="pct"/>
            <w:gridSpan w:val="10"/>
            <w:vAlign w:val="center"/>
          </w:tcPr>
          <w:p w14:paraId="6EFF4F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危险性类别：易燃气体,类别1，化学不稳定性气体,类别A ，加压气体</w:t>
            </w:r>
          </w:p>
        </w:tc>
      </w:tr>
      <w:tr w14:paraId="27B28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02D96F5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理化</w:t>
            </w:r>
          </w:p>
          <w:p w14:paraId="6A8FFBF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性质</w:t>
            </w:r>
          </w:p>
        </w:tc>
        <w:tc>
          <w:tcPr>
            <w:tcW w:w="4649" w:type="pct"/>
            <w:gridSpan w:val="10"/>
            <w:vAlign w:val="center"/>
          </w:tcPr>
          <w:p w14:paraId="30C243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外观与性状：无色无臭气体，工业品有使人不愉快的大蒜气味。</w:t>
            </w:r>
          </w:p>
        </w:tc>
      </w:tr>
      <w:tr w14:paraId="4927F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06D5F11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457" w:type="pct"/>
            <w:gridSpan w:val="7"/>
            <w:vAlign w:val="center"/>
          </w:tcPr>
          <w:p w14:paraId="588FBC8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熔点（℃）：-81.8(119kPa)</w:t>
            </w:r>
          </w:p>
        </w:tc>
        <w:tc>
          <w:tcPr>
            <w:tcW w:w="2192" w:type="pct"/>
            <w:gridSpan w:val="3"/>
            <w:vAlign w:val="center"/>
          </w:tcPr>
          <w:p w14:paraId="1D405C7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沸点（℃）：-83.8</w:t>
            </w:r>
          </w:p>
        </w:tc>
      </w:tr>
      <w:tr w14:paraId="45263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1D4B10C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457" w:type="pct"/>
            <w:gridSpan w:val="7"/>
            <w:vAlign w:val="center"/>
          </w:tcPr>
          <w:p w14:paraId="63CF34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临界温度（℃）：35.2</w:t>
            </w:r>
          </w:p>
        </w:tc>
        <w:tc>
          <w:tcPr>
            <w:tcW w:w="2192" w:type="pct"/>
            <w:gridSpan w:val="3"/>
            <w:vAlign w:val="center"/>
          </w:tcPr>
          <w:p w14:paraId="1F0CB27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临界压力（MPa）：6.14</w:t>
            </w:r>
          </w:p>
        </w:tc>
      </w:tr>
      <w:tr w14:paraId="11A1B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575D5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457" w:type="pct"/>
            <w:gridSpan w:val="7"/>
            <w:vAlign w:val="center"/>
          </w:tcPr>
          <w:p w14:paraId="7481037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饱和蒸气压（KPa）：4053(16.8℃)</w:t>
            </w:r>
          </w:p>
        </w:tc>
        <w:tc>
          <w:tcPr>
            <w:tcW w:w="2192" w:type="pct"/>
            <w:gridSpan w:val="3"/>
            <w:vAlign w:val="center"/>
          </w:tcPr>
          <w:p w14:paraId="146F6C7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燃烧热 （KJ／mol）：1298.4</w:t>
            </w:r>
          </w:p>
        </w:tc>
      </w:tr>
      <w:tr w14:paraId="5D21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035C0A2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649" w:type="pct"/>
            <w:gridSpan w:val="10"/>
            <w:vAlign w:val="center"/>
          </w:tcPr>
          <w:p w14:paraId="7CFEFC4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相对密度（水＝1）：0.62 （空气＝1）：0.91</w:t>
            </w:r>
          </w:p>
        </w:tc>
      </w:tr>
      <w:tr w14:paraId="58253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72CD02D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649" w:type="pct"/>
            <w:gridSpan w:val="10"/>
            <w:vAlign w:val="center"/>
          </w:tcPr>
          <w:p w14:paraId="3DF417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溶解性： 微溶于水、乙醇，溶于丙酮、氯仿、苯。</w:t>
            </w:r>
          </w:p>
        </w:tc>
      </w:tr>
      <w:tr w14:paraId="7BD97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2711F2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燃烧爆炸危险性</w:t>
            </w:r>
          </w:p>
        </w:tc>
        <w:tc>
          <w:tcPr>
            <w:tcW w:w="4649" w:type="pct"/>
            <w:gridSpan w:val="10"/>
            <w:vAlign w:val="center"/>
          </w:tcPr>
          <w:p w14:paraId="768F8B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燃烧性：本品易燃，具窒息性。</w:t>
            </w:r>
          </w:p>
        </w:tc>
      </w:tr>
      <w:tr w14:paraId="04EBB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FDB165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034" w:type="pct"/>
            <w:gridSpan w:val="5"/>
            <w:vAlign w:val="center"/>
          </w:tcPr>
          <w:p w14:paraId="72F503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引燃温度（℃）： 305</w:t>
            </w:r>
          </w:p>
        </w:tc>
        <w:tc>
          <w:tcPr>
            <w:tcW w:w="2614" w:type="pct"/>
            <w:gridSpan w:val="5"/>
            <w:vAlign w:val="center"/>
          </w:tcPr>
          <w:p w14:paraId="3C8CE9A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闪点（℃）:        无意义</w:t>
            </w:r>
          </w:p>
        </w:tc>
      </w:tr>
      <w:tr w14:paraId="3308A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0D00E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034" w:type="pct"/>
            <w:gridSpan w:val="5"/>
            <w:vAlign w:val="center"/>
          </w:tcPr>
          <w:p w14:paraId="28BE51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爆炸下限（%）：  2.1</w:t>
            </w:r>
          </w:p>
        </w:tc>
        <w:tc>
          <w:tcPr>
            <w:tcW w:w="2614" w:type="pct"/>
            <w:gridSpan w:val="5"/>
            <w:vAlign w:val="center"/>
          </w:tcPr>
          <w:p w14:paraId="284325A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爆炸上限（%）：   80.0</w:t>
            </w:r>
          </w:p>
        </w:tc>
      </w:tr>
      <w:tr w14:paraId="3628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D12B0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034" w:type="pct"/>
            <w:gridSpan w:val="5"/>
            <w:vAlign w:val="center"/>
          </w:tcPr>
          <w:p w14:paraId="0115FA0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最小点火能（mj）：无意义</w:t>
            </w:r>
          </w:p>
        </w:tc>
        <w:tc>
          <w:tcPr>
            <w:tcW w:w="2614" w:type="pct"/>
            <w:gridSpan w:val="5"/>
            <w:vAlign w:val="center"/>
          </w:tcPr>
          <w:p w14:paraId="43267A2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最大爆炸压力(MPa)：无意义</w:t>
            </w:r>
          </w:p>
        </w:tc>
      </w:tr>
      <w:tr w14:paraId="08F9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5FA608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553" w:type="pct"/>
            <w:vAlign w:val="center"/>
          </w:tcPr>
          <w:p w14:paraId="01565E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危险</w:t>
            </w:r>
          </w:p>
          <w:p w14:paraId="69641E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特性</w:t>
            </w:r>
          </w:p>
        </w:tc>
        <w:tc>
          <w:tcPr>
            <w:tcW w:w="4096" w:type="pct"/>
            <w:gridSpan w:val="9"/>
            <w:vAlign w:val="center"/>
          </w:tcPr>
          <w:p w14:paraId="40E76AD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极易燃烧爆炸。与空气混合能形成爆炸性混合物，遇明火、高热能引起燃烧爆炸。与氧化剂接触猛烈反应。与氟、氯等接触会发生剧烈的化学反应。能与铜、银、汞等的化合物生成爆炸性物质。</w:t>
            </w:r>
          </w:p>
        </w:tc>
      </w:tr>
      <w:tr w14:paraId="3FA81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661D1F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553" w:type="pct"/>
            <w:vAlign w:val="center"/>
          </w:tcPr>
          <w:p w14:paraId="064DDC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禁配物</w:t>
            </w:r>
          </w:p>
        </w:tc>
        <w:tc>
          <w:tcPr>
            <w:tcW w:w="4096" w:type="pct"/>
            <w:gridSpan w:val="9"/>
            <w:vAlign w:val="center"/>
          </w:tcPr>
          <w:p w14:paraId="74035A3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强氧化剂、强酸、卤素。</w:t>
            </w:r>
          </w:p>
        </w:tc>
      </w:tr>
      <w:tr w14:paraId="09DEA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2EE4BF7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553" w:type="pct"/>
            <w:vAlign w:val="center"/>
          </w:tcPr>
          <w:p w14:paraId="18923A0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消防</w:t>
            </w:r>
          </w:p>
          <w:p w14:paraId="3CC829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措施</w:t>
            </w:r>
          </w:p>
        </w:tc>
        <w:tc>
          <w:tcPr>
            <w:tcW w:w="4096" w:type="pct"/>
            <w:gridSpan w:val="9"/>
            <w:vAlign w:val="center"/>
          </w:tcPr>
          <w:p w14:paraId="65E47E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切断气源。若不能切断气源，则不允许熄灭泄漏处的火焰。喷水冷却容器，可能的话将容器从火场移至空旷处。灭火剂：雾状水、泡沫、二氧化碳、干粉。</w:t>
            </w:r>
          </w:p>
        </w:tc>
      </w:tr>
      <w:tr w14:paraId="439F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3CFAB5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毒性</w:t>
            </w:r>
          </w:p>
        </w:tc>
        <w:tc>
          <w:tcPr>
            <w:tcW w:w="553" w:type="pct"/>
            <w:vAlign w:val="center"/>
          </w:tcPr>
          <w:p w14:paraId="790134C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急性</w:t>
            </w:r>
          </w:p>
          <w:p w14:paraId="3E537E5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毒性</w:t>
            </w:r>
          </w:p>
        </w:tc>
        <w:tc>
          <w:tcPr>
            <w:tcW w:w="4096" w:type="pct"/>
            <w:gridSpan w:val="9"/>
            <w:vAlign w:val="center"/>
          </w:tcPr>
          <w:p w14:paraId="24223F0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LD</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：无资料</w:t>
            </w:r>
          </w:p>
          <w:p w14:paraId="50D983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LC</w:t>
            </w:r>
            <w:r>
              <w:rPr>
                <w:rFonts w:hint="eastAsia" w:ascii="宋体" w:hAnsi="宋体" w:eastAsia="宋体" w:cs="宋体"/>
                <w:sz w:val="21"/>
                <w:szCs w:val="21"/>
                <w:vertAlign w:val="subscript"/>
              </w:rPr>
              <w:t>50</w:t>
            </w:r>
            <w:r>
              <w:rPr>
                <w:rFonts w:hint="eastAsia" w:ascii="宋体" w:hAnsi="宋体" w:eastAsia="宋体" w:cs="宋体"/>
                <w:sz w:val="21"/>
                <w:szCs w:val="21"/>
              </w:rPr>
              <w:t xml:space="preserve"> ：无资料</w:t>
            </w:r>
          </w:p>
        </w:tc>
      </w:tr>
      <w:tr w14:paraId="06025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4E4BAE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553" w:type="pct"/>
            <w:vAlign w:val="center"/>
          </w:tcPr>
          <w:p w14:paraId="65E2E2C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毒性</w:t>
            </w:r>
          </w:p>
        </w:tc>
        <w:tc>
          <w:tcPr>
            <w:tcW w:w="4096" w:type="pct"/>
            <w:gridSpan w:val="9"/>
            <w:vAlign w:val="center"/>
          </w:tcPr>
          <w:p w14:paraId="4C236C6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无资料</w:t>
            </w:r>
          </w:p>
        </w:tc>
      </w:tr>
      <w:tr w14:paraId="545BA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231F12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553" w:type="pct"/>
            <w:vAlign w:val="center"/>
          </w:tcPr>
          <w:p w14:paraId="7A26DC3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最高容</w:t>
            </w:r>
          </w:p>
          <w:p w14:paraId="3FDA8E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许浓度</w:t>
            </w:r>
          </w:p>
        </w:tc>
        <w:tc>
          <w:tcPr>
            <w:tcW w:w="4096" w:type="pct"/>
            <w:gridSpan w:val="9"/>
            <w:vAlign w:val="center"/>
          </w:tcPr>
          <w:p w14:paraId="3E904C0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中国MAC（mg/m</w:t>
            </w:r>
            <w:r>
              <w:rPr>
                <w:rFonts w:hint="eastAsia" w:ascii="宋体" w:hAnsi="宋体" w:eastAsia="宋体" w:cs="宋体"/>
                <w:sz w:val="21"/>
                <w:szCs w:val="21"/>
                <w:vertAlign w:val="superscript"/>
              </w:rPr>
              <w:t>3</w:t>
            </w:r>
            <w:r>
              <w:rPr>
                <w:rFonts w:hint="eastAsia" w:ascii="宋体" w:hAnsi="宋体" w:eastAsia="宋体" w:cs="宋体"/>
                <w:sz w:val="21"/>
                <w:szCs w:val="21"/>
              </w:rPr>
              <w:t>）：  未制定标准 前苏联MAC（mg/m</w:t>
            </w:r>
            <w:r>
              <w:rPr>
                <w:rFonts w:hint="eastAsia" w:ascii="宋体" w:hAnsi="宋体" w:eastAsia="宋体" w:cs="宋体"/>
                <w:sz w:val="21"/>
                <w:szCs w:val="21"/>
                <w:vertAlign w:val="superscript"/>
              </w:rPr>
              <w:t>3</w:t>
            </w:r>
            <w:r>
              <w:rPr>
                <w:rFonts w:hint="eastAsia" w:ascii="宋体" w:hAnsi="宋体" w:eastAsia="宋体" w:cs="宋体"/>
                <w:sz w:val="21"/>
                <w:szCs w:val="21"/>
              </w:rPr>
              <w:t>）：未制定标准</w:t>
            </w:r>
          </w:p>
          <w:p w14:paraId="40C1580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美国TVL-TWA        未制定标准 美国TVL-STEL       未制定标准</w:t>
            </w:r>
          </w:p>
        </w:tc>
      </w:tr>
      <w:tr w14:paraId="68C6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5ABC919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553" w:type="pct"/>
            <w:vAlign w:val="center"/>
          </w:tcPr>
          <w:p w14:paraId="0F2A54F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健康</w:t>
            </w:r>
          </w:p>
          <w:p w14:paraId="6609DB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危害</w:t>
            </w:r>
          </w:p>
        </w:tc>
        <w:tc>
          <w:tcPr>
            <w:tcW w:w="4096" w:type="pct"/>
            <w:gridSpan w:val="9"/>
            <w:vAlign w:val="center"/>
          </w:tcPr>
          <w:p w14:paraId="232BF79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具有弱麻醉作用。高浓度吸入可引起单纯窒息。 急性中毒：暴露于20％浓度时，出现明显缺氧症状；吸入高浓度，初期兴奋、多语、哭笑不安，后出现眩晕、头痛、恶心、呕吐、共济失调、嗜睡；严重者昏迷、紫绀、瞳孔对光反应消失、脉弱而不齐。当混有磷化氢、硫化氢时，毒性增大，应予以注意。 </w:t>
            </w:r>
          </w:p>
        </w:tc>
      </w:tr>
      <w:tr w14:paraId="5F1C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1A7377E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c>
          <w:tcPr>
            <w:tcW w:w="553" w:type="pct"/>
            <w:vAlign w:val="center"/>
          </w:tcPr>
          <w:p w14:paraId="5ACB484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急救</w:t>
            </w:r>
          </w:p>
          <w:p w14:paraId="43A0E5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措施</w:t>
            </w:r>
          </w:p>
        </w:tc>
        <w:tc>
          <w:tcPr>
            <w:tcW w:w="4096" w:type="pct"/>
            <w:gridSpan w:val="9"/>
            <w:vAlign w:val="center"/>
          </w:tcPr>
          <w:p w14:paraId="0EA15A9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迅速脱离现场至空气新鲜处。保持呼吸道通畅。如呼吸困难，给输氧。如呼吸停止，立即进行人工呼吸。就医。</w:t>
            </w:r>
          </w:p>
        </w:tc>
      </w:tr>
      <w:tr w14:paraId="23795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restart"/>
            <w:vAlign w:val="center"/>
          </w:tcPr>
          <w:p w14:paraId="5401D5B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贮运</w:t>
            </w:r>
          </w:p>
          <w:p w14:paraId="657188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p w14:paraId="4F9081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p w14:paraId="75CCD9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条件</w:t>
            </w:r>
          </w:p>
        </w:tc>
        <w:tc>
          <w:tcPr>
            <w:tcW w:w="927" w:type="pct"/>
            <w:gridSpan w:val="2"/>
            <w:vAlign w:val="center"/>
          </w:tcPr>
          <w:p w14:paraId="4EC451B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危规号：21024</w:t>
            </w:r>
          </w:p>
        </w:tc>
        <w:tc>
          <w:tcPr>
            <w:tcW w:w="905" w:type="pct"/>
            <w:gridSpan w:val="2"/>
            <w:vAlign w:val="center"/>
          </w:tcPr>
          <w:p w14:paraId="5C7FCD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UN编号：1001</w:t>
            </w:r>
          </w:p>
        </w:tc>
        <w:tc>
          <w:tcPr>
            <w:tcW w:w="1473" w:type="pct"/>
            <w:gridSpan w:val="5"/>
            <w:vAlign w:val="center"/>
          </w:tcPr>
          <w:p w14:paraId="2E0E746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包装标志：</w:t>
            </w:r>
          </w:p>
        </w:tc>
        <w:tc>
          <w:tcPr>
            <w:tcW w:w="1343" w:type="pct"/>
            <w:vAlign w:val="center"/>
          </w:tcPr>
          <w:p w14:paraId="7B95235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包装类别：O52 </w:t>
            </w:r>
          </w:p>
        </w:tc>
      </w:tr>
      <w:tr w14:paraId="2073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Merge w:val="continue"/>
            <w:vAlign w:val="center"/>
          </w:tcPr>
          <w:p w14:paraId="00A732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649" w:type="pct"/>
            <w:gridSpan w:val="10"/>
            <w:vAlign w:val="center"/>
          </w:tcPr>
          <w:p w14:paraId="29363A9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乙炔的包装法通常是溶解在溶剂及多孔物中, 装入钢瓶内。储存于阴凉、通风的库房。远离火种、热源。库温不宜超过30℃。应与氧化剂、酸类、卤素分开存放，切忌混储。采用防爆型照明、通风设施。禁止使用易产生火花的机械设备和工具。储区应备有泄漏应急处理设备。</w:t>
            </w:r>
          </w:p>
        </w:tc>
      </w:tr>
      <w:tr w14:paraId="1BD86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350" w:type="pct"/>
            <w:vAlign w:val="center"/>
          </w:tcPr>
          <w:p w14:paraId="058CB54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泄漏应急处理</w:t>
            </w:r>
          </w:p>
        </w:tc>
        <w:tc>
          <w:tcPr>
            <w:tcW w:w="4649" w:type="pct"/>
            <w:gridSpan w:val="10"/>
            <w:vAlign w:val="center"/>
          </w:tcPr>
          <w:p w14:paraId="021287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迅速撤离泄漏污染区人员至上风处，并进行隔离，严格限制出入。切断火源。建议应急处理人员佩戴自给正压式呼吸器，穿防静电工作服。尽可能切断泄漏源。合理通风，加速扩散。喷雾状水稀释、溶解。构筑围堤或挖坑收容产生的大量废水。如有可能，将漏出气用排风机送至空旷地方或装设适当喷头烧掉。漏气容器要妥善处理，修复、检验后再用。</w:t>
            </w:r>
          </w:p>
        </w:tc>
      </w:tr>
    </w:tbl>
    <w:p w14:paraId="72FB94C7">
      <w:pPr>
        <w:pStyle w:val="4"/>
        <w:bidi w:val="0"/>
        <w:rPr>
          <w:rFonts w:hint="eastAsia"/>
          <w:color w:val="000000" w:themeColor="text1"/>
          <w:lang w:val="en-US" w:eastAsia="zh-CN"/>
          <w14:textFill>
            <w14:solidFill>
              <w14:schemeClr w14:val="tx1"/>
            </w14:solidFill>
          </w14:textFill>
        </w:rPr>
      </w:pPr>
      <w:bookmarkStart w:id="154" w:name="_Toc6844"/>
      <w:r>
        <w:rPr>
          <w:rFonts w:hint="eastAsia"/>
          <w:color w:val="000000" w:themeColor="text1"/>
          <w:lang w:val="en-US" w:eastAsia="zh-CN"/>
          <w14:textFill>
            <w14:solidFill>
              <w14:schemeClr w14:val="tx1"/>
            </w14:solidFill>
          </w14:textFill>
        </w:rPr>
        <w:t>氧气</w:t>
      </w:r>
      <w:bookmarkEnd w:id="154"/>
    </w:p>
    <w:p w14:paraId="795A7E99">
      <w:pPr>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ascii="宋体" w:hAnsi="宋体" w:eastAsia="宋体" w:cs="宋体"/>
          <w:sz w:val="28"/>
          <w:szCs w:val="28"/>
          <w:lang w:eastAsia="zh-CN"/>
        </w:rPr>
        <w:t>本品常压下浓度超过40%时可致氧中毒，高浓度时可致死亡。长期处于氧分压为60～100kPa（相当于吸入氧浓度40%左右）的条件下可发生眼损害，严重者可失明。液氧接触皮肤会引起严重的冻伤。与乙炔、氢、甲烷等易燃气体按一定比例混合能成为爆炸性混合物；能使油脂剧烈氧化引起燃烧爆炸；有助燃性。</w:t>
      </w:r>
    </w:p>
    <w:p w14:paraId="6498AD6D">
      <w:pPr>
        <w:pStyle w:val="14"/>
        <w:spacing w:line="500" w:lineRule="exact"/>
        <w:ind w:firstLine="482" w:firstLineChars="200"/>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表3.</w:t>
      </w: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eastAsia="zh-CN"/>
        </w:rPr>
        <w:t>-3氧气的理化性质及危险特性</w:t>
      </w:r>
    </w:p>
    <w:tbl>
      <w:tblPr>
        <w:tblStyle w:val="28"/>
        <w:tblW w:w="497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745"/>
        <w:gridCol w:w="442"/>
        <w:gridCol w:w="290"/>
        <w:gridCol w:w="169"/>
        <w:gridCol w:w="457"/>
        <w:gridCol w:w="83"/>
        <w:gridCol w:w="25"/>
        <w:gridCol w:w="734"/>
        <w:gridCol w:w="216"/>
        <w:gridCol w:w="1061"/>
        <w:gridCol w:w="152"/>
        <w:gridCol w:w="761"/>
        <w:gridCol w:w="765"/>
        <w:gridCol w:w="142"/>
        <w:gridCol w:w="2278"/>
      </w:tblGrid>
      <w:tr w14:paraId="3CB7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411" w:type="pct"/>
            <w:vMerge w:val="restart"/>
            <w:shd w:val="clear" w:color="auto" w:fill="auto"/>
            <w:vAlign w:val="center"/>
          </w:tcPr>
          <w:p w14:paraId="504215E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bookmarkStart w:id="155" w:name="_Hlk160280791"/>
            <w:r>
              <w:rPr>
                <w:rFonts w:hint="eastAsia" w:ascii="宋体" w:hAnsi="宋体" w:eastAsia="宋体" w:cs="宋体"/>
                <w:sz w:val="21"/>
                <w:szCs w:val="21"/>
              </w:rPr>
              <w:t>标识</w:t>
            </w:r>
          </w:p>
        </w:tc>
        <w:tc>
          <w:tcPr>
            <w:tcW w:w="1206" w:type="pct"/>
            <w:gridSpan w:val="6"/>
            <w:shd w:val="clear" w:color="auto" w:fill="auto"/>
            <w:vAlign w:val="center"/>
          </w:tcPr>
          <w:p w14:paraId="124FEB1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中文名：氧气</w:t>
            </w:r>
          </w:p>
        </w:tc>
        <w:tc>
          <w:tcPr>
            <w:tcW w:w="1207" w:type="pct"/>
            <w:gridSpan w:val="5"/>
            <w:shd w:val="clear" w:color="auto" w:fill="auto"/>
            <w:vAlign w:val="center"/>
          </w:tcPr>
          <w:p w14:paraId="1EFA512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英文名：oxygen</w:t>
            </w:r>
          </w:p>
        </w:tc>
        <w:tc>
          <w:tcPr>
            <w:tcW w:w="920" w:type="pct"/>
            <w:gridSpan w:val="3"/>
            <w:shd w:val="clear" w:color="auto" w:fill="auto"/>
            <w:vAlign w:val="center"/>
          </w:tcPr>
          <w:p w14:paraId="04074A4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分子式：O</w:t>
            </w:r>
            <w:r>
              <w:rPr>
                <w:rFonts w:hint="eastAsia" w:ascii="宋体" w:hAnsi="宋体" w:eastAsia="宋体" w:cs="宋体"/>
                <w:sz w:val="21"/>
                <w:szCs w:val="21"/>
                <w:vertAlign w:val="subscript"/>
              </w:rPr>
              <w:t>2</w:t>
            </w:r>
          </w:p>
        </w:tc>
        <w:tc>
          <w:tcPr>
            <w:tcW w:w="1254" w:type="pct"/>
            <w:shd w:val="clear" w:color="auto" w:fill="auto"/>
            <w:vAlign w:val="center"/>
          </w:tcPr>
          <w:p w14:paraId="26B9B08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分子量：32</w:t>
            </w:r>
          </w:p>
        </w:tc>
      </w:tr>
      <w:tr w14:paraId="1855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411" w:type="pct"/>
            <w:vMerge w:val="continue"/>
            <w:vAlign w:val="center"/>
          </w:tcPr>
          <w:p w14:paraId="55E7F6F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2413" w:type="pct"/>
            <w:gridSpan w:val="11"/>
            <w:shd w:val="clear" w:color="auto" w:fill="auto"/>
            <w:vAlign w:val="center"/>
          </w:tcPr>
          <w:p w14:paraId="3EFB04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危险货物编号：22001</w:t>
            </w:r>
          </w:p>
        </w:tc>
        <w:tc>
          <w:tcPr>
            <w:tcW w:w="920" w:type="pct"/>
            <w:gridSpan w:val="3"/>
            <w:shd w:val="clear" w:color="auto" w:fill="auto"/>
            <w:vAlign w:val="center"/>
          </w:tcPr>
          <w:p w14:paraId="3EF22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UN编号：1072</w:t>
            </w:r>
          </w:p>
        </w:tc>
        <w:tc>
          <w:tcPr>
            <w:tcW w:w="1254" w:type="pct"/>
            <w:shd w:val="clear" w:color="auto" w:fill="auto"/>
            <w:vAlign w:val="center"/>
          </w:tcPr>
          <w:p w14:paraId="6ABAB8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CAS号：7782-44-7</w:t>
            </w:r>
          </w:p>
        </w:tc>
      </w:tr>
      <w:tr w14:paraId="5626D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trPr>
        <w:tc>
          <w:tcPr>
            <w:tcW w:w="411" w:type="pct"/>
            <w:vMerge w:val="continue"/>
            <w:vAlign w:val="center"/>
          </w:tcPr>
          <w:p w14:paraId="28C988A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588" w:type="pct"/>
            <w:gridSpan w:val="15"/>
            <w:shd w:val="clear" w:color="auto" w:fill="auto"/>
            <w:vAlign w:val="center"/>
          </w:tcPr>
          <w:p w14:paraId="568C0E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危险性类别：氧化性气体,类别1 加压气体</w:t>
            </w:r>
          </w:p>
        </w:tc>
      </w:tr>
      <w:tr w14:paraId="1FB9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restart"/>
            <w:shd w:val="clear" w:color="auto" w:fill="auto"/>
            <w:vAlign w:val="center"/>
          </w:tcPr>
          <w:p w14:paraId="2B41C8E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理化性质</w:t>
            </w:r>
          </w:p>
        </w:tc>
        <w:tc>
          <w:tcPr>
            <w:tcW w:w="815" w:type="pct"/>
            <w:gridSpan w:val="3"/>
            <w:shd w:val="clear" w:color="auto" w:fill="auto"/>
            <w:vAlign w:val="center"/>
          </w:tcPr>
          <w:p w14:paraId="15C59A6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外观与性状</w:t>
            </w:r>
          </w:p>
        </w:tc>
        <w:tc>
          <w:tcPr>
            <w:tcW w:w="1514" w:type="pct"/>
            <w:gridSpan w:val="7"/>
            <w:shd w:val="clear" w:color="auto" w:fill="auto"/>
            <w:vAlign w:val="center"/>
          </w:tcPr>
          <w:p w14:paraId="58C1B3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无色无臭气体</w:t>
            </w:r>
          </w:p>
        </w:tc>
        <w:tc>
          <w:tcPr>
            <w:tcW w:w="2259" w:type="pct"/>
            <w:gridSpan w:val="5"/>
            <w:shd w:val="clear" w:color="auto" w:fill="auto"/>
            <w:vAlign w:val="center"/>
          </w:tcPr>
          <w:p w14:paraId="1A0DD53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饱和蒸汽压（kPa）：506.62(-164℃)</w:t>
            </w:r>
          </w:p>
        </w:tc>
      </w:tr>
      <w:tr w14:paraId="66256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21CB79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908" w:type="pct"/>
            <w:gridSpan w:val="4"/>
            <w:shd w:val="clear" w:color="auto" w:fill="auto"/>
            <w:vAlign w:val="center"/>
          </w:tcPr>
          <w:p w14:paraId="15F2A97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熔点：-218.8</w:t>
            </w:r>
          </w:p>
        </w:tc>
        <w:tc>
          <w:tcPr>
            <w:tcW w:w="3679" w:type="pct"/>
            <w:gridSpan w:val="11"/>
            <w:shd w:val="clear" w:color="auto" w:fill="auto"/>
            <w:vAlign w:val="center"/>
          </w:tcPr>
          <w:p w14:paraId="195B7F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相对密度（水=1）：1.14(-183℃)</w:t>
            </w:r>
          </w:p>
        </w:tc>
      </w:tr>
      <w:tr w14:paraId="7340A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444AE0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160" w:type="pct"/>
            <w:gridSpan w:val="5"/>
            <w:shd w:val="clear" w:color="auto" w:fill="auto"/>
            <w:vAlign w:val="center"/>
          </w:tcPr>
          <w:p w14:paraId="07928C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沸点：-183.1</w:t>
            </w:r>
          </w:p>
        </w:tc>
        <w:tc>
          <w:tcPr>
            <w:tcW w:w="1672" w:type="pct"/>
            <w:gridSpan w:val="7"/>
            <w:shd w:val="clear" w:color="auto" w:fill="auto"/>
            <w:vAlign w:val="center"/>
          </w:tcPr>
          <w:p w14:paraId="1C2A9E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相对密度（空气=1）：1.43</w:t>
            </w:r>
          </w:p>
        </w:tc>
        <w:tc>
          <w:tcPr>
            <w:tcW w:w="1756" w:type="pct"/>
            <w:gridSpan w:val="3"/>
            <w:shd w:val="clear" w:color="auto" w:fill="auto"/>
            <w:vAlign w:val="center"/>
          </w:tcPr>
          <w:p w14:paraId="2A0DECC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临界压力（MPa）：5.08</w:t>
            </w:r>
          </w:p>
        </w:tc>
      </w:tr>
      <w:tr w14:paraId="4F78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12E4D8D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160" w:type="pct"/>
            <w:gridSpan w:val="5"/>
            <w:shd w:val="clear" w:color="auto" w:fill="auto"/>
            <w:vAlign w:val="center"/>
          </w:tcPr>
          <w:p w14:paraId="705F27F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临界温度：-118.4</w:t>
            </w:r>
          </w:p>
        </w:tc>
        <w:tc>
          <w:tcPr>
            <w:tcW w:w="3428" w:type="pct"/>
            <w:gridSpan w:val="10"/>
            <w:shd w:val="clear" w:color="auto" w:fill="auto"/>
            <w:vAlign w:val="center"/>
          </w:tcPr>
          <w:p w14:paraId="0D8C03B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溶解性：溶于水及乙醇</w:t>
            </w:r>
          </w:p>
        </w:tc>
      </w:tr>
      <w:tr w14:paraId="550D2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restart"/>
            <w:shd w:val="clear" w:color="auto" w:fill="auto"/>
            <w:vAlign w:val="center"/>
          </w:tcPr>
          <w:p w14:paraId="5C61F3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毒性及健康危害</w:t>
            </w:r>
          </w:p>
        </w:tc>
        <w:tc>
          <w:tcPr>
            <w:tcW w:w="908" w:type="pct"/>
            <w:gridSpan w:val="4"/>
            <w:vMerge w:val="restart"/>
            <w:shd w:val="clear" w:color="auto" w:fill="auto"/>
            <w:vAlign w:val="center"/>
          </w:tcPr>
          <w:p w14:paraId="34D4B86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车间卫生标准</w:t>
            </w:r>
          </w:p>
        </w:tc>
        <w:tc>
          <w:tcPr>
            <w:tcW w:w="1504" w:type="pct"/>
            <w:gridSpan w:val="7"/>
            <w:shd w:val="clear" w:color="auto" w:fill="auto"/>
            <w:vAlign w:val="center"/>
          </w:tcPr>
          <w:p w14:paraId="5FB328D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中国MAC未制定标准</w:t>
            </w:r>
          </w:p>
        </w:tc>
        <w:tc>
          <w:tcPr>
            <w:tcW w:w="2175" w:type="pct"/>
            <w:gridSpan w:val="4"/>
            <w:shd w:val="clear" w:color="auto" w:fill="auto"/>
            <w:vAlign w:val="center"/>
          </w:tcPr>
          <w:p w14:paraId="7732059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美国TLV-TWA（mg/m</w:t>
            </w:r>
            <w:r>
              <w:rPr>
                <w:rFonts w:hint="eastAsia" w:ascii="宋体" w:hAnsi="宋体" w:eastAsia="宋体" w:cs="宋体"/>
                <w:sz w:val="21"/>
                <w:szCs w:val="21"/>
                <w:vertAlign w:val="superscript"/>
              </w:rPr>
              <w:t>3</w:t>
            </w:r>
            <w:r>
              <w:rPr>
                <w:rFonts w:hint="eastAsia" w:ascii="宋体" w:hAnsi="宋体" w:eastAsia="宋体" w:cs="宋体"/>
                <w:sz w:val="21"/>
                <w:szCs w:val="21"/>
              </w:rPr>
              <w:t>）：未制定标准</w:t>
            </w:r>
          </w:p>
        </w:tc>
      </w:tr>
      <w:tr w14:paraId="34E30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752A168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908" w:type="pct"/>
            <w:gridSpan w:val="4"/>
            <w:vMerge w:val="continue"/>
            <w:vAlign w:val="center"/>
          </w:tcPr>
          <w:p w14:paraId="6AAEBB9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504" w:type="pct"/>
            <w:gridSpan w:val="7"/>
            <w:shd w:val="clear" w:color="auto" w:fill="auto"/>
            <w:vAlign w:val="center"/>
          </w:tcPr>
          <w:p w14:paraId="4C5F709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前苏联MAC未制定标准</w:t>
            </w:r>
          </w:p>
        </w:tc>
        <w:tc>
          <w:tcPr>
            <w:tcW w:w="2175" w:type="pct"/>
            <w:gridSpan w:val="4"/>
            <w:shd w:val="clear" w:color="auto" w:fill="auto"/>
            <w:vAlign w:val="center"/>
          </w:tcPr>
          <w:p w14:paraId="046F177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美国TLV-STEL（mg/m</w:t>
            </w:r>
            <w:r>
              <w:rPr>
                <w:rFonts w:hint="eastAsia" w:ascii="宋体" w:hAnsi="宋体" w:eastAsia="宋体" w:cs="宋体"/>
                <w:sz w:val="21"/>
                <w:szCs w:val="21"/>
                <w:vertAlign w:val="superscript"/>
              </w:rPr>
              <w:t>3</w:t>
            </w:r>
            <w:r>
              <w:rPr>
                <w:rFonts w:hint="eastAsia" w:ascii="宋体" w:hAnsi="宋体" w:eastAsia="宋体" w:cs="宋体"/>
                <w:sz w:val="21"/>
                <w:szCs w:val="21"/>
              </w:rPr>
              <w:t>）：未制定标准</w:t>
            </w:r>
          </w:p>
        </w:tc>
      </w:tr>
      <w:tr w14:paraId="6409A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 w:type="pct"/>
            <w:vMerge w:val="continue"/>
            <w:vAlign w:val="center"/>
          </w:tcPr>
          <w:p w14:paraId="03C02EB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220" w:type="pct"/>
            <w:gridSpan w:val="7"/>
            <w:shd w:val="clear" w:color="auto" w:fill="auto"/>
            <w:vAlign w:val="center"/>
          </w:tcPr>
          <w:p w14:paraId="7ECD9C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侵入途径</w:t>
            </w:r>
          </w:p>
        </w:tc>
        <w:tc>
          <w:tcPr>
            <w:tcW w:w="3368" w:type="pct"/>
            <w:gridSpan w:val="8"/>
            <w:shd w:val="clear" w:color="auto" w:fill="auto"/>
            <w:vAlign w:val="center"/>
          </w:tcPr>
          <w:p w14:paraId="23F408F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吸 入</w:t>
            </w:r>
          </w:p>
        </w:tc>
      </w:tr>
      <w:tr w14:paraId="01B2E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620BD6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11" w:type="pct"/>
            <w:shd w:val="clear" w:color="auto" w:fill="auto"/>
            <w:vAlign w:val="center"/>
          </w:tcPr>
          <w:p w14:paraId="7B32BC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健  康</w:t>
            </w:r>
          </w:p>
        </w:tc>
        <w:tc>
          <w:tcPr>
            <w:tcW w:w="4177" w:type="pct"/>
            <w:gridSpan w:val="14"/>
            <w:vMerge w:val="restart"/>
            <w:shd w:val="clear" w:color="auto" w:fill="auto"/>
            <w:vAlign w:val="center"/>
          </w:tcPr>
          <w:p w14:paraId="647F462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常压下，当氧的浓度超过40％时，有可能发生氧中毒。吸入40％～60％的氧时，出现胸骨后不适感、轻咳，进而胸闷、胸骨后烧灼感和呼吸困难，咳嗽加剧；严重时可发生肺水肿，甚至出现呼吸窘迫综合征。吸入氧浓度在80％以上时，出现面部肌肉抽动、面色苍白、眩晕、心动过速、虚脱，继而全身强直性抽搐、昏迷、呼吸衰竭而死亡。长期处于氧分压为60～100kPa(相当于吸入氧浓度40％左右)的条件下可发生眼损害，严重者可失明。</w:t>
            </w:r>
          </w:p>
        </w:tc>
      </w:tr>
      <w:tr w14:paraId="68803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488D92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11" w:type="pct"/>
            <w:shd w:val="clear" w:color="auto" w:fill="auto"/>
            <w:vAlign w:val="center"/>
          </w:tcPr>
          <w:p w14:paraId="7A4277B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危  害</w:t>
            </w:r>
          </w:p>
        </w:tc>
        <w:tc>
          <w:tcPr>
            <w:tcW w:w="4177" w:type="pct"/>
            <w:gridSpan w:val="14"/>
            <w:vMerge w:val="continue"/>
            <w:vAlign w:val="center"/>
          </w:tcPr>
          <w:p w14:paraId="62F83E7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r>
      <w:tr w14:paraId="3FA82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411" w:type="pct"/>
            <w:vMerge w:val="restart"/>
            <w:shd w:val="clear" w:color="auto" w:fill="auto"/>
            <w:vAlign w:val="center"/>
          </w:tcPr>
          <w:p w14:paraId="190F842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燃烧、爆炸危险性</w:t>
            </w:r>
          </w:p>
        </w:tc>
        <w:tc>
          <w:tcPr>
            <w:tcW w:w="1744" w:type="pct"/>
            <w:gridSpan w:val="9"/>
            <w:shd w:val="clear" w:color="auto" w:fill="auto"/>
            <w:vAlign w:val="center"/>
          </w:tcPr>
          <w:p w14:paraId="034DFB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燃烧性：本品助燃</w:t>
            </w:r>
          </w:p>
        </w:tc>
        <w:tc>
          <w:tcPr>
            <w:tcW w:w="1511" w:type="pct"/>
            <w:gridSpan w:val="4"/>
            <w:shd w:val="clear" w:color="auto" w:fill="auto"/>
            <w:vAlign w:val="center"/>
          </w:tcPr>
          <w:p w14:paraId="61C4983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闪点：  无意义</w:t>
            </w:r>
          </w:p>
        </w:tc>
        <w:tc>
          <w:tcPr>
            <w:tcW w:w="1332" w:type="pct"/>
            <w:gridSpan w:val="2"/>
            <w:shd w:val="clear" w:color="auto" w:fill="auto"/>
            <w:vAlign w:val="center"/>
          </w:tcPr>
          <w:p w14:paraId="4E0F652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 xml:space="preserve">爆炸极限： </w:t>
            </w:r>
          </w:p>
        </w:tc>
      </w:tr>
      <w:tr w14:paraId="5D22C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313A39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744" w:type="pct"/>
            <w:gridSpan w:val="9"/>
            <w:shd w:val="clear" w:color="auto" w:fill="auto"/>
            <w:vAlign w:val="center"/>
          </w:tcPr>
          <w:p w14:paraId="21BC9C1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稳定性： 稳定</w:t>
            </w:r>
          </w:p>
        </w:tc>
        <w:tc>
          <w:tcPr>
            <w:tcW w:w="1511" w:type="pct"/>
            <w:gridSpan w:val="4"/>
            <w:shd w:val="clear" w:color="auto" w:fill="auto"/>
            <w:vAlign w:val="center"/>
          </w:tcPr>
          <w:p w14:paraId="5BBC3DB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引燃温度（℃）：260</w:t>
            </w:r>
          </w:p>
        </w:tc>
        <w:tc>
          <w:tcPr>
            <w:tcW w:w="1332" w:type="pct"/>
            <w:gridSpan w:val="2"/>
            <w:shd w:val="clear" w:color="auto" w:fill="auto"/>
            <w:vAlign w:val="center"/>
          </w:tcPr>
          <w:p w14:paraId="5F97C9B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聚合危险：不能出现</w:t>
            </w:r>
          </w:p>
        </w:tc>
      </w:tr>
      <w:tr w14:paraId="4829A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1B035BE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655" w:type="pct"/>
            <w:gridSpan w:val="2"/>
            <w:shd w:val="clear" w:color="auto" w:fill="auto"/>
            <w:vAlign w:val="center"/>
          </w:tcPr>
          <w:p w14:paraId="6AE9181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禁忌物</w:t>
            </w:r>
          </w:p>
        </w:tc>
        <w:tc>
          <w:tcPr>
            <w:tcW w:w="3932" w:type="pct"/>
            <w:gridSpan w:val="13"/>
            <w:shd w:val="clear" w:color="auto" w:fill="auto"/>
            <w:vAlign w:val="center"/>
          </w:tcPr>
          <w:p w14:paraId="0B4DF12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易燃或可燃物、活性金属粉末、乙炔。</w:t>
            </w:r>
          </w:p>
        </w:tc>
      </w:tr>
      <w:tr w14:paraId="5CD1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00A291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655" w:type="pct"/>
            <w:gridSpan w:val="2"/>
            <w:shd w:val="clear" w:color="auto" w:fill="auto"/>
            <w:vAlign w:val="center"/>
          </w:tcPr>
          <w:p w14:paraId="77BF36F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危险特性</w:t>
            </w:r>
          </w:p>
        </w:tc>
        <w:tc>
          <w:tcPr>
            <w:tcW w:w="3932" w:type="pct"/>
            <w:gridSpan w:val="13"/>
            <w:shd w:val="clear" w:color="auto" w:fill="auto"/>
            <w:vAlign w:val="center"/>
          </w:tcPr>
          <w:p w14:paraId="7DAC79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是易燃物、可燃物燃烧爆炸的基本要素之一, 能氧化大多数活性物质。与易燃物（如乙炔、甲烷等）形成有爆炸性的混合物。</w:t>
            </w:r>
          </w:p>
        </w:tc>
      </w:tr>
      <w:tr w14:paraId="7FAFF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411" w:type="pct"/>
            <w:vMerge w:val="continue"/>
            <w:vAlign w:val="center"/>
          </w:tcPr>
          <w:p w14:paraId="5B5E58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655" w:type="pct"/>
            <w:gridSpan w:val="2"/>
            <w:shd w:val="clear" w:color="auto" w:fill="auto"/>
            <w:vAlign w:val="center"/>
          </w:tcPr>
          <w:p w14:paraId="4D87B43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灭火方法</w:t>
            </w:r>
          </w:p>
        </w:tc>
        <w:tc>
          <w:tcPr>
            <w:tcW w:w="3932" w:type="pct"/>
            <w:gridSpan w:val="13"/>
            <w:shd w:val="clear" w:color="auto" w:fill="auto"/>
            <w:vAlign w:val="center"/>
          </w:tcPr>
          <w:p w14:paraId="6A19ED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用水保持容器冷却，以防受热爆炸，急剧助长火势。迅速切断气源，用水喷淋保护切断气源的人员，然后根据着火原因选择适当灭火剂</w:t>
            </w:r>
          </w:p>
        </w:tc>
      </w:tr>
      <w:tr w14:paraId="46707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11" w:type="pct"/>
            <w:vMerge w:val="restart"/>
            <w:shd w:val="clear" w:color="auto" w:fill="auto"/>
            <w:vAlign w:val="center"/>
          </w:tcPr>
          <w:p w14:paraId="1C5D0D3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急救措施</w:t>
            </w:r>
          </w:p>
        </w:tc>
        <w:tc>
          <w:tcPr>
            <w:tcW w:w="4588" w:type="pct"/>
            <w:gridSpan w:val="15"/>
            <w:vMerge w:val="restart"/>
            <w:shd w:val="clear" w:color="auto" w:fill="auto"/>
            <w:vAlign w:val="center"/>
          </w:tcPr>
          <w:p w14:paraId="38D109C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迅速脱离现场至空气新鲜处。保持呼吸道通畅。如呼吸停止，立即进行人工呼吸。就医。</w:t>
            </w:r>
          </w:p>
        </w:tc>
      </w:tr>
      <w:tr w14:paraId="6792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11" w:type="pct"/>
            <w:vMerge w:val="continue"/>
            <w:vAlign w:val="center"/>
          </w:tcPr>
          <w:p w14:paraId="63ABE8A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4588" w:type="pct"/>
            <w:gridSpan w:val="15"/>
            <w:vMerge w:val="continue"/>
            <w:vAlign w:val="center"/>
          </w:tcPr>
          <w:p w14:paraId="550979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p>
        </w:tc>
      </w:tr>
      <w:tr w14:paraId="345B8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restart"/>
            <w:shd w:val="clear" w:color="auto" w:fill="auto"/>
            <w:vAlign w:val="center"/>
          </w:tcPr>
          <w:p w14:paraId="005A20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防护措施</w:t>
            </w:r>
          </w:p>
        </w:tc>
        <w:tc>
          <w:tcPr>
            <w:tcW w:w="1625" w:type="pct"/>
            <w:gridSpan w:val="8"/>
            <w:shd w:val="clear" w:color="auto" w:fill="auto"/>
            <w:vAlign w:val="center"/>
          </w:tcPr>
          <w:p w14:paraId="1C96822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工程控制</w:t>
            </w:r>
          </w:p>
        </w:tc>
        <w:tc>
          <w:tcPr>
            <w:tcW w:w="2963" w:type="pct"/>
            <w:gridSpan w:val="7"/>
            <w:shd w:val="clear" w:color="auto" w:fill="auto"/>
            <w:vAlign w:val="center"/>
          </w:tcPr>
          <w:p w14:paraId="550B7A3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密闭操作。提供良好的自然通风条件。</w:t>
            </w:r>
          </w:p>
        </w:tc>
      </w:tr>
      <w:tr w14:paraId="27ED7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3745EBB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625" w:type="pct"/>
            <w:gridSpan w:val="8"/>
            <w:shd w:val="clear" w:color="auto" w:fill="auto"/>
            <w:vAlign w:val="center"/>
          </w:tcPr>
          <w:p w14:paraId="106FEEA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呼吸系统防护</w:t>
            </w:r>
          </w:p>
        </w:tc>
        <w:tc>
          <w:tcPr>
            <w:tcW w:w="2963" w:type="pct"/>
            <w:gridSpan w:val="7"/>
            <w:shd w:val="clear" w:color="auto" w:fill="auto"/>
            <w:vAlign w:val="center"/>
          </w:tcPr>
          <w:p w14:paraId="312307C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一般不需特殊防护</w:t>
            </w:r>
          </w:p>
        </w:tc>
      </w:tr>
      <w:tr w14:paraId="6121D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vMerge w:val="continue"/>
            <w:vAlign w:val="center"/>
          </w:tcPr>
          <w:p w14:paraId="5B5AB7D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p>
        </w:tc>
        <w:tc>
          <w:tcPr>
            <w:tcW w:w="1625" w:type="pct"/>
            <w:gridSpan w:val="8"/>
            <w:shd w:val="clear" w:color="auto" w:fill="auto"/>
            <w:vAlign w:val="center"/>
          </w:tcPr>
          <w:p w14:paraId="424C370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其  它</w:t>
            </w:r>
          </w:p>
        </w:tc>
        <w:tc>
          <w:tcPr>
            <w:tcW w:w="2963" w:type="pct"/>
            <w:gridSpan w:val="7"/>
            <w:shd w:val="clear" w:color="auto" w:fill="auto"/>
            <w:vAlign w:val="center"/>
          </w:tcPr>
          <w:p w14:paraId="00E80C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一般不需特殊防护</w:t>
            </w:r>
          </w:p>
        </w:tc>
      </w:tr>
      <w:tr w14:paraId="73C83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shd w:val="clear" w:color="auto" w:fill="auto"/>
            <w:vAlign w:val="center"/>
          </w:tcPr>
          <w:p w14:paraId="69E9389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泄漏应急处理</w:t>
            </w:r>
          </w:p>
        </w:tc>
        <w:tc>
          <w:tcPr>
            <w:tcW w:w="4588" w:type="pct"/>
            <w:gridSpan w:val="15"/>
            <w:shd w:val="clear" w:color="auto" w:fill="auto"/>
            <w:vAlign w:val="center"/>
          </w:tcPr>
          <w:p w14:paraId="332D815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迅速撤离泄漏污染区人员至上风处，并进行隔离，严格限制出入。切断火源。建议应急处理人员戴自给正压式呼吸器，穿一般作业工作服。避免与可燃物或易燃物接触。尽可能切断泄漏源。合理通风，加速扩散。漏气容器要妥善处理，修复、检验后再用。</w:t>
            </w:r>
          </w:p>
        </w:tc>
      </w:tr>
      <w:tr w14:paraId="2A7AF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shd w:val="clear" w:color="auto" w:fill="auto"/>
            <w:vAlign w:val="center"/>
          </w:tcPr>
          <w:p w14:paraId="638793C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储运注意事项</w:t>
            </w:r>
          </w:p>
        </w:tc>
        <w:tc>
          <w:tcPr>
            <w:tcW w:w="4588" w:type="pct"/>
            <w:gridSpan w:val="15"/>
            <w:shd w:val="clear" w:color="auto" w:fill="auto"/>
            <w:vAlign w:val="center"/>
          </w:tcPr>
          <w:p w14:paraId="633CB1B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氧气钢瓶不得沾污油脂。采用刚瓶运输时必须戴好钢瓶上的安全帽。钢瓶一般平放，并应将瓶口朝同一方向，不可交叉；高度不得超过车辆的防护栏板，并用三角木垫卡牢，防止滚动。严禁与易燃物或可燃物、活性金属粉末等混装混运。夏季应早晚运输，防止日光曝晒。铁路运输时要禁止溜放。</w:t>
            </w:r>
          </w:p>
        </w:tc>
      </w:tr>
      <w:tr w14:paraId="345D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1" w:type="pct"/>
            <w:shd w:val="clear" w:color="auto" w:fill="auto"/>
            <w:vAlign w:val="center"/>
          </w:tcPr>
          <w:p w14:paraId="4AB4F2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sz w:val="21"/>
                <w:szCs w:val="21"/>
              </w:rPr>
            </w:pPr>
            <w:r>
              <w:rPr>
                <w:rFonts w:hint="eastAsia" w:ascii="宋体" w:hAnsi="宋体" w:eastAsia="宋体" w:cs="宋体"/>
                <w:sz w:val="21"/>
                <w:szCs w:val="21"/>
              </w:rPr>
              <w:t>废弃处理</w:t>
            </w:r>
          </w:p>
        </w:tc>
        <w:tc>
          <w:tcPr>
            <w:tcW w:w="4588" w:type="pct"/>
            <w:gridSpan w:val="15"/>
            <w:shd w:val="clear" w:color="auto" w:fill="auto"/>
            <w:vAlign w:val="center"/>
          </w:tcPr>
          <w:p w14:paraId="1ACFE3A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宋体" w:hAnsi="宋体" w:eastAsia="宋体" w:cs="宋体"/>
                <w:sz w:val="21"/>
                <w:szCs w:val="21"/>
              </w:rPr>
            </w:pPr>
            <w:r>
              <w:rPr>
                <w:rFonts w:hint="eastAsia" w:ascii="宋体" w:hAnsi="宋体" w:eastAsia="宋体" w:cs="宋体"/>
                <w:sz w:val="21"/>
                <w:szCs w:val="21"/>
              </w:rPr>
              <w:t>处置前应参阅国家和地方有关法规。废气直接排入大气。</w:t>
            </w:r>
          </w:p>
        </w:tc>
      </w:tr>
      <w:bookmarkEnd w:id="155"/>
    </w:tbl>
    <w:p w14:paraId="11C264E4">
      <w:pPr>
        <w:pStyle w:val="3"/>
        <w:bidi w:val="0"/>
        <w:rPr>
          <w:color w:val="000000" w:themeColor="text1"/>
          <w14:textFill>
            <w14:solidFill>
              <w14:schemeClr w14:val="tx1"/>
            </w14:solidFill>
          </w14:textFill>
        </w:rPr>
      </w:pPr>
      <w:bookmarkStart w:id="156" w:name="_Toc25751"/>
      <w:bookmarkStart w:id="157" w:name="_Toc2475"/>
      <w:bookmarkStart w:id="158" w:name="_Toc22498"/>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产生的原因</w:t>
      </w:r>
      <w:bookmarkEnd w:id="156"/>
      <w:bookmarkEnd w:id="157"/>
      <w:bookmarkEnd w:id="158"/>
    </w:p>
    <w:p w14:paraId="4704C015">
      <w:pPr>
        <w:pStyle w:val="4"/>
        <w:bidi w:val="0"/>
        <w:rPr>
          <w:color w:val="000000" w:themeColor="text1"/>
          <w14:textFill>
            <w14:solidFill>
              <w14:schemeClr w14:val="tx1"/>
            </w14:solidFill>
          </w14:textFill>
        </w:rPr>
      </w:pPr>
      <w:bookmarkStart w:id="159" w:name="_Toc24427"/>
      <w:bookmarkStart w:id="160" w:name="_Toc6965"/>
      <w:bookmarkStart w:id="161" w:name="_Toc290986927"/>
      <w:bookmarkStart w:id="162" w:name="_Toc337672144"/>
      <w:bookmarkStart w:id="163" w:name="_Toc291600213"/>
      <w:bookmarkStart w:id="164" w:name="_Toc201697583"/>
      <w:r>
        <w:rPr>
          <w:color w:val="000000" w:themeColor="text1"/>
          <w14:textFill>
            <w14:solidFill>
              <w14:schemeClr w14:val="tx1"/>
            </w14:solidFill>
          </w14:textFill>
        </w:rPr>
        <w:t>运行失控与设备故障</w:t>
      </w:r>
      <w:bookmarkEnd w:id="159"/>
      <w:bookmarkEnd w:id="160"/>
      <w:bookmarkEnd w:id="161"/>
      <w:bookmarkEnd w:id="162"/>
      <w:bookmarkEnd w:id="163"/>
      <w:bookmarkEnd w:id="164"/>
    </w:p>
    <w:p w14:paraId="17DF5117">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14:paraId="4EF9D223">
      <w:pPr>
        <w:pStyle w:val="4"/>
        <w:bidi w:val="0"/>
        <w:rPr>
          <w:color w:val="000000" w:themeColor="text1"/>
          <w14:textFill>
            <w14:solidFill>
              <w14:schemeClr w14:val="tx1"/>
            </w14:solidFill>
          </w14:textFill>
        </w:rPr>
      </w:pPr>
      <w:bookmarkStart w:id="165" w:name="_Toc201697584"/>
      <w:bookmarkStart w:id="166" w:name="_Toc31188"/>
      <w:bookmarkStart w:id="167" w:name="_Toc291600214"/>
      <w:bookmarkStart w:id="168" w:name="_Toc337672145"/>
      <w:bookmarkStart w:id="169" w:name="_Toc6874"/>
      <w:bookmarkStart w:id="170" w:name="_Toc290986928"/>
      <w:r>
        <w:rPr>
          <w:color w:val="000000" w:themeColor="text1"/>
          <w14:textFill>
            <w14:solidFill>
              <w14:schemeClr w14:val="tx1"/>
            </w14:solidFill>
          </w14:textFill>
        </w:rPr>
        <w:t>人员失误</w:t>
      </w:r>
      <w:bookmarkEnd w:id="165"/>
      <w:bookmarkEnd w:id="166"/>
      <w:bookmarkEnd w:id="167"/>
      <w:bookmarkEnd w:id="168"/>
      <w:bookmarkEnd w:id="169"/>
      <w:bookmarkEnd w:id="170"/>
    </w:p>
    <w:p w14:paraId="18C3C2BD">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人员失误系指不安全行为（指职工在劳动过程中违反劳动纪律、操作程序、方法等具有危险性</w:t>
      </w:r>
      <w:r>
        <w:rPr>
          <w:rFonts w:hint="eastAsia" w:cs="Times New Roman"/>
          <w:color w:val="000000" w:themeColor="text1"/>
          <w:lang w:val="en-US" w:eastAsia="zh-CN"/>
          <w14:textFill>
            <w14:solidFill>
              <w14:schemeClr w14:val="tx1"/>
            </w14:solidFill>
          </w14:textFill>
        </w:rPr>
        <w:t>的做法</w:t>
      </w:r>
      <w:r>
        <w:rPr>
          <w:rFonts w:hint="eastAsia" w:ascii="Times New Roman" w:hAnsi="Times New Roman" w:eastAsia="宋体" w:cs="Times New Roman"/>
          <w:color w:val="000000" w:themeColor="text1"/>
          <w:lang w:val="en-US" w:eastAsia="zh-CN"/>
          <w14:textFill>
            <w14:solidFill>
              <w14:schemeClr w14:val="tx1"/>
            </w14:solidFill>
          </w14:textFill>
        </w:rPr>
        <w:t>）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5FE87D6F">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在生产过程中，人员自身或人为性质的危险和有害因素即为人的不安全行为，造成人的不安全行为的主要原因有：从业人员负荷超限、健康状况异常、从事禁忌作业、心理异常、辨识功能缺陷、指挥错误、操作错误、监护失误。</w:t>
      </w:r>
    </w:p>
    <w:p w14:paraId="28AC2EF7">
      <w:pPr>
        <w:keepNext w:val="0"/>
        <w:keepLines w:val="0"/>
        <w:pageBreakBefore w:val="0"/>
        <w:widowControl w:val="0"/>
        <w:numPr>
          <w:ilvl w:val="0"/>
          <w:numId w:val="24"/>
        </w:numPr>
        <w:kinsoku/>
        <w:bidi w:val="0"/>
        <w:ind w:left="0" w:leftChars="0" w:firstLine="56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人为的不安全行为(如放火、故意拉闸等)；</w:t>
      </w:r>
    </w:p>
    <w:p w14:paraId="552AB875">
      <w:pPr>
        <w:keepNext w:val="0"/>
        <w:keepLines w:val="0"/>
        <w:pageBreakBefore w:val="0"/>
        <w:widowControl w:val="0"/>
        <w:numPr>
          <w:ilvl w:val="0"/>
          <w:numId w:val="24"/>
        </w:numPr>
        <w:kinsoku/>
        <w:bidi w:val="0"/>
        <w:ind w:left="0" w:leftChars="0" w:firstLine="56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违反劳动纪律、操作程序和方法等，导致事故停机、脱网等；</w:t>
      </w:r>
    </w:p>
    <w:p w14:paraId="20291A0D">
      <w:pPr>
        <w:keepNext w:val="0"/>
        <w:keepLines w:val="0"/>
        <w:pageBreakBefore w:val="0"/>
        <w:widowControl w:val="0"/>
        <w:numPr>
          <w:ilvl w:val="0"/>
          <w:numId w:val="24"/>
        </w:numPr>
        <w:kinsoku/>
        <w:bidi w:val="0"/>
        <w:ind w:left="0" w:leftChars="0" w:firstLine="56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未经培训上岗，对操作规程不熟悉，导致误操作，引发事故；</w:t>
      </w:r>
    </w:p>
    <w:p w14:paraId="37263FA5">
      <w:pPr>
        <w:keepNext w:val="0"/>
        <w:keepLines w:val="0"/>
        <w:pageBreakBefore w:val="0"/>
        <w:widowControl w:val="0"/>
        <w:numPr>
          <w:ilvl w:val="0"/>
          <w:numId w:val="24"/>
        </w:numPr>
        <w:kinsoku/>
        <w:bidi w:val="0"/>
        <w:ind w:left="0" w:leftChars="0" w:firstLine="56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受以往操作事故的影响，造成心理过度紧张，导致操作失误，引发事故；</w:t>
      </w:r>
    </w:p>
    <w:p w14:paraId="62A6E038">
      <w:pPr>
        <w:keepNext w:val="0"/>
        <w:keepLines w:val="0"/>
        <w:pageBreakBefore w:val="0"/>
        <w:widowControl w:val="0"/>
        <w:numPr>
          <w:ilvl w:val="0"/>
          <w:numId w:val="24"/>
        </w:numPr>
        <w:kinsoku/>
        <w:bidi w:val="0"/>
        <w:ind w:left="0" w:leftChars="0" w:firstLine="56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因体力、视力等因素，精力不集中，导致操作失误，引发事故；</w:t>
      </w:r>
    </w:p>
    <w:p w14:paraId="3710A890">
      <w:pPr>
        <w:keepNext w:val="0"/>
        <w:keepLines w:val="0"/>
        <w:pageBreakBefore w:val="0"/>
        <w:widowControl w:val="0"/>
        <w:numPr>
          <w:ilvl w:val="0"/>
          <w:numId w:val="24"/>
        </w:numPr>
        <w:kinsoku/>
        <w:bidi w:val="0"/>
        <w:ind w:left="0" w:leftChars="0" w:firstLine="560" w:firstLineChars="20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违章指挥、指挥错误、指挥失误，导致事故发生。</w:t>
      </w:r>
    </w:p>
    <w:p w14:paraId="684C30AC">
      <w:pPr>
        <w:pStyle w:val="4"/>
        <w:bidi w:val="0"/>
        <w:rPr>
          <w:color w:val="000000" w:themeColor="text1"/>
          <w14:textFill>
            <w14:solidFill>
              <w14:schemeClr w14:val="tx1"/>
            </w14:solidFill>
          </w14:textFill>
        </w:rPr>
      </w:pPr>
      <w:bookmarkStart w:id="171" w:name="_Toc291600215"/>
      <w:bookmarkStart w:id="172" w:name="_Toc290986929"/>
      <w:bookmarkStart w:id="173" w:name="_Toc201697585"/>
      <w:bookmarkStart w:id="174" w:name="_Toc337672146"/>
      <w:bookmarkStart w:id="175" w:name="_Toc18578"/>
      <w:bookmarkStart w:id="176" w:name="_Toc20799"/>
      <w:r>
        <w:rPr>
          <w:color w:val="000000" w:themeColor="text1"/>
          <w14:textFill>
            <w14:solidFill>
              <w14:schemeClr w14:val="tx1"/>
            </w14:solidFill>
          </w14:textFill>
        </w:rPr>
        <w:t>管理缺陷</w:t>
      </w:r>
      <w:bookmarkEnd w:id="171"/>
      <w:bookmarkEnd w:id="172"/>
      <w:bookmarkEnd w:id="173"/>
      <w:bookmarkEnd w:id="174"/>
      <w:bookmarkEnd w:id="175"/>
      <w:bookmarkEnd w:id="176"/>
    </w:p>
    <w:p w14:paraId="422D7292">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14:paraId="067E79F0">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管理和管理责任缺失所致的危险和有害因素为管理因素，管理因素存在的危险有害因素分析如下：</w:t>
      </w:r>
    </w:p>
    <w:p w14:paraId="5003F6A2">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s="Times New Roman"/>
          <w:color w:val="000000" w:themeColor="text1"/>
          <w:lang w:val="en-US" w:eastAsia="zh-CN"/>
          <w14:textFill>
            <w14:solidFill>
              <w14:schemeClr w14:val="tx1"/>
            </w14:solidFill>
          </w14:textFill>
        </w:rPr>
        <w:t>安全</w:t>
      </w:r>
      <w:r>
        <w:rPr>
          <w:rFonts w:hint="eastAsia" w:ascii="Times New Roman" w:hAnsi="Times New Roman" w:eastAsia="宋体" w:cs="Times New Roman"/>
          <w:color w:val="000000" w:themeColor="text1"/>
          <w:lang w:val="en-US" w:eastAsia="zh-CN"/>
          <w14:textFill>
            <w14:solidFill>
              <w14:schemeClr w14:val="tx1"/>
            </w14:solidFill>
          </w14:textFill>
        </w:rPr>
        <w:t>组织机构不健全，无组织、无管理，导致无责任主体，在生产过程中无部门、无专职人员负责安全生产管理工作。</w:t>
      </w:r>
    </w:p>
    <w:p w14:paraId="6F2AD19F">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安全责任制未落实，导致责任部门、责任人员不明确自己的责任，不会对责任负责，责任制度未起到作用。</w:t>
      </w:r>
    </w:p>
    <w:p w14:paraId="7B6E4969">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安全管理规章制度不完善，（建设项目“三同时”制度未落实、操作规程不规范、事故应急预案及响应缺陷、培训制度不完善等），导致关键岗位、关键人员无章可行。</w:t>
      </w:r>
    </w:p>
    <w:p w14:paraId="04D130F8">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操作规程不规范，没有实际指导意义，严重的可能导致操作失误，导致事故发生。</w:t>
      </w:r>
    </w:p>
    <w:p w14:paraId="64D5B5CF">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事故应急预案及响应缺陷，在发生事故时，不知所措，导致事故扩大、增加财产损失、人员伤亡。</w:t>
      </w:r>
    </w:p>
    <w:p w14:paraId="71779662">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培训制度不完善、未按要求进行培训，导致作业人员不能完全掌握场区管理制度、主要设备操作规程、安全责任制，增加了事故率。</w:t>
      </w:r>
    </w:p>
    <w:p w14:paraId="6F15536A">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职业安全卫生投入不足、职业健康管理不完善，导致各生产场所安全防护装置缺失、安全标志缺失、安全工器具未能定期校验，在生产过程和检修过程中存在危险。</w:t>
      </w:r>
    </w:p>
    <w:p w14:paraId="06D9F4DE">
      <w:pPr>
        <w:pStyle w:val="4"/>
        <w:bidi w:val="0"/>
        <w:rPr>
          <w:rFonts w:hint="eastAsia"/>
          <w:color w:val="000000" w:themeColor="text1"/>
          <w14:textFill>
            <w14:solidFill>
              <w14:schemeClr w14:val="tx1"/>
            </w14:solidFill>
          </w14:textFill>
        </w:rPr>
      </w:pPr>
      <w:bookmarkStart w:id="177" w:name="_Toc290969336"/>
      <w:bookmarkStart w:id="178" w:name="_Toc337672147"/>
      <w:bookmarkStart w:id="179" w:name="_Toc28571"/>
      <w:bookmarkStart w:id="180" w:name="_Toc291600216"/>
      <w:bookmarkStart w:id="181" w:name="_Toc6020"/>
      <w:r>
        <w:rPr>
          <w:rFonts w:hint="eastAsia"/>
          <w:color w:val="000000" w:themeColor="text1"/>
          <w14:textFill>
            <w14:solidFill>
              <w14:schemeClr w14:val="tx1"/>
            </w14:solidFill>
          </w14:textFill>
        </w:rPr>
        <w:t>环境原因</w:t>
      </w:r>
      <w:bookmarkEnd w:id="177"/>
      <w:bookmarkEnd w:id="178"/>
      <w:bookmarkEnd w:id="179"/>
      <w:bookmarkEnd w:id="180"/>
      <w:bookmarkEnd w:id="181"/>
    </w:p>
    <w:p w14:paraId="6DE67CCA">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不安全的环境是引起事故的物质基础。环境包括室内（中控室）、室外等作业场所。是事故的直接原因，通常指的是：</w:t>
      </w:r>
    </w:p>
    <w:p w14:paraId="77CFD682">
      <w:pPr>
        <w:keepNext w:val="0"/>
        <w:keepLines w:val="0"/>
        <w:pageBreakBefore w:val="0"/>
        <w:widowControl w:val="0"/>
        <w:kinsoku/>
        <w:bidi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1．室内作业场所环境不良，即室内地面滑，室内作业场所狭窄，室内作业场所杂乱，室内地面不平，室内梯架缺陷，安全通道缺陷，房屋安全出口缺陷，采光照明不良，作业场所空气不良，室内温度、湿度、气压不适等方面的缺陷。</w:t>
      </w:r>
    </w:p>
    <w:p w14:paraId="7F9F1F9C">
      <w:pPr>
        <w:keepNext w:val="0"/>
        <w:keepLines w:val="0"/>
        <w:pageBreakBefore w:val="0"/>
        <w:widowControl w:val="0"/>
        <w:kinsoku/>
        <w:wordWrap/>
        <w:overflowPunct/>
        <w:topLinePunct w:val="0"/>
        <w:autoSpaceDE/>
        <w:autoSpaceDN/>
        <w:bidi w:val="0"/>
        <w:adjustRightInd/>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lang w:val="en-US" w:eastAsia="zh-CN"/>
          <w14:textFill>
            <w14:solidFill>
              <w14:schemeClr w14:val="tx1"/>
            </w14:solidFill>
          </w14:textFill>
        </w:rPr>
        <w:t>2．室外作业场地环境不良，即恶劣气候与环境（包括大风、极端温度、雷电、冰雹、冰冻、暴雨雪、地震等），作业场地和交通设施湿滑，作业场地不平，脚手架、阶梯和活动梯架缺陷，门和围栏缺陷，作业场地安全通道缺陷，作业场地安全出口缺陷等方面的缺陷。</w:t>
      </w:r>
    </w:p>
    <w:p w14:paraId="5F22A6A6">
      <w:pPr>
        <w:pStyle w:val="3"/>
        <w:bidi w:val="0"/>
        <w:rPr>
          <w:color w:val="000000" w:themeColor="text1"/>
          <w14:textFill>
            <w14:solidFill>
              <w14:schemeClr w14:val="tx1"/>
            </w14:solidFill>
          </w14:textFill>
        </w:rPr>
      </w:pPr>
      <w:bookmarkStart w:id="182" w:name="_Toc11271"/>
      <w:bookmarkStart w:id="183" w:name="_Toc14628"/>
      <w:bookmarkStart w:id="184" w:name="_Toc4138"/>
      <w:r>
        <w:rPr>
          <w:color w:val="000000" w:themeColor="text1"/>
          <w14:textFill>
            <w14:solidFill>
              <w14:schemeClr w14:val="tx1"/>
            </w14:solidFill>
          </w14:textFill>
        </w:rPr>
        <w:t>总平面布置</w:t>
      </w:r>
      <w:r>
        <w:rPr>
          <w:rFonts w:hint="eastAsia"/>
          <w:color w:val="000000" w:themeColor="text1"/>
          <w14:textFill>
            <w14:solidFill>
              <w14:schemeClr w14:val="tx1"/>
            </w14:solidFill>
          </w14:textFill>
        </w:rPr>
        <w:t>及周边环境</w:t>
      </w:r>
      <w:r>
        <w:rPr>
          <w:color w:val="000000" w:themeColor="text1"/>
          <w14:textFill>
            <w14:solidFill>
              <w14:schemeClr w14:val="tx1"/>
            </w14:solidFill>
          </w14:textFill>
        </w:rPr>
        <w:t>危险有害因素</w:t>
      </w:r>
      <w:r>
        <w:rPr>
          <w:rFonts w:hint="eastAsia"/>
          <w:color w:val="000000" w:themeColor="text1"/>
          <w14:textFill>
            <w14:solidFill>
              <w14:schemeClr w14:val="tx1"/>
            </w14:solidFill>
          </w14:textFill>
        </w:rPr>
        <w:t>辨识分析</w:t>
      </w:r>
      <w:bookmarkEnd w:id="182"/>
      <w:bookmarkEnd w:id="183"/>
      <w:bookmarkEnd w:id="184"/>
    </w:p>
    <w:p w14:paraId="17B42A96">
      <w:pPr>
        <w:pStyle w:val="4"/>
        <w:bidi w:val="0"/>
        <w:rPr>
          <w:rFonts w:hint="eastAsia"/>
          <w:color w:val="000000" w:themeColor="text1"/>
          <w14:textFill>
            <w14:solidFill>
              <w14:schemeClr w14:val="tx1"/>
            </w14:solidFill>
          </w14:textFill>
        </w:rPr>
      </w:pPr>
      <w:bookmarkStart w:id="185" w:name="_Toc3451"/>
      <w:r>
        <w:rPr>
          <w:rFonts w:hint="eastAsia"/>
          <w:color w:val="000000" w:themeColor="text1"/>
          <w14:textFill>
            <w14:solidFill>
              <w14:schemeClr w14:val="tx1"/>
            </w14:solidFill>
          </w14:textFill>
        </w:rPr>
        <w:t>周边环境对建设项目的影响</w:t>
      </w:r>
      <w:bookmarkEnd w:id="185"/>
    </w:p>
    <w:p w14:paraId="77B77B8D">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光伏组件区内无居民区，周边社会环境和外部事件等社会环境条件对 本建设项目可能造成的危险、有害因素及危险如下：</w:t>
      </w:r>
    </w:p>
    <w:p w14:paraId="477B2892">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(1)周边环境火灾对项目运行安全造成威胁。</w:t>
      </w:r>
    </w:p>
    <w:p w14:paraId="7DCDA8C3">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(2)周边山林内的动物(蛇、昆、虫、鸟等)可对项目内的输电线路啃咬破坏，从而导致生产故障，甚至火灾。</w:t>
      </w:r>
    </w:p>
    <w:p w14:paraId="08DF898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(3)周边山林、荒地、田地内杂草丛生，若发生火灾，可能引燃光伏组件，影响电站的安全运行。</w:t>
      </w:r>
    </w:p>
    <w:p w14:paraId="17BCC3C7">
      <w:pPr>
        <w:pStyle w:val="14"/>
        <w:keepNext w:val="0"/>
        <w:keepLines w:val="0"/>
        <w:pageBreakBefore w:val="0"/>
        <w:widowControl w:val="0"/>
        <w:kinsoku/>
        <w:wordWrap/>
        <w:overflowPunct/>
        <w:topLinePunct w:val="0"/>
        <w:autoSpaceDE/>
        <w:autoSpaceDN/>
        <w:bidi w:val="0"/>
        <w:adjustRightInd/>
        <w:snapToGrid/>
        <w:spacing w:after="0" w:afterLines="0" w:line="500" w:lineRule="exact"/>
        <w:ind w:firstLine="560" w:firstLineChars="200"/>
        <w:jc w:val="left"/>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4874CB" w:themeColor="accent1"/>
          <w:sz w:val="28"/>
          <w:szCs w:val="28"/>
          <w:lang w:eastAsia="zh-CN"/>
          <w14:textFill>
            <w14:solidFill>
              <w14:schemeClr w14:val="accent1"/>
            </w14:solidFill>
          </w14:textFill>
        </w:rPr>
        <w:t>光伏阵列区太阳能电池板支架下方草长势较好，秋冬季节干燥，若未采取除草措施，一旦发生电火花等放电现象或其他设备着火可能引燃枯燥，造成火灾，加之场区风力加大，一旦发生火灾不易扑灭，可能会烧毁太阳能电池板或者其他设备，造成设备损害、人员伤害和财产顺势的严重后果。此外若光伏区周边无防火隔离带或隔离带缺陷，周边山林火灾会对光伏区产生较大的影响。</w:t>
      </w:r>
    </w:p>
    <w:p w14:paraId="35C1B688">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本项目位于山坡上，周边无其它的生产企业，因此不存在周边企业对本项目的影响。</w:t>
      </w:r>
    </w:p>
    <w:p w14:paraId="1B972FEC">
      <w:pPr>
        <w:pStyle w:val="4"/>
        <w:bidi w:val="0"/>
        <w:rPr>
          <w:rFonts w:hint="eastAsia"/>
          <w:color w:val="000000" w:themeColor="text1"/>
          <w14:textFill>
            <w14:solidFill>
              <w14:schemeClr w14:val="tx1"/>
            </w14:solidFill>
          </w14:textFill>
        </w:rPr>
      </w:pPr>
      <w:bookmarkStart w:id="186" w:name="_Toc19797"/>
      <w:r>
        <w:rPr>
          <w:rFonts w:hint="eastAsia"/>
          <w:color w:val="000000" w:themeColor="text1"/>
          <w14:textFill>
            <w14:solidFill>
              <w14:schemeClr w14:val="tx1"/>
            </w14:solidFill>
          </w14:textFill>
        </w:rPr>
        <w:t>建设项目对周边环境的影响</w:t>
      </w:r>
      <w:bookmarkEnd w:id="186"/>
    </w:p>
    <w:p w14:paraId="776A714B">
      <w:pPr>
        <w:keepNext w:val="0"/>
        <w:keepLines w:val="0"/>
        <w:pageBreakBefore w:val="0"/>
        <w:widowControl w:val="0"/>
        <w:kinsoku/>
        <w:wordWrap/>
        <w:overflowPunct/>
        <w:topLinePunct w:val="0"/>
        <w:autoSpaceDE/>
        <w:autoSpaceDN/>
        <w:bidi w:val="0"/>
        <w:adjustRightIn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光伏组件区内无居民区，场区附近有少量灌木、少数林地分布。建设 项目为清洁能源，对周边的影响不大，主要是施工期的噪声、粉尘影响。</w:t>
      </w:r>
    </w:p>
    <w:p w14:paraId="78FF4D05">
      <w:pPr>
        <w:keepNext w:val="0"/>
        <w:keepLines w:val="0"/>
        <w:pageBreakBefore w:val="0"/>
        <w:widowControl w:val="0"/>
        <w:kinsoku/>
        <w:wordWrap/>
        <w:overflowPunct/>
        <w:topLinePunct w:val="0"/>
        <w:autoSpaceDE/>
        <w:autoSpaceDN/>
        <w:bidi w:val="0"/>
        <w:adjustRightInd/>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(1)施工对流动的人员可能产生安全方面的影响，主要表现在基础开挖、场内道路开挖时由于安全设施设置不足，安全警示标志不明显或施工人员对安全认识不足，流动的人员进入施工区或运行区而发生高处 坠落、物体打击、噪声、触电、火灾、机械伤害等危害。</w:t>
      </w:r>
    </w:p>
    <w:p w14:paraId="714D0FCB">
      <w:pPr>
        <w:keepNext w:val="0"/>
        <w:keepLines w:val="0"/>
        <w:pageBreakBefore w:val="0"/>
        <w:widowControl w:val="0"/>
        <w:kinsoku/>
        <w:wordWrap/>
        <w:overflowPunct/>
        <w:topLinePunct w:val="0"/>
        <w:autoSpaceDE/>
        <w:autoSpaceDN/>
        <w:bidi w:val="0"/>
        <w:adjustRightInd/>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(2)施工期只有少量污水、废水排放，对环境影响很小。施工期问的同定废弃物主要是建筑垃圾和生活垃圾，集中收集后外运，对环境影响很小。</w:t>
      </w:r>
    </w:p>
    <w:p w14:paraId="1C2F3C58">
      <w:pPr>
        <w:pStyle w:val="4"/>
        <w:bidi w:val="0"/>
        <w:rPr>
          <w:rFonts w:hint="eastAsia"/>
          <w:color w:val="000000" w:themeColor="text1"/>
          <w:lang w:val="en-US" w:eastAsia="zh-CN"/>
          <w14:textFill>
            <w14:solidFill>
              <w14:schemeClr w14:val="tx1"/>
            </w14:solidFill>
          </w14:textFill>
        </w:rPr>
      </w:pPr>
      <w:bookmarkStart w:id="187" w:name="_Toc23961"/>
      <w:r>
        <w:rPr>
          <w:rFonts w:hint="eastAsia"/>
          <w:color w:val="000000" w:themeColor="text1"/>
          <w:lang w:val="en-US" w:eastAsia="zh-CN"/>
          <w14:textFill>
            <w14:solidFill>
              <w14:schemeClr w14:val="tx1"/>
            </w14:solidFill>
          </w14:textFill>
        </w:rPr>
        <w:t>总平面布置</w:t>
      </w:r>
      <w:bookmarkEnd w:id="187"/>
    </w:p>
    <w:p w14:paraId="242A3328">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479"/>
        <w:jc w:val="both"/>
        <w:textAlignment w:val="auto"/>
        <w:rPr>
          <w:color w:val="000000" w:themeColor="text1"/>
          <w14:textFill>
            <w14:solidFill>
              <w14:schemeClr w14:val="tx1"/>
            </w14:solidFill>
          </w14:textFill>
        </w:rPr>
      </w:pPr>
      <w:r>
        <w:rPr>
          <w:color w:val="000000" w:themeColor="text1"/>
          <w:spacing w:val="-3"/>
          <w14:textFill>
            <w14:solidFill>
              <w14:schemeClr w14:val="tx1"/>
            </w14:solidFill>
          </w14:textFill>
        </w:rPr>
        <w:t>根据光伏电站实际的布置来看，管理范围较大，给整个光</w:t>
      </w:r>
      <w:r>
        <w:rPr>
          <w:color w:val="000000" w:themeColor="text1"/>
          <w:spacing w:val="-4"/>
          <w14:textFill>
            <w14:solidFill>
              <w14:schemeClr w14:val="tx1"/>
            </w14:solidFill>
          </w14:textFill>
        </w:rPr>
        <w:t>伏电站的安全管理带来不</w:t>
      </w:r>
      <w:r>
        <w:rPr>
          <w:color w:val="000000" w:themeColor="text1"/>
          <w:spacing w:val="-3"/>
          <w14:textFill>
            <w14:solidFill>
              <w14:schemeClr w14:val="tx1"/>
            </w14:solidFill>
          </w14:textFill>
        </w:rPr>
        <w:t>便。如设备布置、安全距离、消防系统布局不合理，站内道路路面宽度、</w:t>
      </w:r>
      <w:r>
        <w:rPr>
          <w:color w:val="000000" w:themeColor="text1"/>
          <w:spacing w:val="-4"/>
          <w14:textFill>
            <w14:solidFill>
              <w14:schemeClr w14:val="tx1"/>
            </w14:solidFill>
          </w14:textFill>
        </w:rPr>
        <w:t>曲率半径以及</w:t>
      </w:r>
      <w:r>
        <w:rPr>
          <w:color w:val="000000" w:themeColor="text1"/>
          <w14:textFill>
            <w14:solidFill>
              <w14:schemeClr w14:val="tx1"/>
            </w14:solidFill>
          </w14:textFill>
        </w:rPr>
        <w:t>路标指示牌布置不合理，均有可能造成火灾、触电</w:t>
      </w:r>
      <w:r>
        <w:rPr>
          <w:color w:val="000000" w:themeColor="text1"/>
          <w:spacing w:val="-1"/>
          <w14:textFill>
            <w14:solidFill>
              <w14:schemeClr w14:val="tx1"/>
            </w14:solidFill>
          </w14:textFill>
        </w:rPr>
        <w:t>、车辆伤害等事故的发生。</w:t>
      </w:r>
    </w:p>
    <w:p w14:paraId="0B126FA6">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482"/>
        <w:jc w:val="both"/>
        <w:textAlignment w:val="auto"/>
        <w:rPr>
          <w:color w:val="000000" w:themeColor="text1"/>
          <w14:textFill>
            <w14:solidFill>
              <w14:schemeClr w14:val="tx1"/>
            </w14:solidFill>
          </w14:textFill>
        </w:rPr>
      </w:pPr>
      <w:r>
        <w:rPr>
          <w:color w:val="000000" w:themeColor="text1"/>
          <w:spacing w:val="-3"/>
          <w14:textFill>
            <w14:solidFill>
              <w14:schemeClr w14:val="tx1"/>
            </w14:solidFill>
          </w14:textFill>
        </w:rPr>
        <w:t>光伏阵列平面布置直接关系到本光伏电站的发电效率</w:t>
      </w:r>
      <w:r>
        <w:rPr>
          <w:color w:val="000000" w:themeColor="text1"/>
          <w:spacing w:val="-4"/>
          <w14:textFill>
            <w14:solidFill>
              <w14:schemeClr w14:val="tx1"/>
            </w14:solidFill>
          </w14:textFill>
        </w:rPr>
        <w:t>、投资造价以及收益率。光伏</w:t>
      </w:r>
      <w:r>
        <w:rPr>
          <w:color w:val="000000" w:themeColor="text1"/>
          <w:spacing w:val="-8"/>
          <w14:textFill>
            <w14:solidFill>
              <w14:schemeClr w14:val="tx1"/>
            </w14:solidFill>
          </w14:textFill>
        </w:rPr>
        <w:t>组件间距的确定是总平布置合理的首要因素。组件前后距离过大，会造成土地资源浪费，</w:t>
      </w:r>
      <w:r>
        <w:rPr>
          <w:color w:val="000000" w:themeColor="text1"/>
          <w:spacing w:val="-3"/>
          <w14:textFill>
            <w14:solidFill>
              <w14:schemeClr w14:val="tx1"/>
            </w14:solidFill>
          </w14:textFill>
        </w:rPr>
        <w:t>投资增加，从而直接影响本光伏电站的经济性；组件前后距离过小，会造成光</w:t>
      </w:r>
      <w:r>
        <w:rPr>
          <w:color w:val="000000" w:themeColor="text1"/>
          <w:spacing w:val="-4"/>
          <w14:textFill>
            <w14:solidFill>
              <w14:schemeClr w14:val="tx1"/>
            </w14:solidFill>
          </w14:textFill>
        </w:rPr>
        <w:t>伏组件出</w:t>
      </w:r>
      <w:r>
        <w:rPr>
          <w:color w:val="000000" w:themeColor="text1"/>
          <w:spacing w:val="-3"/>
          <w14:textFill>
            <w14:solidFill>
              <w14:schemeClr w14:val="tx1"/>
            </w14:solidFill>
          </w14:textFill>
        </w:rPr>
        <w:t>现阴影，降低发电量，甚至造成光伏组件热斑效应。由于局部阴影的存在，太</w:t>
      </w:r>
      <w:r>
        <w:rPr>
          <w:color w:val="000000" w:themeColor="text1"/>
          <w:spacing w:val="-4"/>
          <w14:textFill>
            <w14:solidFill>
              <w14:schemeClr w14:val="tx1"/>
            </w14:solidFill>
          </w14:textFill>
        </w:rPr>
        <w:t>阳电池组</w:t>
      </w:r>
      <w:r>
        <w:rPr>
          <w:color w:val="000000" w:themeColor="text1"/>
          <w:spacing w:val="-3"/>
          <w14:textFill>
            <w14:solidFill>
              <w14:schemeClr w14:val="tx1"/>
            </w14:solidFill>
          </w14:textFill>
        </w:rPr>
        <w:t>件中某些电池单片的电流、电压发生了变化。其结果使太阳电池组件局部电流</w:t>
      </w:r>
      <w:r>
        <w:rPr>
          <w:color w:val="000000" w:themeColor="text1"/>
          <w:spacing w:val="-4"/>
          <w14:textFill>
            <w14:solidFill>
              <w14:schemeClr w14:val="tx1"/>
            </w14:solidFill>
          </w14:textFill>
        </w:rPr>
        <w:t>与电压之</w:t>
      </w:r>
      <w:r>
        <w:rPr>
          <w:color w:val="000000" w:themeColor="text1"/>
          <w:spacing w:val="-3"/>
          <w14:textFill>
            <w14:solidFill>
              <w14:schemeClr w14:val="tx1"/>
            </w14:solidFill>
          </w14:textFill>
        </w:rPr>
        <w:t>积增大，从而在这些电池组件上产生了局部温升。太阳电池组件中某些电池单</w:t>
      </w:r>
      <w:r>
        <w:rPr>
          <w:color w:val="000000" w:themeColor="text1"/>
          <w:spacing w:val="-4"/>
          <w14:textFill>
            <w14:solidFill>
              <w14:schemeClr w14:val="tx1"/>
            </w14:solidFill>
          </w14:textFill>
        </w:rPr>
        <w:t>片本身缺</w:t>
      </w:r>
      <w:r>
        <w:rPr>
          <w:color w:val="000000" w:themeColor="text1"/>
          <w14:textFill>
            <w14:solidFill>
              <w14:schemeClr w14:val="tx1"/>
            </w14:solidFill>
          </w14:textFill>
        </w:rPr>
        <w:t>陷也可能使组件在工作时局部发热，这种效应能</w:t>
      </w:r>
      <w:r>
        <w:rPr>
          <w:color w:val="000000" w:themeColor="text1"/>
          <w:spacing w:val="-1"/>
          <w14:textFill>
            <w14:solidFill>
              <w14:schemeClr w14:val="tx1"/>
            </w14:solidFill>
          </w14:textFill>
        </w:rPr>
        <w:t>严重的破坏太阳电池。</w:t>
      </w:r>
    </w:p>
    <w:p w14:paraId="7007C686">
      <w:pPr>
        <w:pStyle w:val="3"/>
        <w:bidi w:val="0"/>
        <w:rPr>
          <w:rFonts w:hint="eastAsia"/>
          <w:color w:val="000000" w:themeColor="text1"/>
          <w14:textFill>
            <w14:solidFill>
              <w14:schemeClr w14:val="tx1"/>
            </w14:solidFill>
          </w14:textFill>
        </w:rPr>
      </w:pPr>
      <w:bookmarkStart w:id="188" w:name="_Toc2051"/>
      <w:bookmarkStart w:id="189" w:name="_Toc32362"/>
      <w:bookmarkStart w:id="190" w:name="_Toc7020"/>
      <w:r>
        <w:rPr>
          <w:rFonts w:hint="eastAsia"/>
          <w:color w:val="000000" w:themeColor="text1"/>
          <w14:textFill>
            <w14:solidFill>
              <w14:schemeClr w14:val="tx1"/>
            </w14:solidFill>
          </w14:textFill>
        </w:rPr>
        <w:t>主要建（构）筑物</w:t>
      </w:r>
      <w:r>
        <w:rPr>
          <w:rFonts w:hint="eastAsia"/>
          <w:color w:val="000000" w:themeColor="text1"/>
          <w:lang w:eastAsia="zh-CN"/>
          <w14:textFill>
            <w14:solidFill>
              <w14:schemeClr w14:val="tx1"/>
            </w14:solidFill>
          </w14:textFill>
        </w:rPr>
        <w:t>危险有害因素</w:t>
      </w:r>
      <w:r>
        <w:rPr>
          <w:rFonts w:hint="eastAsia"/>
          <w:color w:val="000000" w:themeColor="text1"/>
          <w14:textFill>
            <w14:solidFill>
              <w14:schemeClr w14:val="tx1"/>
            </w14:solidFill>
          </w14:textFill>
        </w:rPr>
        <w:t>辨识分析</w:t>
      </w:r>
      <w:bookmarkEnd w:id="188"/>
      <w:bookmarkEnd w:id="189"/>
      <w:bookmarkEnd w:id="190"/>
    </w:p>
    <w:p w14:paraId="4BC274FD">
      <w:pPr>
        <w:pStyle w:val="4"/>
        <w:bidi w:val="0"/>
        <w:rPr>
          <w:rFonts w:hint="eastAsia"/>
          <w:color w:val="000000" w:themeColor="text1"/>
          <w:lang w:val="en-US" w:eastAsia="zh-CN"/>
          <w14:textFill>
            <w14:solidFill>
              <w14:schemeClr w14:val="tx1"/>
            </w14:solidFill>
          </w14:textFill>
        </w:rPr>
      </w:pPr>
      <w:bookmarkStart w:id="191" w:name="_Toc7993"/>
      <w:r>
        <w:rPr>
          <w:rFonts w:hint="eastAsia"/>
          <w:color w:val="000000" w:themeColor="text1"/>
          <w:lang w:val="en-US" w:eastAsia="zh-CN"/>
          <w14:textFill>
            <w14:solidFill>
              <w14:schemeClr w14:val="tx1"/>
            </w14:solidFill>
          </w14:textFill>
        </w:rPr>
        <w:t>光伏支架及基础危险有害因素分析</w:t>
      </w:r>
      <w:bookmarkEnd w:id="191"/>
    </w:p>
    <w:p w14:paraId="7418375D">
      <w:pPr>
        <w:keepNext w:val="0"/>
        <w:keepLines w:val="0"/>
        <w:pageBreakBefore w:val="0"/>
        <w:widowControl w:val="0"/>
        <w:kinsoku/>
        <w:wordWrap/>
        <w:overflowPunct/>
        <w:topLinePunct w:val="0"/>
        <w:autoSpaceDE/>
        <w:autoSpaceDN/>
        <w:bidi w:val="0"/>
        <w:adjustRightInd/>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光伏支架存在的危险有害因素包括：不良地质、施工安装质量、支架材料缺陷等。</w:t>
      </w:r>
    </w:p>
    <w:p w14:paraId="67E53018">
      <w:pPr>
        <w:keepNext w:val="0"/>
        <w:keepLines w:val="0"/>
        <w:pageBreakBefore w:val="0"/>
        <w:widowControl w:val="0"/>
        <w:kinsoku/>
        <w:wordWrap/>
        <w:overflowPunct/>
        <w:topLinePunct w:val="0"/>
        <w:autoSpaceDE/>
        <w:autoSpaceDN/>
        <w:bidi w:val="0"/>
        <w:adjustRightInd/>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光伏支架基础如存在不良地质且未处理或处理后不能满足设计要求，基础地基处理、混凝土不满足设计和规范要求的强度要求，可能发生基础沉降、变形；支架材料质量不合格，在遇大风天气时损坏；支架安装质量存在缺陷，在遇恶劣天气时导致光伏组件被吹飞、支架散开等导致设备损坏。</w:t>
      </w:r>
    </w:p>
    <w:p w14:paraId="4240B21D">
      <w:pPr>
        <w:pStyle w:val="4"/>
        <w:bidi w:val="0"/>
        <w:rPr>
          <w:rFonts w:hint="eastAsia" w:cs="Times New Roman"/>
          <w:color w:val="000000" w:themeColor="text1"/>
          <w:lang w:val="en-US" w:eastAsia="zh-CN"/>
          <w14:textFill>
            <w14:solidFill>
              <w14:schemeClr w14:val="tx1"/>
            </w14:solidFill>
          </w14:textFill>
        </w:rPr>
      </w:pPr>
      <w:bookmarkStart w:id="192" w:name="_Toc24352"/>
      <w:bookmarkStart w:id="193" w:name="_Toc1596"/>
      <w:r>
        <w:rPr>
          <w:rFonts w:hint="eastAsia" w:cs="Times New Roman"/>
          <w:color w:val="000000" w:themeColor="text1"/>
          <w:lang w:val="en-US" w:eastAsia="zh-CN"/>
          <w14:textFill>
            <w14:solidFill>
              <w14:schemeClr w14:val="tx1"/>
            </w14:solidFill>
          </w14:textFill>
        </w:rPr>
        <w:t>逆变配电箱和箱式升压变压器基础危险有害因素分析</w:t>
      </w:r>
      <w:bookmarkEnd w:id="192"/>
    </w:p>
    <w:bookmarkEnd w:id="193"/>
    <w:p w14:paraId="6B366B09">
      <w:pPr>
        <w:pStyle w:val="14"/>
        <w:keepNext w:val="0"/>
        <w:keepLines w:val="0"/>
        <w:pageBreakBefore w:val="0"/>
        <w:widowControl w:val="0"/>
        <w:kinsoku/>
        <w:wordWrap/>
        <w:overflowPunct/>
        <w:topLinePunct w:val="0"/>
        <w:autoSpaceDE/>
        <w:autoSpaceDN/>
        <w:bidi w:val="0"/>
        <w:adjustRightInd/>
        <w:snapToGrid/>
        <w:spacing w:after="0" w:line="500" w:lineRule="exact"/>
        <w:ind w:left="0" w:right="0"/>
        <w:jc w:val="right"/>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逆变器箱和升压变压器基础存在的危险有害因素包括：施工质量等。</w:t>
      </w:r>
    </w:p>
    <w:p w14:paraId="60EF958A">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59"/>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场区内布置逆变配电箱和箱式升压变压器。由于逆变配电箱、升压变 压器的重量相对较轻，采用钢筋混凝土箱型基础。施工质量满足设计和规 范要求。</w:t>
      </w:r>
    </w:p>
    <w:p w14:paraId="197EA3F0">
      <w:pPr>
        <w:pStyle w:val="4"/>
        <w:bidi w:val="0"/>
        <w:rPr>
          <w:rFonts w:hint="eastAsia"/>
          <w:color w:val="000000" w:themeColor="text1"/>
          <w:lang w:val="en-US" w:eastAsia="zh-CN"/>
          <w14:textFill>
            <w14:solidFill>
              <w14:schemeClr w14:val="tx1"/>
            </w14:solidFill>
          </w14:textFill>
        </w:rPr>
      </w:pPr>
      <w:bookmarkStart w:id="194" w:name="_Toc13421"/>
      <w:r>
        <w:rPr>
          <w:rFonts w:hint="eastAsia"/>
          <w:color w:val="000000" w:themeColor="text1"/>
          <w:lang w:val="en-US" w:eastAsia="zh-CN"/>
          <w14:textFill>
            <w14:solidFill>
              <w14:schemeClr w14:val="tx1"/>
            </w14:solidFill>
          </w14:textFill>
        </w:rPr>
        <w:t>电缆沟危险有害因素分析</w:t>
      </w:r>
      <w:bookmarkEnd w:id="194"/>
    </w:p>
    <w:p w14:paraId="68C4947F">
      <w:pPr>
        <w:keepNext w:val="0"/>
        <w:keepLines w:val="0"/>
        <w:pageBreakBefore w:val="0"/>
        <w:widowControl w:val="0"/>
        <w:kinsoku/>
        <w:wordWrap/>
        <w:overflowPunct/>
        <w:topLinePunct w:val="0"/>
        <w:autoSpaceDE/>
        <w:autoSpaceDN/>
        <w:bidi w:val="0"/>
        <w:adjustRightInd/>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场内集电线路采用直埋壕沟。直接在原地面进行开挖，埋设电缆，再用软砂和土回填。</w:t>
      </w:r>
    </w:p>
    <w:p w14:paraId="16E68357">
      <w:pPr>
        <w:keepNext w:val="0"/>
        <w:keepLines w:val="0"/>
        <w:pageBreakBefore w:val="0"/>
        <w:widowControl w:val="0"/>
        <w:kinsoku/>
        <w:wordWrap/>
        <w:overflowPunct/>
        <w:topLinePunct w:val="0"/>
        <w:autoSpaceDE/>
        <w:autoSpaceDN/>
        <w:bidi w:val="0"/>
        <w:adjustRightInd/>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不良地质及恶劣气候如地基塌陷、滑坡、雨水冲刷等影响电缆的安全运行。</w:t>
      </w:r>
    </w:p>
    <w:p w14:paraId="62FC1797">
      <w:pPr>
        <w:pStyle w:val="4"/>
        <w:bidi w:val="0"/>
        <w:rPr>
          <w:color w:val="000000" w:themeColor="text1"/>
          <w:spacing w:val="-2"/>
          <w:sz w:val="28"/>
          <w:szCs w:val="28"/>
          <w14:textFill>
            <w14:solidFill>
              <w14:schemeClr w14:val="tx1"/>
            </w14:solidFill>
          </w14:textFill>
        </w:rPr>
      </w:pPr>
      <w:r>
        <w:rPr>
          <w:rFonts w:hint="eastAsia"/>
          <w:color w:val="000000" w:themeColor="text1"/>
          <w:lang w:val="en-US" w:eastAsia="zh-CN"/>
          <w14:textFill>
            <w14:solidFill>
              <w14:schemeClr w14:val="tx1"/>
            </w14:solidFill>
          </w14:textFill>
        </w:rPr>
        <w:t>安全监测设施危险有害因素分析</w:t>
      </w:r>
    </w:p>
    <w:p w14:paraId="6F766A34">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56" w:firstLineChars="200"/>
        <w:textAlignment w:val="auto"/>
        <w:rPr>
          <w:rFonts w:hint="eastAsia" w:ascii="宋体" w:hAnsi="宋体" w:eastAsia="宋体" w:cs="宋体"/>
          <w:color w:val="000000" w:themeColor="text1"/>
          <w:spacing w:val="-1"/>
          <w:sz w:val="28"/>
          <w:szCs w:val="28"/>
          <w14:textFill>
            <w14:solidFill>
              <w14:schemeClr w14:val="tx1"/>
            </w14:solidFill>
          </w14:textFill>
        </w:rPr>
      </w:pPr>
      <w:r>
        <w:rPr>
          <w:rFonts w:hint="eastAsia" w:ascii="宋体" w:hAnsi="宋体" w:eastAsia="宋体" w:cs="宋体"/>
          <w:color w:val="000000" w:themeColor="text1"/>
          <w:spacing w:val="-1"/>
          <w:sz w:val="28"/>
          <w:szCs w:val="28"/>
          <w14:textFill>
            <w14:solidFill>
              <w14:schemeClr w14:val="tx1"/>
            </w14:solidFill>
          </w14:textFill>
        </w:rPr>
        <w:t>本项目观测重点是支架基础、场区道路、开关站等，结合工程实际采 用人工巡视检查方式，如未定期巡检、巡查不到位，则可能不能及时发现 山体、基础出现位移、沉降、裂缝、倾斜等问题，如不能及时处理整改， 会导致光伏支架倾倒、建筑物沉降、道路沉陷导致车辆事故等。</w:t>
      </w:r>
    </w:p>
    <w:p w14:paraId="1064D5E7">
      <w:pPr>
        <w:pStyle w:val="4"/>
        <w:bidi w:val="0"/>
        <w:rPr>
          <w:rFonts w:hint="eastAsia"/>
          <w:color w:val="000000" w:themeColor="text1"/>
          <w:lang w:val="en-US" w:eastAsia="zh-CN"/>
          <w14:textFill>
            <w14:solidFill>
              <w14:schemeClr w14:val="tx1"/>
            </w14:solidFill>
          </w14:textFill>
        </w:rPr>
      </w:pPr>
      <w:bookmarkStart w:id="195" w:name="_Toc27808"/>
      <w:r>
        <w:rPr>
          <w:rFonts w:hint="eastAsia"/>
          <w:color w:val="000000" w:themeColor="text1"/>
          <w:lang w:val="en-US" w:eastAsia="zh-CN"/>
          <w14:textFill>
            <w14:solidFill>
              <w14:schemeClr w14:val="tx1"/>
            </w14:solidFill>
          </w14:textFill>
        </w:rPr>
        <w:t>场内道路危险有害因素分析</w:t>
      </w:r>
      <w:bookmarkEnd w:id="195"/>
    </w:p>
    <w:p w14:paraId="42A6804C">
      <w:pPr>
        <w:keepNext w:val="0"/>
        <w:keepLines w:val="0"/>
        <w:pageBreakBefore w:val="0"/>
        <w:widowControl w:val="0"/>
        <w:kinsoku/>
        <w:wordWrap/>
        <w:overflowPunct/>
        <w:topLinePunct w:val="0"/>
        <w:autoSpaceDE/>
        <w:autoSpaceDN/>
        <w:bidi w:val="0"/>
        <w:adjustRightInd/>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进厂公路、场区道路，如开挖坡度高，地形较陡，地质情况复杂，局部自然地形起伏较大，边坡未进行支护，在暴晒、暴雨及长时间降雨后，形成水土流失、局部路面路基塌陷，临空面产生坍塌等危害。</w:t>
      </w:r>
    </w:p>
    <w:p w14:paraId="59118ACD">
      <w:pPr>
        <w:pStyle w:val="3"/>
        <w:bidi w:val="0"/>
        <w:rPr>
          <w:rFonts w:hint="default"/>
          <w:color w:val="000000" w:themeColor="text1"/>
          <w:lang w:val="en-US" w:eastAsia="zh-CN"/>
          <w14:textFill>
            <w14:solidFill>
              <w14:schemeClr w14:val="tx1"/>
            </w14:solidFill>
          </w14:textFill>
        </w:rPr>
      </w:pPr>
      <w:bookmarkStart w:id="196" w:name="_Toc13879"/>
      <w:bookmarkStart w:id="197" w:name="_Toc30028"/>
      <w:r>
        <w:rPr>
          <w:rFonts w:hint="default"/>
          <w:color w:val="000000" w:themeColor="text1"/>
          <w:lang w:val="en-US" w:eastAsia="zh-CN"/>
          <w14:textFill>
            <w14:solidFill>
              <w14:schemeClr w14:val="tx1"/>
            </w14:solidFill>
          </w14:textFill>
        </w:rPr>
        <w:t>主要设备</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辨识与分析</w:t>
      </w:r>
      <w:bookmarkEnd w:id="196"/>
      <w:bookmarkEnd w:id="197"/>
    </w:p>
    <w:p w14:paraId="693F4378">
      <w:pPr>
        <w:pStyle w:val="4"/>
        <w:bidi w:val="0"/>
        <w:rPr>
          <w:rFonts w:hint="default"/>
          <w:color w:val="000000" w:themeColor="text1"/>
          <w:lang w:val="en-US" w:eastAsia="zh-CN"/>
          <w14:textFill>
            <w14:solidFill>
              <w14:schemeClr w14:val="tx1"/>
            </w14:solidFill>
          </w14:textFill>
        </w:rPr>
      </w:pPr>
      <w:bookmarkStart w:id="198" w:name="_Toc1817"/>
      <w:r>
        <w:rPr>
          <w:rFonts w:hint="default"/>
          <w:color w:val="000000" w:themeColor="text1"/>
          <w:lang w:val="en-US" w:eastAsia="zh-CN"/>
          <w14:textFill>
            <w14:solidFill>
              <w14:schemeClr w14:val="tx1"/>
            </w14:solidFill>
          </w14:textFill>
        </w:rPr>
        <w:t>光伏组件</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198"/>
    </w:p>
    <w:p w14:paraId="1DB85BAA">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影响光伏组件的主要</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包括：设计缺陷、质量缺陷、腐蚀、电性能衰减、热斑等。具体分析如下：</w:t>
      </w:r>
    </w:p>
    <w:p w14:paraId="4955ACD9">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光伏组件工作寿命达不到设计要求；无良好的封装和电绝缘性能；无足够的机械强度，运输和使用中发生的振动、冲击和热应力损坏；紫外辐照下的稳定性不好；因光伏组件组合引起的效率损失；可靠性不高；光伏组件封装不良好或封装材料与电池分离，不能满足防风、防尘、防潮、防腐蚀等导致电池失效；雷电、雨、雪、冰雹等恶劣气候对光伏组件的损害；结构上存在缺陷、产品质量、安全和保护系统不完善、安全系统设计缺陷、高原气候条件、安装和维护时存在缺陷等；如树叶、杂草等附着物或因附近物体的阴影在光伏组件上，产生热斑效应；如方阵的组串之间产生输出电压不平衡，输出电流分配发生变化，产生逆流；光伏组件上因灰尘、鸟粪等导致热斑效应，导致光伏组件发热，影响发电、损坏光伏组件；光伏组件场区如杂草、低矮灌木未及时修剪，一旦发生山火，则可能烧毁光伏组件；如光伏场区未设置防火隔离带等，可能在发生山火导致山火扩大和</w:t>
      </w:r>
      <w:r>
        <w:rPr>
          <w:rFonts w:hint="eastAsia"/>
          <w:color w:val="000000" w:themeColor="text1"/>
          <w:lang w:val="en-US" w:eastAsia="zh-CN"/>
          <w14:textFill>
            <w14:solidFill>
              <w14:schemeClr w14:val="tx1"/>
            </w14:solidFill>
          </w14:textFill>
        </w:rPr>
        <w:t>蔓延</w:t>
      </w:r>
      <w:r>
        <w:rPr>
          <w:rFonts w:hint="default"/>
          <w:color w:val="000000" w:themeColor="text1"/>
          <w:lang w:val="en-US" w:eastAsia="zh-CN"/>
          <w14:textFill>
            <w14:solidFill>
              <w14:schemeClr w14:val="tx1"/>
            </w14:solidFill>
          </w14:textFill>
        </w:rPr>
        <w:t>，损坏大面积光伏组件；光伏组件基础支架沉降，导致光伏组件损坏；光伏组件电性能衰减，光电参数未不定期或定期按照有关方法进行检测，发现问题未及时解除更换，导致影响发电效益，光伏组件发热损坏。</w:t>
      </w:r>
    </w:p>
    <w:p w14:paraId="2ED4A3CD">
      <w:pPr>
        <w:pStyle w:val="4"/>
        <w:bidi w:val="0"/>
        <w:rPr>
          <w:rFonts w:hint="default"/>
          <w:color w:val="000000" w:themeColor="text1"/>
          <w:lang w:val="en-US" w:eastAsia="zh-CN"/>
          <w14:textFill>
            <w14:solidFill>
              <w14:schemeClr w14:val="tx1"/>
            </w14:solidFill>
          </w14:textFill>
        </w:rPr>
      </w:pPr>
      <w:bookmarkStart w:id="199" w:name="_Toc31154"/>
      <w:r>
        <w:rPr>
          <w:rFonts w:hint="default"/>
          <w:color w:val="000000" w:themeColor="text1"/>
          <w:lang w:val="en-US" w:eastAsia="zh-CN"/>
          <w14:textFill>
            <w14:solidFill>
              <w14:schemeClr w14:val="tx1"/>
            </w14:solidFill>
          </w14:textFill>
        </w:rPr>
        <w:t>直流汇流箱</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199"/>
    </w:p>
    <w:p w14:paraId="3F2BC634">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直流汇流箱出来电缆套管腐蚀，接线堵管空，虫子可能沿电缆进入直流汇流箱而影响通讯板，导致通讯</w:t>
      </w:r>
      <w:r>
        <w:rPr>
          <w:rFonts w:hint="eastAsia"/>
          <w:color w:val="000000" w:themeColor="text1"/>
          <w:lang w:val="en-US" w:eastAsia="zh-CN"/>
          <w14:textFill>
            <w14:solidFill>
              <w14:schemeClr w14:val="tx1"/>
            </w14:solidFill>
          </w14:textFill>
        </w:rPr>
        <w:t>板</w:t>
      </w:r>
      <w:r>
        <w:rPr>
          <w:rFonts w:hint="default"/>
          <w:color w:val="000000" w:themeColor="text1"/>
          <w:lang w:val="en-US" w:eastAsia="zh-CN"/>
          <w14:textFill>
            <w14:solidFill>
              <w14:schemeClr w14:val="tx1"/>
            </w14:solidFill>
          </w14:textFill>
        </w:rPr>
        <w:t>损坏；直流汇流箱潮湿、防水除湿措施未设置或损坏，导致湿度过大；直流汇流箱如接地设备不完善，可能因雷击而损坏。</w:t>
      </w:r>
    </w:p>
    <w:p w14:paraId="252F3831">
      <w:pPr>
        <w:pStyle w:val="4"/>
        <w:bidi w:val="0"/>
        <w:rPr>
          <w:rFonts w:hint="default"/>
          <w:color w:val="000000" w:themeColor="text1"/>
          <w:lang w:val="en-US" w:eastAsia="zh-CN"/>
          <w14:textFill>
            <w14:solidFill>
              <w14:schemeClr w14:val="tx1"/>
            </w14:solidFill>
          </w14:textFill>
        </w:rPr>
      </w:pPr>
      <w:bookmarkStart w:id="200" w:name="_Toc26522"/>
      <w:r>
        <w:rPr>
          <w:rFonts w:hint="default"/>
          <w:color w:val="000000" w:themeColor="text1"/>
          <w:lang w:val="en-US" w:eastAsia="zh-CN"/>
          <w14:textFill>
            <w14:solidFill>
              <w14:schemeClr w14:val="tx1"/>
            </w14:solidFill>
          </w14:textFill>
        </w:rPr>
        <w:t>逆变器</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200"/>
    </w:p>
    <w:p w14:paraId="0614435E">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逆变器由将直流转变为交流电的逆变器和保护系统的并网保护装置构成。具有：转换效率高、启动快；安全性能好：产品具备短路、过载、过/欠电压、超温5种保护功能；物理性能良好：产品采用全铝质外壳，散热性能好，表面硬氧化处理，耐摩擦性能好，并可抗一定外力的挤压或碰击；带负载适应性与稳定性强的特点。</w:t>
      </w:r>
    </w:p>
    <w:p w14:paraId="6B62BE8A">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逆变器连续使用后，壳体表面温度会上升到60℃，如逆变器附近有可燃物品则可能发生火灾；如通风条件不佳、室外温度过高等则会影响逆变器设备的正常使用，损坏设备。</w:t>
      </w:r>
    </w:p>
    <w:p w14:paraId="5764C764">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逆变器箱设配电装置，通风状态需人工巡视，如巡视不到位则可能因通风设备损坏而导致逆变配电箱超温工作，性能下降损坏设备；逆变配电箱设置的通讯线路损坏时，通讯信号将中断，需考虑如何继续监视设备的措施。</w:t>
      </w:r>
    </w:p>
    <w:p w14:paraId="78F09ECF">
      <w:pPr>
        <w:keepNext w:val="0"/>
        <w:keepLines w:val="0"/>
        <w:pageBreakBefore w:val="0"/>
        <w:widowControl w:val="0"/>
        <w:kinsoku/>
        <w:wordWrap/>
        <w:overflowPunct/>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逆变器存在的</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包括：</w:t>
      </w:r>
    </w:p>
    <w:p w14:paraId="6D0D40E8">
      <w:pPr>
        <w:keepNext w:val="0"/>
        <w:keepLines w:val="0"/>
        <w:pageBreakBefore w:val="0"/>
        <w:widowControl w:val="0"/>
        <w:numPr>
          <w:ilvl w:val="0"/>
          <w:numId w:val="25"/>
        </w:numPr>
        <w:kinsoku/>
        <w:wordWrap/>
        <w:overflowPunct/>
        <w:topLinePunct w:val="0"/>
        <w:autoSpaceDE/>
        <w:autoSpaceDN/>
        <w:bidi w:val="0"/>
        <w:adjustRightInd/>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逆变器发生故障，不能有效地取出受天气变化影响的光伏组件的输出功率，不能执行自动运行停止功能及最大功率跟踪控制功能，导致运行开始与停止不能正常控制或不能自动调节输出功率，影响输出功率。</w:t>
      </w:r>
    </w:p>
    <w:p w14:paraId="52CB6590">
      <w:pPr>
        <w:keepNext w:val="0"/>
        <w:keepLines w:val="0"/>
        <w:pageBreakBefore w:val="0"/>
        <w:widowControl w:val="0"/>
        <w:numPr>
          <w:ilvl w:val="0"/>
          <w:numId w:val="25"/>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逆变器发生故障，不能执行单独（孤岛）运行防止功能及自动电压调整功能，电站继续向已与配电网断开的电力线供电，给维护检测人员带来危害。</w:t>
      </w:r>
    </w:p>
    <w:p w14:paraId="6380A01F">
      <w:pPr>
        <w:keepNext w:val="0"/>
        <w:keepLines w:val="0"/>
        <w:pageBreakBefore w:val="0"/>
        <w:widowControl w:val="0"/>
        <w:numPr>
          <w:ilvl w:val="0"/>
          <w:numId w:val="25"/>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在光伏发电系统与系统连接进行逆潮流运行的场合，由于电能反相输送，受电点的电压升高，超出电网规定运行范围，逆变器自动电压调整功能失效，导致并网点电压上升影响电网及设备。</w:t>
      </w:r>
    </w:p>
    <w:p w14:paraId="125A870B">
      <w:pPr>
        <w:keepNext w:val="0"/>
        <w:keepLines w:val="0"/>
        <w:pageBreakBefore w:val="0"/>
        <w:widowControl w:val="0"/>
        <w:numPr>
          <w:ilvl w:val="0"/>
          <w:numId w:val="25"/>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运行过程中不能输出抑制谐波电流，对电网造成不利影响。</w:t>
      </w:r>
    </w:p>
    <w:p w14:paraId="65C0C7D6">
      <w:pPr>
        <w:keepNext w:val="0"/>
        <w:keepLines w:val="0"/>
        <w:pageBreakBefore w:val="0"/>
        <w:widowControl w:val="0"/>
        <w:numPr>
          <w:ilvl w:val="0"/>
          <w:numId w:val="25"/>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逆变器直流检测功能失效，位于功率调节器的输出直接与系统连接在一起</w:t>
      </w:r>
      <w:r>
        <w:rPr>
          <w:rFonts w:hint="eastAsia" w:ascii="宋体" w:hAnsi="宋体" w:cs="宋体"/>
          <w:color w:val="000000" w:themeColor="text1"/>
          <w:sz w:val="28"/>
          <w:szCs w:val="28"/>
          <w:lang w:val="en-US"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存在直流分量，对系统侧带来柱上变压器的磁饱和等严重的影响。</w:t>
      </w:r>
    </w:p>
    <w:p w14:paraId="63E8D2F8">
      <w:pPr>
        <w:keepNext w:val="0"/>
        <w:keepLines w:val="0"/>
        <w:pageBreakBefore w:val="0"/>
        <w:widowControl w:val="0"/>
        <w:numPr>
          <w:ilvl w:val="0"/>
          <w:numId w:val="25"/>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无变压器方式的功率调节器中，因为光伏组件和系统侧没有绝缘，如果光伏组件一接地，接地电流中叠加有直流充分，用普通的漏电断路器不能进行保护，加之逆变器直流接地检测失效，光伏组件和系统侧失去检测保护装置。</w:t>
      </w:r>
    </w:p>
    <w:p w14:paraId="67CA4C8A">
      <w:pPr>
        <w:keepNext w:val="0"/>
        <w:keepLines w:val="0"/>
        <w:pageBreakBefore w:val="0"/>
        <w:widowControl w:val="0"/>
        <w:numPr>
          <w:ilvl w:val="0"/>
          <w:numId w:val="25"/>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与系统并网运行的光伏发电系统，在系统侧和逆变器侧发生异常时，一旦检测到异常，不能迅速停止逆变器，不能确保系统侧安全。</w:t>
      </w:r>
    </w:p>
    <w:p w14:paraId="0ED6377C">
      <w:pPr>
        <w:keepNext w:val="0"/>
        <w:keepLines w:val="0"/>
        <w:pageBreakBefore w:val="0"/>
        <w:widowControl w:val="0"/>
        <w:numPr>
          <w:ilvl w:val="0"/>
          <w:numId w:val="25"/>
        </w:numPr>
        <w:kinsoku/>
        <w:wordWrap/>
        <w:overflowPunct/>
        <w:topLinePunct w:val="0"/>
        <w:autoSpaceDE/>
        <w:autoSpaceDN/>
        <w:bidi w:val="0"/>
        <w:adjustRightInd/>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逆变配电箱自然通风条件不良或机械通风失效，逆变器发热量高，室内温度过高，造成设备损坏，严重时引发火灾。</w:t>
      </w:r>
    </w:p>
    <w:p w14:paraId="10EF7982">
      <w:pPr>
        <w:pStyle w:val="4"/>
        <w:bidi w:val="0"/>
        <w:rPr>
          <w:rFonts w:hint="default"/>
          <w:color w:val="000000" w:themeColor="text1"/>
          <w:lang w:val="en-US" w:eastAsia="zh-CN"/>
          <w14:textFill>
            <w14:solidFill>
              <w14:schemeClr w14:val="tx1"/>
            </w14:solidFill>
          </w14:textFill>
        </w:rPr>
      </w:pPr>
      <w:bookmarkStart w:id="201" w:name="_Toc11383"/>
      <w:r>
        <w:rPr>
          <w:rFonts w:hint="default"/>
          <w:color w:val="000000" w:themeColor="text1"/>
          <w:lang w:val="en-US" w:eastAsia="zh-CN"/>
          <w14:textFill>
            <w14:solidFill>
              <w14:schemeClr w14:val="tx1"/>
            </w14:solidFill>
          </w14:textFill>
        </w:rPr>
        <w:t>集电线路</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201"/>
    </w:p>
    <w:p w14:paraId="6AEFE692">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如果电缆制造时存在隐患、电缆运行过负荷、过热等原因使电缆老化，绝缘强度降低等原因引起电缆相间或相对地击穿短路；过电压使电缆击穿短路。安装不当、电缆敷设时曲率半径过小，致使绝缘损坏。这些故障均可引发电缆系统着火。同时，电缆系统还存在以下危险因素：</w:t>
      </w:r>
    </w:p>
    <w:p w14:paraId="2AEE73E0">
      <w:pPr>
        <w:keepNext w:val="0"/>
        <w:keepLines w:val="0"/>
        <w:pageBreakBefore w:val="0"/>
        <w:widowControl w:val="0"/>
        <w:numPr>
          <w:ilvl w:val="0"/>
          <w:numId w:val="26"/>
        </w:numPr>
        <w:kinsoku/>
        <w:bidi w:val="0"/>
        <w:ind w:left="0" w:leftChars="0" w:firstLine="56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如电缆沟进水、进入小动物及其它原因，使绝缘强度降低，绝缘层击穿短路，绝缘层和填料燃烧起火。</w:t>
      </w:r>
    </w:p>
    <w:p w14:paraId="6D8CA35D">
      <w:pPr>
        <w:keepNext w:val="0"/>
        <w:keepLines w:val="0"/>
        <w:pageBreakBefore w:val="0"/>
        <w:widowControl w:val="0"/>
        <w:numPr>
          <w:ilvl w:val="0"/>
          <w:numId w:val="26"/>
        </w:numPr>
        <w:kinsoku/>
        <w:bidi w:val="0"/>
        <w:ind w:left="0" w:leftChars="0" w:firstLine="56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电缆的终端头和中间接头是电缆绝缘的薄弱环节。电缆因接头盒密封不良，水、湿气进入或</w:t>
      </w:r>
      <w:r>
        <w:rPr>
          <w:rFonts w:hint="eastAsia" w:cs="Times New Roman"/>
          <w:color w:val="000000" w:themeColor="text1"/>
          <w:lang w:val="en-US" w:eastAsia="zh-CN"/>
          <w14:textFill>
            <w14:solidFill>
              <w14:schemeClr w14:val="tx1"/>
            </w14:solidFill>
          </w14:textFill>
        </w:rPr>
        <w:t>灌注</w:t>
      </w:r>
      <w:r>
        <w:rPr>
          <w:rFonts w:hint="default" w:ascii="Times New Roman" w:hAnsi="Times New Roman" w:eastAsia="宋体" w:cs="Times New Roman"/>
          <w:color w:val="000000" w:themeColor="text1"/>
          <w:lang w:val="en-US" w:eastAsia="zh-CN"/>
          <w14:textFill>
            <w14:solidFill>
              <w14:schemeClr w14:val="tx1"/>
            </w14:solidFill>
          </w14:textFill>
        </w:rPr>
        <w:t>的绝缘剂不符合要求，内部留有气孔，均可使绝缘强度降低，导致穿击短路。</w:t>
      </w:r>
    </w:p>
    <w:p w14:paraId="5CEFDDBC">
      <w:pPr>
        <w:keepNext w:val="0"/>
        <w:keepLines w:val="0"/>
        <w:pageBreakBefore w:val="0"/>
        <w:widowControl w:val="0"/>
        <w:numPr>
          <w:ilvl w:val="0"/>
          <w:numId w:val="26"/>
        </w:numPr>
        <w:kinsoku/>
        <w:bidi w:val="0"/>
        <w:ind w:left="0" w:leftChars="0" w:firstLine="56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电缆的管理、维护、检查、定期测温、定期预防性试验及消除缺陷、反事故措施、技术培训不严；对电缆未采取隔离防火、阻燃措施；施工、检修、运行未严格遵守质量标准；对易引起电缆着火的场所没有设置火灾自动报警和灭火装置。</w:t>
      </w:r>
    </w:p>
    <w:p w14:paraId="25D3E564">
      <w:pPr>
        <w:keepNext w:val="0"/>
        <w:keepLines w:val="0"/>
        <w:pageBreakBefore w:val="0"/>
        <w:widowControl w:val="0"/>
        <w:numPr>
          <w:ilvl w:val="0"/>
          <w:numId w:val="26"/>
        </w:numPr>
        <w:kinsoku/>
        <w:bidi w:val="0"/>
        <w:ind w:left="0" w:leftChars="0" w:firstLine="56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老鼠等小动物对电缆的损坏，导致电缆绝缘损坏，线路接地等故障等，影响电缆供电。</w:t>
      </w:r>
    </w:p>
    <w:p w14:paraId="27F7C45D">
      <w:pPr>
        <w:pStyle w:val="4"/>
        <w:bidi w:val="0"/>
        <w:rPr>
          <w:rFonts w:hint="default"/>
          <w:color w:val="000000" w:themeColor="text1"/>
          <w:lang w:val="en-US" w:eastAsia="zh-CN"/>
          <w14:textFill>
            <w14:solidFill>
              <w14:schemeClr w14:val="tx1"/>
            </w14:solidFill>
          </w14:textFill>
        </w:rPr>
      </w:pPr>
      <w:bookmarkStart w:id="202" w:name="_Toc21268"/>
      <w:r>
        <w:rPr>
          <w:rFonts w:hint="default"/>
          <w:color w:val="000000" w:themeColor="text1"/>
          <w:lang w:val="en-US" w:eastAsia="zh-CN"/>
          <w14:textFill>
            <w14:solidFill>
              <w14:schemeClr w14:val="tx1"/>
            </w14:solidFill>
          </w14:textFill>
        </w:rPr>
        <w:t>油浸式变压器</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202"/>
    </w:p>
    <w:p w14:paraId="0FBDD83D">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变压器如保护缺陷或保护故障则可能发生主变因过电流、过电压、绝缘受损、局部放电、绕组损坏等原因导致变压器不能正常运行；变压器受潮后，绝缘强度下降，可能发生绝缘击穿事故；变压器进入小动物，易引起电缆</w:t>
      </w:r>
      <w:r>
        <w:rPr>
          <w:rFonts w:hint="eastAsia"/>
          <w:color w:val="000000" w:themeColor="text1"/>
          <w:lang w:val="en-US" w:eastAsia="zh-CN"/>
          <w14:textFill>
            <w14:solidFill>
              <w14:schemeClr w14:val="tx1"/>
            </w14:solidFill>
          </w14:textFill>
        </w:rPr>
        <w:t>绝缘能力降低</w:t>
      </w:r>
      <w:r>
        <w:rPr>
          <w:rFonts w:hint="default"/>
          <w:color w:val="000000" w:themeColor="text1"/>
          <w:lang w:val="en-US" w:eastAsia="zh-CN"/>
          <w14:textFill>
            <w14:solidFill>
              <w14:schemeClr w14:val="tx1"/>
            </w14:solidFill>
          </w14:textFill>
        </w:rPr>
        <w:t>和电缆短路事故；变压器为油浸式变压器，存在火灾、爆炸危险。</w:t>
      </w:r>
    </w:p>
    <w:p w14:paraId="0C1B6688">
      <w:pPr>
        <w:pStyle w:val="4"/>
        <w:bidi w:val="0"/>
        <w:rPr>
          <w:rFonts w:hint="default"/>
          <w:color w:val="000000" w:themeColor="text1"/>
          <w:lang w:val="en-US" w:eastAsia="zh-CN"/>
          <w14:textFill>
            <w14:solidFill>
              <w14:schemeClr w14:val="tx1"/>
            </w14:solidFill>
          </w14:textFill>
        </w:rPr>
      </w:pPr>
      <w:bookmarkStart w:id="203" w:name="_Toc23759"/>
      <w:r>
        <w:rPr>
          <w:rFonts w:hint="default"/>
          <w:color w:val="000000" w:themeColor="text1"/>
          <w:lang w:val="en-US" w:eastAsia="zh-CN"/>
          <w14:textFill>
            <w14:solidFill>
              <w14:schemeClr w14:val="tx1"/>
            </w14:solidFill>
          </w14:textFill>
        </w:rPr>
        <w:t>配电装置</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203"/>
    </w:p>
    <w:p w14:paraId="16402618">
      <w:pPr>
        <w:keepNext w:val="0"/>
        <w:keepLines w:val="0"/>
        <w:pageBreakBefore w:val="0"/>
        <w:widowControl w:val="0"/>
        <w:kinsoku/>
        <w:wordWrap/>
        <w:overflowPunct/>
        <w:topLinePunct w:val="0"/>
        <w:autoSpaceDE/>
        <w:autoSpaceDN/>
        <w:bidi w:val="0"/>
        <w:adjustRightInd/>
        <w:snapToGrid/>
        <w:spacing w:line="500" w:lineRule="exact"/>
        <w:ind w:left="0" w:right="0" w:firstLine="544" w:firstLineChars="200"/>
        <w:textAlignment w:val="auto"/>
        <w:rPr>
          <w:rFonts w:ascii="宋体" w:hAnsi="宋体" w:eastAsia="宋体" w:cs="宋体"/>
          <w:color w:val="000000" w:themeColor="text1"/>
          <w:spacing w:val="-4"/>
          <w:sz w:val="28"/>
          <w:szCs w:val="28"/>
          <w14:textFill>
            <w14:solidFill>
              <w14:schemeClr w14:val="tx1"/>
            </w14:solidFill>
          </w14:textFill>
        </w:rPr>
      </w:pPr>
      <w:r>
        <w:rPr>
          <w:rFonts w:ascii="宋体" w:hAnsi="宋体" w:eastAsia="宋体" w:cs="宋体"/>
          <w:color w:val="000000" w:themeColor="text1"/>
          <w:spacing w:val="-4"/>
          <w:sz w:val="28"/>
          <w:szCs w:val="28"/>
          <w14:textFill>
            <w14:solidFill>
              <w14:schemeClr w14:val="tx1"/>
            </w14:solidFill>
          </w14:textFill>
        </w:rPr>
        <w:t>配电装置的危险、有害因素包括：触电、电弧灼伤、火灾爆炸等。</w:t>
      </w:r>
    </w:p>
    <w:p w14:paraId="25680162">
      <w:pPr>
        <w:keepNext w:val="0"/>
        <w:keepLines w:val="0"/>
        <w:pageBreakBefore w:val="0"/>
        <w:widowControl w:val="0"/>
        <w:kinsoku/>
        <w:wordWrap/>
        <w:overflowPunct/>
        <w:topLinePunct w:val="0"/>
        <w:autoSpaceDE/>
        <w:autoSpaceDN/>
        <w:bidi w:val="0"/>
        <w:adjustRightInd/>
        <w:snapToGrid/>
        <w:spacing w:line="500" w:lineRule="exact"/>
        <w:ind w:left="0" w:leftChars="0" w:right="0" w:firstLine="0" w:firstLineChars="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1"/>
          <w:sz w:val="28"/>
          <w:szCs w:val="28"/>
          <w14:textFill>
            <w14:solidFill>
              <w14:schemeClr w14:val="tx1"/>
            </w14:solidFill>
          </w14:textFill>
        </w:rPr>
        <w:t>主要引发原因分析：</w:t>
      </w:r>
    </w:p>
    <w:p w14:paraId="2F348C26">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
          <w:sz w:val="28"/>
          <w:szCs w:val="28"/>
          <w14:textFill>
            <w14:solidFill>
              <w14:schemeClr w14:val="tx1"/>
            </w14:solidFill>
          </w14:textFill>
        </w:rPr>
        <w:t>(1)检修工艺不良，操作机构调整不当、部件失灵，合闸接触不良；</w:t>
      </w:r>
      <w:r>
        <w:rPr>
          <w:rFonts w:ascii="宋体" w:hAnsi="宋体" w:eastAsia="宋体" w:cs="宋体"/>
          <w:color w:val="000000" w:themeColor="text1"/>
          <w:spacing w:val="6"/>
          <w:sz w:val="28"/>
          <w:szCs w:val="28"/>
          <w14:textFill>
            <w14:solidFill>
              <w14:schemeClr w14:val="tx1"/>
            </w14:solidFill>
          </w14:textFill>
        </w:rPr>
        <w:t>断路器失灵，操作机构卡涩，跳(合)闸线圈烧毁等，</w:t>
      </w:r>
      <w:r>
        <w:rPr>
          <w:rFonts w:ascii="宋体" w:hAnsi="宋体" w:eastAsia="宋体" w:cs="宋体"/>
          <w:color w:val="000000" w:themeColor="text1"/>
          <w:spacing w:val="5"/>
          <w:sz w:val="28"/>
          <w:szCs w:val="28"/>
          <w14:textFill>
            <w14:solidFill>
              <w14:schemeClr w14:val="tx1"/>
            </w14:solidFill>
          </w14:textFill>
        </w:rPr>
        <w:t>引起拒分或误动。</w:t>
      </w:r>
    </w:p>
    <w:p w14:paraId="749479A6">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(2)小动物、金属杂物跨接或单相接地，引起闪弧、</w:t>
      </w:r>
      <w:r>
        <w:rPr>
          <w:rFonts w:ascii="宋体" w:hAnsi="宋体" w:eastAsia="宋体" w:cs="宋体"/>
          <w:color w:val="000000" w:themeColor="text1"/>
          <w:spacing w:val="1"/>
          <w:sz w:val="28"/>
          <w:szCs w:val="28"/>
          <w14:textFill>
            <w14:solidFill>
              <w14:schemeClr w14:val="tx1"/>
            </w14:solidFill>
          </w14:textFill>
        </w:rPr>
        <w:t>过电压、相问短</w:t>
      </w:r>
      <w:r>
        <w:rPr>
          <w:rFonts w:ascii="宋体" w:hAnsi="宋体" w:eastAsia="宋体" w:cs="宋体"/>
          <w:color w:val="000000" w:themeColor="text1"/>
          <w:sz w:val="28"/>
          <w:szCs w:val="28"/>
          <w14:textFill>
            <w14:solidFill>
              <w14:schemeClr w14:val="tx1"/>
            </w14:solidFill>
          </w14:textFill>
        </w:rPr>
        <w:t xml:space="preserve"> </w:t>
      </w:r>
      <w:r>
        <w:rPr>
          <w:rFonts w:ascii="宋体" w:hAnsi="宋体" w:eastAsia="宋体" w:cs="宋体"/>
          <w:color w:val="000000" w:themeColor="text1"/>
          <w:spacing w:val="-6"/>
          <w:sz w:val="28"/>
          <w:szCs w:val="28"/>
          <w14:textFill>
            <w14:solidFill>
              <w14:schemeClr w14:val="tx1"/>
            </w14:solidFill>
          </w14:textFill>
        </w:rPr>
        <w:t>路，使断路器爆炸。</w:t>
      </w:r>
    </w:p>
    <w:p w14:paraId="63815880">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
          <w:sz w:val="28"/>
          <w:szCs w:val="28"/>
          <w14:textFill>
            <w14:solidFill>
              <w14:schemeClr w14:val="tx1"/>
            </w14:solidFill>
          </w14:textFill>
        </w:rPr>
        <w:t>(3)产生感应电压的电气设备外壳和构架导致电气及人员安全伤害。</w:t>
      </w:r>
    </w:p>
    <w:p w14:paraId="30100EA0">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(4)电气设备的外壳和钢构架在运行中的超标温升会导致</w:t>
      </w:r>
      <w:r>
        <w:rPr>
          <w:rFonts w:ascii="宋体" w:hAnsi="宋体" w:eastAsia="宋体" w:cs="宋体"/>
          <w:color w:val="000000" w:themeColor="text1"/>
          <w:spacing w:val="1"/>
          <w:sz w:val="28"/>
          <w:szCs w:val="28"/>
          <w14:textFill>
            <w14:solidFill>
              <w14:schemeClr w14:val="tx1"/>
            </w14:solidFill>
          </w14:textFill>
        </w:rPr>
        <w:t>人员人身伤</w:t>
      </w:r>
      <w:r>
        <w:rPr>
          <w:rFonts w:ascii="宋体" w:hAnsi="宋体" w:eastAsia="宋体" w:cs="宋体"/>
          <w:color w:val="000000" w:themeColor="text1"/>
          <w:spacing w:val="-9"/>
          <w:sz w:val="28"/>
          <w:szCs w:val="28"/>
          <w14:textFill>
            <w14:solidFill>
              <w14:schemeClr w14:val="tx1"/>
            </w14:solidFill>
          </w14:textFill>
        </w:rPr>
        <w:t>害。</w:t>
      </w:r>
    </w:p>
    <w:p w14:paraId="6EA84937">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(5)电气设备的外壳和钢构架在运行中的超标温升会导致</w:t>
      </w:r>
      <w:r>
        <w:rPr>
          <w:rFonts w:ascii="宋体" w:hAnsi="宋体" w:eastAsia="宋体" w:cs="宋体"/>
          <w:color w:val="000000" w:themeColor="text1"/>
          <w:spacing w:val="1"/>
          <w:sz w:val="28"/>
          <w:szCs w:val="28"/>
          <w14:textFill>
            <w14:solidFill>
              <w14:schemeClr w14:val="tx1"/>
            </w14:solidFill>
          </w14:textFill>
        </w:rPr>
        <w:t>人员人身伤</w:t>
      </w:r>
      <w:r>
        <w:rPr>
          <w:rFonts w:ascii="宋体" w:hAnsi="宋体" w:eastAsia="宋体" w:cs="宋体"/>
          <w:color w:val="000000" w:themeColor="text1"/>
          <w:spacing w:val="-9"/>
          <w:sz w:val="28"/>
          <w:szCs w:val="28"/>
          <w14:textFill>
            <w14:solidFill>
              <w14:schemeClr w14:val="tx1"/>
            </w14:solidFill>
          </w14:textFill>
        </w:rPr>
        <w:t>害。</w:t>
      </w:r>
    </w:p>
    <w:p w14:paraId="3F4F2EFF">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ascii="宋体" w:hAnsi="宋体" w:eastAsia="宋体" w:cs="宋体"/>
          <w:color w:val="000000" w:themeColor="text1"/>
          <w:sz w:val="28"/>
          <w:szCs w:val="28"/>
          <w14:textFill>
            <w14:solidFill>
              <w14:schemeClr w14:val="tx1"/>
            </w14:solidFill>
          </w14:textFill>
        </w:rPr>
      </w:pPr>
      <w:r>
        <w:rPr>
          <w:rFonts w:ascii="宋体" w:hAnsi="宋体" w:eastAsia="宋体" w:cs="宋体"/>
          <w:color w:val="000000" w:themeColor="text1"/>
          <w:spacing w:val="1"/>
          <w:sz w:val="28"/>
          <w:szCs w:val="28"/>
          <w14:textFill>
            <w14:solidFill>
              <w14:schemeClr w14:val="tx1"/>
            </w14:solidFill>
          </w14:textFill>
        </w:rPr>
        <w:t>(6)设备或回路的误操作可能带来的人身触电或伤害事故。</w:t>
      </w:r>
    </w:p>
    <w:p w14:paraId="7017610B">
      <w:pPr>
        <w:keepNext w:val="0"/>
        <w:keepLines w:val="0"/>
        <w:pageBreakBefore w:val="0"/>
        <w:widowControl w:val="0"/>
        <w:kinsoku/>
        <w:wordWrap/>
        <w:overflowPunct/>
        <w:topLinePunct w:val="0"/>
        <w:autoSpaceDE/>
        <w:autoSpaceDN/>
        <w:bidi w:val="0"/>
        <w:adjustRightInd/>
        <w:snapToGrid/>
        <w:spacing w:line="500" w:lineRule="exact"/>
        <w:ind w:right="0"/>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pacing w:val="2"/>
          <w:sz w:val="28"/>
          <w:szCs w:val="28"/>
          <w14:textFill>
            <w14:solidFill>
              <w14:schemeClr w14:val="tx1"/>
            </w14:solidFill>
          </w14:textFill>
        </w:rPr>
        <w:t>(7)配也装置的电气安全净距不够，引发的触电事故。</w:t>
      </w:r>
      <w:r>
        <w:rPr>
          <w:rFonts w:ascii="宋体" w:hAnsi="宋体" w:eastAsia="宋体" w:cs="宋体"/>
          <w:color w:val="000000" w:themeColor="text1"/>
          <w:sz w:val="24"/>
          <w:szCs w:val="24"/>
          <w14:textFill>
            <w14:solidFill>
              <w14:schemeClr w14:val="tx1"/>
            </w14:solidFill>
          </w14:textFill>
        </w:rPr>
        <w:t xml:space="preserve"> </w:t>
      </w:r>
    </w:p>
    <w:p w14:paraId="16D12394">
      <w:pPr>
        <w:pStyle w:val="4"/>
        <w:bidi w:val="0"/>
        <w:rPr>
          <w:rFonts w:hint="default"/>
          <w:color w:val="000000" w:themeColor="text1"/>
          <w:lang w:val="en-US" w:eastAsia="zh-CN"/>
          <w14:textFill>
            <w14:solidFill>
              <w14:schemeClr w14:val="tx1"/>
            </w14:solidFill>
          </w14:textFill>
        </w:rPr>
      </w:pPr>
      <w:bookmarkStart w:id="204" w:name="_Toc28511"/>
      <w:r>
        <w:rPr>
          <w:rFonts w:hint="eastAsia"/>
          <w:color w:val="000000" w:themeColor="text1"/>
          <w:lang w:val="en-US" w:eastAsia="zh-CN"/>
          <w14:textFill>
            <w14:solidFill>
              <w14:schemeClr w14:val="tx1"/>
            </w14:solidFill>
          </w14:textFill>
        </w:rPr>
        <w:t>油浸</w:t>
      </w:r>
      <w:r>
        <w:rPr>
          <w:rFonts w:hint="default"/>
          <w:color w:val="000000" w:themeColor="text1"/>
          <w:lang w:val="en-US" w:eastAsia="zh-CN"/>
          <w14:textFill>
            <w14:solidFill>
              <w14:schemeClr w14:val="tx1"/>
            </w14:solidFill>
          </w14:textFill>
        </w:rPr>
        <w:t>式变压器</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204"/>
    </w:p>
    <w:p w14:paraId="46A8F6DA">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变压器如保护缺陷或保护故障则可能发生主变因过电流、过电压、绝 缘受损、局部放电、绕组损坏等原因导致变压器不能正常运行；变压器受 潮后，绝缘强度下降，可能发生绝缘击穿事故；变压器进入小动物，易引</w: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660288" behindDoc="0" locked="0" layoutInCell="0" allowOverlap="1">
                <wp:simplePos x="0" y="0"/>
                <wp:positionH relativeFrom="page">
                  <wp:posOffset>1007745</wp:posOffset>
                </wp:positionH>
                <wp:positionV relativeFrom="page">
                  <wp:posOffset>897890</wp:posOffset>
                </wp:positionV>
                <wp:extent cx="5653405" cy="9525"/>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653405" cy="9525"/>
                        </a:xfrm>
                        <a:custGeom>
                          <a:avLst/>
                          <a:gdLst/>
                          <a:ahLst/>
                          <a:cxnLst/>
                          <a:pathLst>
                            <a:path w="8902" h="15">
                              <a:moveTo>
                                <a:pt x="0" y="0"/>
                              </a:moveTo>
                              <a:lnTo>
                                <a:pt x="8902" y="0"/>
                              </a:lnTo>
                              <a:lnTo>
                                <a:pt x="8902"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9.35pt;margin-top:70.7pt;height:0.75pt;width:445.15pt;mso-position-horizontal-relative:page;mso-position-vertical-relative:page;z-index:251660288;mso-width-relative:page;mso-height-relative:page;" fillcolor="#000000" filled="t" stroked="f" coordsize="8902,15" o:allowincell="f" o:gfxdata="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SI6y12QAAAAwBAAAPAAAA&#10;AAAAAAEAIAAAACIAAABkcnMvZG93bnJldi54bWxQSwECFAAUAAAACACHTuJAzWLN5hQCAAB9BAAA&#10;DgAAAAAAAAABACAAAAAoAQAAZHJzL2Uyb0RvYy54bWxQSwUGAAAAAAYABgBZAQAArgUAAAAA&#10;" path="m0,0l8902,0,8902,14,0,14,0,0xe">
                <v:fill on="t" focussize="0,0"/>
                <v:stroke on="f"/>
                <v:imagedata o:title=""/>
                <o:lock v:ext="edit" aspectratio="f"/>
              </v:shape>
            </w:pict>
          </mc:Fallback>
        </mc:AlternateContent>
      </w:r>
      <w:r>
        <w:rPr>
          <w:rFonts w:hint="default"/>
          <w:color w:val="000000" w:themeColor="text1"/>
          <w:lang w:val="en-US" w:eastAsia="zh-CN"/>
          <w14:textFill>
            <w14:solidFill>
              <w14:schemeClr w14:val="tx1"/>
            </w14:solidFill>
          </w14:textFill>
        </w:rPr>
        <w:t>起电缆绝缘能力降低和电缆短路事故；变压器为油浸式变压器，存在火灾、 爆炸危险。</w:t>
      </w:r>
    </w:p>
    <w:p w14:paraId="2B4B5C82">
      <w:pPr>
        <w:pStyle w:val="4"/>
        <w:bidi w:val="0"/>
        <w:rPr>
          <w:rFonts w:hint="default"/>
          <w:color w:val="000000" w:themeColor="text1"/>
          <w:lang w:val="en-US" w:eastAsia="zh-CN"/>
          <w14:textFill>
            <w14:solidFill>
              <w14:schemeClr w14:val="tx1"/>
            </w14:solidFill>
          </w14:textFill>
        </w:rPr>
      </w:pPr>
      <w:bookmarkStart w:id="205" w:name="_Toc28441"/>
      <w:r>
        <w:rPr>
          <w:rFonts w:hint="default"/>
          <w:color w:val="000000" w:themeColor="text1"/>
          <w:lang w:val="en-US" w:eastAsia="zh-CN"/>
          <w14:textFill>
            <w14:solidFill>
              <w14:schemeClr w14:val="tx1"/>
            </w14:solidFill>
          </w14:textFill>
        </w:rPr>
        <w:t>电气接地网</w:t>
      </w:r>
      <w:bookmarkEnd w:id="205"/>
      <w:r>
        <w:rPr>
          <w:rFonts w:hint="eastAsia"/>
          <w:color w:val="000000" w:themeColor="text1"/>
          <w:lang w:val="en-US" w:eastAsia="zh-CN"/>
          <w14:textFill>
            <w14:solidFill>
              <w14:schemeClr w14:val="tx1"/>
            </w14:solidFill>
          </w14:textFill>
        </w:rPr>
        <w:t>危险有害因素分析</w:t>
      </w:r>
    </w:p>
    <w:p w14:paraId="08D7D782">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接地网若发生故障，在遭受雷击时将产生严重的事故后果，比如人身伤害、保护系统失灵、设备严重损坏等，引起此项故障的原因有以下几个方面：</w:t>
      </w:r>
    </w:p>
    <w:p w14:paraId="39B8EF4F">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（1）接地电阻不合格；</w:t>
      </w:r>
    </w:p>
    <w:p w14:paraId="4C3BCF33">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（2）接地引下线腐蚀断裂；</w:t>
      </w:r>
    </w:p>
    <w:p w14:paraId="31626B80">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（3）接地引下线动、热稳定不满足要求；</w:t>
      </w:r>
    </w:p>
    <w:p w14:paraId="115FA7A9">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（4）未按规定敷设铜质等电位接地网或连接方法不当，引发二次设备事故。</w:t>
      </w:r>
    </w:p>
    <w:p w14:paraId="1ED2690B">
      <w:pPr>
        <w:pStyle w:val="4"/>
        <w:bidi w:val="0"/>
        <w:rPr>
          <w:rFonts w:hint="default"/>
          <w:color w:val="000000" w:themeColor="text1"/>
          <w:lang w:val="en-US" w:eastAsia="zh-CN"/>
          <w14:textFill>
            <w14:solidFill>
              <w14:schemeClr w14:val="tx1"/>
            </w14:solidFill>
          </w14:textFill>
        </w:rPr>
      </w:pPr>
      <w:bookmarkStart w:id="206" w:name="_Toc3376"/>
      <w:r>
        <w:rPr>
          <w:rFonts w:hint="default"/>
          <w:color w:val="000000" w:themeColor="text1"/>
          <w:lang w:val="en-US" w:eastAsia="zh-CN"/>
          <w14:textFill>
            <w14:solidFill>
              <w14:schemeClr w14:val="tx1"/>
            </w14:solidFill>
          </w14:textFill>
        </w:rPr>
        <w:t>电缆分接箱</w:t>
      </w:r>
      <w:bookmarkEnd w:id="206"/>
      <w:r>
        <w:rPr>
          <w:rFonts w:hint="eastAsia"/>
          <w:color w:val="000000" w:themeColor="text1"/>
          <w:lang w:val="en-US" w:eastAsia="zh-CN"/>
          <w14:textFill>
            <w14:solidFill>
              <w14:schemeClr w14:val="tx1"/>
            </w14:solidFill>
          </w14:textFill>
        </w:rPr>
        <w:t>危险有害因素分析</w:t>
      </w:r>
    </w:p>
    <w:p w14:paraId="004AB9F7">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本项目场内35kV集电线路采用电缆直埋形式，在箱变与35kV集电线路之间设有电缆分接箱。电缆分接箱内的电缆头若材料和施工质量满足不了要求，则可能引发火灾，烧毁设备，造成财产损失。</w:t>
      </w:r>
    </w:p>
    <w:p w14:paraId="74CBD9B5">
      <w:pPr>
        <w:pStyle w:val="4"/>
        <w:bidi w:val="0"/>
        <w:rPr>
          <w:rFonts w:hint="default"/>
          <w:color w:val="000000" w:themeColor="text1"/>
          <w:lang w:val="en-US" w:eastAsia="zh-CN"/>
          <w14:textFill>
            <w14:solidFill>
              <w14:schemeClr w14:val="tx1"/>
            </w14:solidFill>
          </w14:textFill>
        </w:rPr>
      </w:pPr>
      <w:bookmarkStart w:id="207" w:name="_Toc17497"/>
      <w:r>
        <w:rPr>
          <w:rFonts w:hint="default"/>
          <w:color w:val="000000" w:themeColor="text1"/>
          <w:lang w:val="en-US" w:eastAsia="zh-CN"/>
          <w14:textFill>
            <w14:solidFill>
              <w14:schemeClr w14:val="tx1"/>
            </w14:solidFill>
          </w14:textFill>
        </w:rPr>
        <w:t>安全标志缺陷危害性分析</w:t>
      </w:r>
      <w:bookmarkEnd w:id="207"/>
    </w:p>
    <w:p w14:paraId="31EF492A">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标志缺陷包含有无标志、标志不清晰、标志不规范、标志采用不当、标志位置不当和其他标志缺陷。</w:t>
      </w:r>
    </w:p>
    <w:p w14:paraId="689FA609">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如存在标志缺陷，可能误导人员，引发人员伤害等事故。</w:t>
      </w:r>
    </w:p>
    <w:p w14:paraId="5E82506F">
      <w:pPr>
        <w:pStyle w:val="4"/>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并网安全性危险有害因素分析</w:t>
      </w:r>
    </w:p>
    <w:p w14:paraId="67073793">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1．如果光伏组件质量不合格，给并网运行带来隐患。电力系统对电能质量的要求非常严格，要求电源运行性能达到相应的标准。如果不满足 电力系统对电能的质量要求，将会给电力系统带来很大问题。</w:t>
      </w:r>
    </w:p>
    <w:p w14:paraId="7BE16461">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2．光伏发电受太阳辐照度、环境温度、风速等多元气象因素影响的  电源，其出力具有明显的波动性和间歇性。随着越来越多的光伏发电并网 运行，将给电力系统的功率平衡、安全稳定与经济运行带来巨大挑战。在 光伏电站配置光功率预测系统能够提高电网接纳波动性间歇式电源的能   力。光伏发电功率预测系统可向电网调度机构提供光伏电站准确的超短期 和短期发电功率预测曲线，不仅能够为电网的发电计划制定、调峰调频、 潮流优化和安全控制等调度决策行为提供可靠依据，而且可为风、光、水、 储的多能互补协调控制提供技术支撑，使电网最大限度地利用光伏发电资 源。如未设置光功率预测系统，影响电力系统接纳的能力，对运行计划安</w:t>
      </w:r>
      <w:r>
        <w:rPr>
          <w:rFonts w:hint="default"/>
          <w:color w:val="000000" w:themeColor="text1"/>
          <w:lang w:val="en-US" w:eastAsia="zh-CN"/>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page">
                  <wp:posOffset>1007745</wp:posOffset>
                </wp:positionH>
                <wp:positionV relativeFrom="page">
                  <wp:posOffset>897890</wp:posOffset>
                </wp:positionV>
                <wp:extent cx="5653405" cy="9525"/>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653405" cy="9525"/>
                        </a:xfrm>
                        <a:custGeom>
                          <a:avLst/>
                          <a:gdLst/>
                          <a:ahLst/>
                          <a:cxnLst/>
                          <a:pathLst>
                            <a:path w="8902" h="15">
                              <a:moveTo>
                                <a:pt x="0" y="0"/>
                              </a:moveTo>
                              <a:lnTo>
                                <a:pt x="8902" y="0"/>
                              </a:lnTo>
                              <a:lnTo>
                                <a:pt x="8902"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9.35pt;margin-top:70.7pt;height:0.75pt;width:445.15pt;mso-position-horizontal-relative:page;mso-position-vertical-relative:page;z-index:251659264;mso-width-relative:page;mso-height-relative:page;" fillcolor="#000000" filled="t" stroked="f" coordsize="8902,15" o:allowincell="f" o:gfxdata="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IjrLXZAAAADAEAAA8AAAAA&#10;AAAAAQAgAAAAIgAAAGRycy9kb3ducmV2LnhtbFBLAQIUABQAAAAIAIdO4kDKoCu2EwIAAH0EAAAO&#10;AAAAAAAAAAEAIAAAACgBAABkcnMvZTJvRG9jLnhtbFBLBQYAAAAABgAGAFkBAACtBQAAAAA=&#10;" path="m0,0l8902,0,8902,14,0,14,0,0xe">
                <v:fill on="t" focussize="0,0"/>
                <v:stroke on="f"/>
                <v:imagedata o:title=""/>
                <o:lock v:ext="edit" aspectratio="f"/>
              </v:shape>
            </w:pict>
          </mc:Fallback>
        </mc:AlternateContent>
      </w:r>
      <w:r>
        <w:rPr>
          <w:rFonts w:hint="default"/>
          <w:color w:val="000000" w:themeColor="text1"/>
          <w:lang w:val="en-US" w:eastAsia="zh-CN"/>
          <w14:textFill>
            <w14:solidFill>
              <w14:schemeClr w14:val="tx1"/>
            </w14:solidFill>
          </w14:textFill>
        </w:rPr>
        <w:t>排、调峰调频工作带来困难。</w:t>
      </w:r>
    </w:p>
    <w:p w14:paraId="59E4EB2B">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3．光伏发电站发生电压波动、频率、谐波和波形畸变的分析</w:t>
      </w:r>
    </w:p>
    <w:p w14:paraId="2A6A2751">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在并网持续运行过程中，造成输出功率的波动，并且在启动、停止和 切换过程中也会产生电压波动，谐波导致的电压和电流的畸变也是影响电 能质量的重要方面。</w:t>
      </w:r>
    </w:p>
    <w:p w14:paraId="29E63E07">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光能资源的不确定性使输出功率呈波动性，影响电网的电能质量，如 电压偏差、电压波动、谐波等。随着光伏发电在实际系统中比例提高，电 压波动、频率和谐波是对电网电能质量的主要负面影响之一。</w:t>
      </w:r>
    </w:p>
    <w:p w14:paraId="3D25961D">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 ．低电压穿越分析</w:t>
      </w:r>
    </w:p>
    <w:p w14:paraId="4D8D881F">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光伏电站如不具备低电压穿越能力；如动态无功补偿容量不足；如电 网频率异常时的响应特性不够，可能导致光伏电站脱网事故。</w:t>
      </w:r>
    </w:p>
    <w:p w14:paraId="11DFD27C">
      <w:pPr>
        <w:pStyle w:val="4"/>
        <w:bidi w:val="0"/>
        <w:rPr>
          <w:rFonts w:hint="default"/>
          <w:color w:val="000000" w:themeColor="text1"/>
          <w:lang w:val="en-US" w:eastAsia="zh-CN"/>
          <w14:textFill>
            <w14:solidFill>
              <w14:schemeClr w14:val="tx1"/>
            </w14:solidFill>
          </w14:textFill>
        </w:rPr>
      </w:pPr>
      <w:bookmarkStart w:id="208" w:name="_Toc2900"/>
      <w:r>
        <w:rPr>
          <w:rFonts w:hint="default"/>
          <w:color w:val="000000" w:themeColor="text1"/>
          <w:lang w:val="en-US" w:eastAsia="zh-CN"/>
          <w14:textFill>
            <w14:solidFill>
              <w14:schemeClr w14:val="tx1"/>
            </w14:solidFill>
          </w14:textFill>
        </w:rPr>
        <w:t>安全工器具</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辨识与分析</w:t>
      </w:r>
      <w:bookmarkEnd w:id="208"/>
    </w:p>
    <w:p w14:paraId="55D67832">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本电站配备了验电器、接地线、绝缘靴、绝缘手套、安全帽等安全工器具，如未按要求定期检测、储存不当、绝缘失效、违规操作，导致触电等事故。</w:t>
      </w:r>
    </w:p>
    <w:p w14:paraId="648B6F3A">
      <w:pPr>
        <w:pStyle w:val="4"/>
        <w:bidi w:val="0"/>
        <w:rPr>
          <w:rFonts w:hint="default"/>
          <w:color w:val="000000" w:themeColor="text1"/>
          <w:lang w:val="en-US" w:eastAsia="zh-CN"/>
          <w14:textFill>
            <w14:solidFill>
              <w14:schemeClr w14:val="tx1"/>
            </w14:solidFill>
          </w14:textFill>
        </w:rPr>
      </w:pPr>
      <w:bookmarkStart w:id="209" w:name="_Toc12475"/>
      <w:r>
        <w:rPr>
          <w:rFonts w:hint="default"/>
          <w:color w:val="000000" w:themeColor="text1"/>
          <w:lang w:val="en-US" w:eastAsia="zh-CN"/>
          <w14:textFill>
            <w14:solidFill>
              <w14:schemeClr w14:val="tx1"/>
            </w14:solidFill>
          </w14:textFill>
        </w:rPr>
        <w:t>孤岛运行保护</w:t>
      </w:r>
      <w:r>
        <w:rPr>
          <w:rFonts w:hint="eastAsia"/>
          <w:color w:val="000000" w:themeColor="text1"/>
          <w:lang w:val="en-US" w:eastAsia="zh-CN"/>
          <w14:textFill>
            <w14:solidFill>
              <w14:schemeClr w14:val="tx1"/>
            </w14:solidFill>
          </w14:textFill>
        </w:rPr>
        <w:t>危险有害因素</w:t>
      </w:r>
      <w:bookmarkEnd w:id="209"/>
      <w:r>
        <w:rPr>
          <w:rFonts w:hint="eastAsia"/>
          <w:color w:val="000000" w:themeColor="text1"/>
          <w:lang w:val="en-US" w:eastAsia="zh-CN"/>
          <w14:textFill>
            <w14:solidFill>
              <w14:schemeClr w14:val="tx1"/>
            </w14:solidFill>
          </w14:textFill>
        </w:rPr>
        <w:t>分析</w:t>
      </w:r>
    </w:p>
    <w:p w14:paraId="7586690D">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光伏发电系统处于并网状态时在系统侧发生停电的场合，如果负载功率和功率调节器的输出功率相同，那么不改变功率调节器的输出电压和频率，就无法利用电压继电器、频率继电器检测是否停电。因此，太阳能光伏发电系统可以继续向系统供电。这种运行状态称为单独（孤岛）运行。</w:t>
      </w:r>
    </w:p>
    <w:p w14:paraId="44BDD0C1">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如孤岛运行一起动，光伏发电系统继续向已与配电网断开的电力线供电，这给维护检测人员带来危害。因此，必须停止运行光伏发电系统。但是孤单运行场合，利用如前所述那样的电压继电器、频率继电器不能提供保护。作为其应对措施，系统应设置孤岛运行防止功能，可以安全停止运行。功率调节器应设置孤岛运行防止功能。</w:t>
      </w:r>
    </w:p>
    <w:p w14:paraId="3EC24AF8">
      <w:pPr>
        <w:pStyle w:val="4"/>
        <w:bidi w:val="0"/>
        <w:rPr>
          <w:rFonts w:hint="default"/>
          <w:color w:val="000000" w:themeColor="text1"/>
          <w:lang w:val="en-US" w:eastAsia="zh-CN"/>
          <w14:textFill>
            <w14:solidFill>
              <w14:schemeClr w14:val="tx1"/>
            </w14:solidFill>
          </w14:textFill>
        </w:rPr>
      </w:pPr>
      <w:bookmarkStart w:id="210" w:name="_Toc26240"/>
      <w:r>
        <w:rPr>
          <w:rFonts w:hint="default"/>
          <w:color w:val="000000" w:themeColor="text1"/>
          <w:lang w:val="en-US" w:eastAsia="zh-CN"/>
          <w14:textFill>
            <w14:solidFill>
              <w14:schemeClr w14:val="tx1"/>
            </w14:solidFill>
          </w14:textFill>
        </w:rPr>
        <w:t>热斑效应</w:t>
      </w:r>
      <w:r>
        <w:rPr>
          <w:rFonts w:hint="eastAsia"/>
          <w:color w:val="000000" w:themeColor="text1"/>
          <w:lang w:val="en-US" w:eastAsia="zh-CN"/>
          <w14:textFill>
            <w14:solidFill>
              <w14:schemeClr w14:val="tx1"/>
            </w14:solidFill>
          </w14:textFill>
        </w:rPr>
        <w:t>危险有害因素</w:t>
      </w:r>
      <w:r>
        <w:rPr>
          <w:rFonts w:hint="default"/>
          <w:color w:val="000000" w:themeColor="text1"/>
          <w:lang w:val="en-US" w:eastAsia="zh-CN"/>
          <w14:textFill>
            <w14:solidFill>
              <w14:schemeClr w14:val="tx1"/>
            </w14:solidFill>
          </w14:textFill>
        </w:rPr>
        <w:t>分析</w:t>
      </w:r>
      <w:bookmarkEnd w:id="210"/>
    </w:p>
    <w:p w14:paraId="64F3A915">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在一定条件下，一串联支路中被遮蔽的光伏组件，将被当作负载消耗其他有光照的光伏组件所产生的能量。被遮蔽的光伏组件此时会发热，这就是热斑效应。</w:t>
      </w:r>
    </w:p>
    <w:p w14:paraId="6F2B40BD">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热斑效应产生的原因主要有：光伏组件通常安装在地域开阔、阳光充足地带，长期使用中难免落上飞鸟、尘土、落叶等遮挡物，在光伏组件上形成阴影；光伏组件行间距不适合也可能互相形成阴影；方阵在室外工作，其输出功率和效率受温度和太阳能辐照度影响；光伏组件的转换效率、开路电压和短路电流等光电性能不一致；个别光伏组件本身缺陷也可能使组件在工作时局部发热。</w:t>
      </w:r>
    </w:p>
    <w:p w14:paraId="38426050">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热斑效应的危害主要是：严重时热斑的温度可能高达200℃左右，热斑效应会使焊点融化，破坏封装材料，严重破坏光伏组件，甚至使光伏组件失效；有光照的光伏组件所产生的部分能量可能被遮蔽的光伏组件所消耗；热斑效应使光伏组件的实际使用寿命至少减少10%。</w:t>
      </w:r>
    </w:p>
    <w:p w14:paraId="7B28BF23">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减轻热斑效应危害的措施：热斑现象是不可避免的，为表明光伏组件能够在规定的条件下长期使用，需通过合理的时间和过程对光伏组件进行检测，确定其承受热斑加热效应的能力。确定光伏组件承受热斑加热能力的检测试验叫</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热斑耐久试验</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w:t>
      </w:r>
    </w:p>
    <w:p w14:paraId="2499527E">
      <w:pPr>
        <w:pStyle w:val="3"/>
        <w:bidi w:val="0"/>
        <w:rPr>
          <w:rFonts w:hint="eastAsia"/>
          <w:color w:val="000000" w:themeColor="text1"/>
          <w14:textFill>
            <w14:solidFill>
              <w14:schemeClr w14:val="tx1"/>
            </w14:solidFill>
          </w14:textFill>
        </w:rPr>
      </w:pPr>
      <w:bookmarkStart w:id="211" w:name="_Toc6629"/>
      <w:bookmarkStart w:id="212" w:name="_Toc20953"/>
      <w:bookmarkStart w:id="213" w:name="_Toc20680"/>
      <w:r>
        <w:rPr>
          <w:rFonts w:hint="eastAsia"/>
          <w:color w:val="000000" w:themeColor="text1"/>
          <w14:textFill>
            <w14:solidFill>
              <w14:schemeClr w14:val="tx1"/>
            </w14:solidFill>
          </w14:textFill>
        </w:rPr>
        <w:t>生产运行、检修过程中的主要</w:t>
      </w:r>
      <w:r>
        <w:rPr>
          <w:rFonts w:hint="eastAsia"/>
          <w:color w:val="000000" w:themeColor="text1"/>
          <w:lang w:eastAsia="zh-CN"/>
          <w14:textFill>
            <w14:solidFill>
              <w14:schemeClr w14:val="tx1"/>
            </w14:solidFill>
          </w14:textFill>
        </w:rPr>
        <w:t>危险有害因素</w:t>
      </w:r>
      <w:r>
        <w:rPr>
          <w:rFonts w:hint="eastAsia"/>
          <w:color w:val="000000" w:themeColor="text1"/>
          <w14:textFill>
            <w14:solidFill>
              <w14:schemeClr w14:val="tx1"/>
            </w14:solidFill>
          </w14:textFill>
        </w:rPr>
        <w:t>辨识分析</w:t>
      </w:r>
      <w:bookmarkEnd w:id="211"/>
      <w:bookmarkEnd w:id="212"/>
      <w:bookmarkEnd w:id="213"/>
    </w:p>
    <w:p w14:paraId="77C2C7D4">
      <w:pPr>
        <w:pStyle w:val="4"/>
        <w:bidi w:val="0"/>
        <w:rPr>
          <w:rFonts w:hint="eastAsia"/>
          <w:color w:val="000000" w:themeColor="text1"/>
          <w14:textFill>
            <w14:solidFill>
              <w14:schemeClr w14:val="tx1"/>
            </w14:solidFill>
          </w14:textFill>
        </w:rPr>
      </w:pPr>
      <w:bookmarkStart w:id="214" w:name="_Toc18279"/>
      <w:bookmarkStart w:id="215" w:name="_Toc23579"/>
      <w:r>
        <w:rPr>
          <w:color w:val="000000" w:themeColor="text1"/>
          <w14:textFill>
            <w14:solidFill>
              <w14:schemeClr w14:val="tx1"/>
            </w14:solidFill>
          </w14:textFill>
        </w:rPr>
        <w:t>火灾危险</w:t>
      </w:r>
      <w:r>
        <w:rPr>
          <w:rFonts w:hint="eastAsia"/>
          <w:color w:val="000000" w:themeColor="text1"/>
          <w14:textFill>
            <w14:solidFill>
              <w14:schemeClr w14:val="tx1"/>
            </w14:solidFill>
          </w14:textFill>
        </w:rPr>
        <w:t>性</w:t>
      </w:r>
      <w:r>
        <w:rPr>
          <w:color w:val="000000" w:themeColor="text1"/>
          <w14:textFill>
            <w14:solidFill>
              <w14:schemeClr w14:val="tx1"/>
            </w14:solidFill>
          </w14:textFill>
        </w:rPr>
        <w:t>分析</w:t>
      </w:r>
      <w:bookmarkEnd w:id="214"/>
      <w:bookmarkEnd w:id="215"/>
    </w:p>
    <w:p w14:paraId="76602C7F">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光伏发电站</w:t>
      </w:r>
      <w:r>
        <w:rPr>
          <w:color w:val="000000" w:themeColor="text1"/>
          <w14:textFill>
            <w14:solidFill>
              <w14:schemeClr w14:val="tx1"/>
            </w14:solidFill>
          </w14:textFill>
        </w:rPr>
        <w:t>的火灾主要有</w:t>
      </w:r>
      <w:r>
        <w:rPr>
          <w:rFonts w:hint="eastAsia"/>
          <w:color w:val="000000" w:themeColor="text1"/>
          <w14:textFill>
            <w14:solidFill>
              <w14:schemeClr w14:val="tx1"/>
            </w14:solidFill>
          </w14:textFill>
        </w:rPr>
        <w:t>光伏组件火灾、</w:t>
      </w:r>
      <w:r>
        <w:rPr>
          <w:color w:val="000000" w:themeColor="text1"/>
          <w14:textFill>
            <w14:solidFill>
              <w14:schemeClr w14:val="tx1"/>
            </w14:solidFill>
          </w14:textFill>
        </w:rPr>
        <w:t>电气设备火灾、电缆火灾</w:t>
      </w:r>
      <w:r>
        <w:rPr>
          <w:rFonts w:hint="eastAsia"/>
          <w:color w:val="000000" w:themeColor="text1"/>
          <w14:textFill>
            <w14:solidFill>
              <w14:schemeClr w14:val="tx1"/>
            </w14:solidFill>
          </w14:textFill>
        </w:rPr>
        <w:t>、变压器着火、植被火灾引起的火灾</w:t>
      </w:r>
      <w:r>
        <w:rPr>
          <w:color w:val="000000" w:themeColor="text1"/>
          <w14:textFill>
            <w14:solidFill>
              <w14:schemeClr w14:val="tx1"/>
            </w14:solidFill>
          </w14:textFill>
        </w:rPr>
        <w:t>及其他可燃物质的火灾。一旦发生火灾，将会发生设备损坏，人身伤害等危险，严重火灾事故时，可能导致设备严重损坏，影响</w:t>
      </w:r>
      <w:r>
        <w:rPr>
          <w:rFonts w:hint="eastAsia"/>
          <w:color w:val="000000" w:themeColor="text1"/>
          <w14:textFill>
            <w14:solidFill>
              <w14:schemeClr w14:val="tx1"/>
            </w14:solidFill>
          </w14:textFill>
        </w:rPr>
        <w:t>电站</w:t>
      </w:r>
      <w:r>
        <w:rPr>
          <w:color w:val="000000" w:themeColor="text1"/>
          <w14:textFill>
            <w14:solidFill>
              <w14:schemeClr w14:val="tx1"/>
            </w14:solidFill>
          </w14:textFill>
        </w:rPr>
        <w:t>的生产运行和向系统供电，造成严重经济损失。</w:t>
      </w:r>
    </w:p>
    <w:p w14:paraId="7FCBFFF2">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电缆火灾可能由于电缆本身故障、遭遇雷击或外部火源引起，电缆火灾蔓延快，扑救困难，并产生剧毒烟雾。</w:t>
      </w:r>
    </w:p>
    <w:p w14:paraId="263909D1">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光伏组件</w:t>
      </w:r>
      <w:r>
        <w:rPr>
          <w:color w:val="000000" w:themeColor="text1"/>
          <w14:textFill>
            <w14:solidFill>
              <w14:schemeClr w14:val="tx1"/>
            </w14:solidFill>
          </w14:textFill>
        </w:rPr>
        <w:t>、变压器、配电设备等电气设备，因运行环境因素、受潮、设备内部故障、操作维护不当等因素，均有可能发生火灾甚至爆炸事故，一些火灾事故就是因为设备内部故障，设备受潮，油中混水导致</w:t>
      </w:r>
      <w:r>
        <w:rPr>
          <w:rFonts w:hint="eastAsia"/>
          <w:color w:val="000000" w:themeColor="text1"/>
          <w:lang w:eastAsia="zh-CN"/>
          <w14:textFill>
            <w14:solidFill>
              <w14:schemeClr w14:val="tx1"/>
            </w14:solidFill>
          </w14:textFill>
        </w:rPr>
        <w:t>绝缘能力降低</w:t>
      </w:r>
      <w:r>
        <w:rPr>
          <w:color w:val="000000" w:themeColor="text1"/>
          <w14:textFill>
            <w14:solidFill>
              <w14:schemeClr w14:val="tx1"/>
            </w14:solidFill>
          </w14:textFill>
        </w:rPr>
        <w:t>而引起。</w:t>
      </w:r>
    </w:p>
    <w:p w14:paraId="194338A0">
      <w:pPr>
        <w:pStyle w:val="5"/>
        <w:keepNext w:val="0"/>
        <w:keepLines w:val="0"/>
        <w:pageBreakBefore w:val="0"/>
        <w:widowControl w:val="0"/>
        <w:kinsoku/>
        <w:bidi w:val="0"/>
        <w:outlineLvl w:val="4"/>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光伏组件</w:t>
      </w:r>
      <w:r>
        <w:rPr>
          <w:b/>
          <w:bCs/>
          <w:color w:val="000000" w:themeColor="text1"/>
          <w14:textFill>
            <w14:solidFill>
              <w14:schemeClr w14:val="tx1"/>
            </w14:solidFill>
          </w14:textFill>
        </w:rPr>
        <w:t>火灾危险性分析</w:t>
      </w:r>
    </w:p>
    <w:p w14:paraId="2F9BA36D">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(1)光伏组件因运行环境因素、受潮、设备内部故障、操作维护不当等因素，可能引发火灾事故。</w:t>
      </w:r>
    </w:p>
    <w:p w14:paraId="262EA573">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(2)站区外为荒山野地、田地等，树木众多、杂草丛生，站区内多为低矮灌木，如未及时修剪、清除，场区内外的杂草、树木和低矮灌木发生火灾，山火的燃烧速度快，燃烧范围广，灭火救援较困难，且电站占地面积大，则必然对光伏组件造成火灾影响和损坏，光伏组件受损的可能性大。</w:t>
      </w:r>
    </w:p>
    <w:p w14:paraId="480595F7">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(3)光伏场区外周边活动人员如恶意纵火也会造成光伏场区火灾。</w:t>
      </w:r>
    </w:p>
    <w:p w14:paraId="61C810E1">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(4)组件产生热斑效应、电缆短路或者荒山野草发生火灾都有可能导致光伏阵列发生火灾。</w:t>
      </w:r>
    </w:p>
    <w:p w14:paraId="178FB447">
      <w:pPr>
        <w:pStyle w:val="5"/>
        <w:keepNext w:val="0"/>
        <w:keepLines w:val="0"/>
        <w:pageBreakBefore w:val="0"/>
        <w:widowControl w:val="0"/>
        <w:kinsoku/>
        <w:bidi w:val="0"/>
        <w:outlineLvl w:val="4"/>
        <w:rPr>
          <w:b/>
          <w:bCs/>
          <w:color w:val="000000" w:themeColor="text1"/>
          <w14:textFill>
            <w14:solidFill>
              <w14:schemeClr w14:val="tx1"/>
            </w14:solidFill>
          </w14:textFill>
        </w:rPr>
      </w:pPr>
      <w:r>
        <w:rPr>
          <w:b/>
          <w:bCs/>
          <w:color w:val="000000" w:themeColor="text1"/>
          <w14:textFill>
            <w14:solidFill>
              <w14:schemeClr w14:val="tx1"/>
            </w14:solidFill>
          </w14:textFill>
        </w:rPr>
        <w:t>电缆火灾危险性分析</w:t>
      </w:r>
    </w:p>
    <w:p w14:paraId="637092A3">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电缆的绝缘材料、填充物和保护层如浸渍纸、漆布、橡胶、塑料等均属可燃物质，具有火灾危险性。引起电缆火灾的原因有：外部起火引发电缆着火和电缆本身缺陷引起着火。</w:t>
      </w:r>
    </w:p>
    <w:p w14:paraId="1897278F">
      <w:pPr>
        <w:keepNext w:val="0"/>
        <w:keepLines w:val="0"/>
        <w:pageBreakBefore w:val="0"/>
        <w:widowControl w:val="0"/>
        <w:numPr>
          <w:ilvl w:val="0"/>
          <w:numId w:val="27"/>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外部起火引起电缆着火的原因主要有：</w:t>
      </w:r>
    </w:p>
    <w:p w14:paraId="0D51B7CB">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pacing w:val="-1"/>
          <w14:textFill>
            <w14:solidFill>
              <w14:schemeClr w14:val="tx1"/>
            </w14:solidFill>
          </w14:textFill>
        </w:rPr>
      </w:pPr>
      <w:r>
        <w:rPr>
          <w:rFonts w:hint="eastAsia" w:ascii="宋体" w:hAnsi="宋体" w:eastAsia="宋体" w:cs="宋体"/>
          <w:color w:val="000000" w:themeColor="text1"/>
          <w:spacing w:val="-1"/>
          <w:lang w:eastAsia="zh-CN"/>
          <w14:textFill>
            <w14:solidFill>
              <w14:schemeClr w14:val="tx1"/>
            </w14:solidFill>
          </w14:textFill>
        </w:rPr>
        <w:t>（</w:t>
      </w:r>
      <w:r>
        <w:rPr>
          <w:rFonts w:hint="eastAsia" w:ascii="宋体" w:hAnsi="宋体" w:eastAsia="宋体" w:cs="宋体"/>
          <w:color w:val="000000" w:themeColor="text1"/>
          <w:spacing w:val="-1"/>
          <w:lang w:val="en-US" w:eastAsia="zh-CN"/>
          <w14:textFill>
            <w14:solidFill>
              <w14:schemeClr w14:val="tx1"/>
            </w14:solidFill>
          </w14:textFill>
        </w:rPr>
        <w:t>1</w:t>
      </w:r>
      <w:r>
        <w:rPr>
          <w:rFonts w:hint="eastAsia" w:ascii="宋体" w:hAnsi="宋体" w:eastAsia="宋体" w:cs="宋体"/>
          <w:color w:val="000000" w:themeColor="text1"/>
          <w:spacing w:val="-1"/>
          <w:lang w:eastAsia="zh-CN"/>
          <w14:textFill>
            <w14:solidFill>
              <w14:schemeClr w14:val="tx1"/>
            </w14:solidFill>
          </w14:textFill>
        </w:rPr>
        <w:t>）</w:t>
      </w:r>
      <w:r>
        <w:rPr>
          <w:rFonts w:hint="eastAsia" w:ascii="宋体" w:hAnsi="宋体" w:eastAsia="宋体" w:cs="宋体"/>
          <w:color w:val="000000" w:themeColor="text1"/>
          <w:spacing w:val="-1"/>
          <w14:textFill>
            <w14:solidFill>
              <w14:schemeClr w14:val="tx1"/>
            </w14:solidFill>
          </w14:textFill>
        </w:rPr>
        <w:t>开关设备、其他电气设备短路或接触电阻过大产生高温起火将附近电缆引燃。</w:t>
      </w:r>
    </w:p>
    <w:p w14:paraId="140D070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pacing w:val="-1"/>
          <w14:textFill>
            <w14:solidFill>
              <w14:schemeClr w14:val="tx1"/>
            </w14:solidFill>
          </w14:textFill>
        </w:rPr>
      </w:pPr>
      <w:r>
        <w:rPr>
          <w:rFonts w:hint="eastAsia" w:ascii="宋体" w:hAnsi="宋体" w:eastAsia="宋体" w:cs="宋体"/>
          <w:color w:val="000000" w:themeColor="text1"/>
          <w:spacing w:val="-1"/>
          <w:lang w:eastAsia="zh-CN"/>
          <w14:textFill>
            <w14:solidFill>
              <w14:schemeClr w14:val="tx1"/>
            </w14:solidFill>
          </w14:textFill>
        </w:rPr>
        <w:t>（</w:t>
      </w:r>
      <w:r>
        <w:rPr>
          <w:rFonts w:hint="eastAsia" w:ascii="宋体" w:hAnsi="宋体" w:eastAsia="宋体" w:cs="宋体"/>
          <w:color w:val="000000" w:themeColor="text1"/>
          <w:spacing w:val="-1"/>
          <w:lang w:val="en-US" w:eastAsia="zh-CN"/>
          <w14:textFill>
            <w14:solidFill>
              <w14:schemeClr w14:val="tx1"/>
            </w14:solidFill>
          </w14:textFill>
        </w:rPr>
        <w:t>2</w:t>
      </w:r>
      <w:r>
        <w:rPr>
          <w:rFonts w:hint="eastAsia" w:ascii="宋体" w:hAnsi="宋体" w:eastAsia="宋体" w:cs="宋体"/>
          <w:color w:val="000000" w:themeColor="text1"/>
          <w:spacing w:val="-1"/>
          <w:lang w:eastAsia="zh-CN"/>
          <w14:textFill>
            <w14:solidFill>
              <w14:schemeClr w14:val="tx1"/>
            </w14:solidFill>
          </w14:textFill>
        </w:rPr>
        <w:t>）</w:t>
      </w:r>
      <w:r>
        <w:rPr>
          <w:rFonts w:hint="eastAsia" w:ascii="宋体" w:hAnsi="宋体" w:eastAsia="宋体" w:cs="宋体"/>
          <w:color w:val="000000" w:themeColor="text1"/>
          <w:spacing w:val="-1"/>
          <w14:textFill>
            <w14:solidFill>
              <w14:schemeClr w14:val="tx1"/>
            </w14:solidFill>
          </w14:textFill>
        </w:rPr>
        <w:t>安装和检修时高温焊渣等掉到电缆上引起着火。</w:t>
      </w:r>
    </w:p>
    <w:p w14:paraId="0CA0454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pacing w:val="-1"/>
          <w14:textFill>
            <w14:solidFill>
              <w14:schemeClr w14:val="tx1"/>
            </w14:solidFill>
          </w14:textFill>
        </w:rPr>
      </w:pPr>
      <w:r>
        <w:rPr>
          <w:rFonts w:hint="eastAsia" w:ascii="宋体" w:hAnsi="宋体" w:eastAsia="宋体" w:cs="宋体"/>
          <w:color w:val="000000" w:themeColor="text1"/>
          <w:spacing w:val="-1"/>
          <w:lang w:eastAsia="zh-CN"/>
          <w14:textFill>
            <w14:solidFill>
              <w14:schemeClr w14:val="tx1"/>
            </w14:solidFill>
          </w14:textFill>
        </w:rPr>
        <w:t>（</w:t>
      </w:r>
      <w:r>
        <w:rPr>
          <w:rFonts w:hint="eastAsia" w:ascii="宋体" w:hAnsi="宋体" w:eastAsia="宋体" w:cs="宋体"/>
          <w:color w:val="000000" w:themeColor="text1"/>
          <w:spacing w:val="-1"/>
          <w:lang w:val="en-US" w:eastAsia="zh-CN"/>
          <w14:textFill>
            <w14:solidFill>
              <w14:schemeClr w14:val="tx1"/>
            </w14:solidFill>
          </w14:textFill>
        </w:rPr>
        <w:t>3</w:t>
      </w:r>
      <w:r>
        <w:rPr>
          <w:rFonts w:hint="eastAsia" w:ascii="宋体" w:hAnsi="宋体" w:eastAsia="宋体" w:cs="宋体"/>
          <w:color w:val="000000" w:themeColor="text1"/>
          <w:spacing w:val="-1"/>
          <w:lang w:eastAsia="zh-CN"/>
          <w14:textFill>
            <w14:solidFill>
              <w14:schemeClr w14:val="tx1"/>
            </w14:solidFill>
          </w14:textFill>
        </w:rPr>
        <w:t>）</w:t>
      </w:r>
      <w:r>
        <w:rPr>
          <w:rFonts w:hint="eastAsia" w:ascii="宋体" w:hAnsi="宋体" w:eastAsia="宋体" w:cs="宋体"/>
          <w:color w:val="000000" w:themeColor="text1"/>
          <w:spacing w:val="-1"/>
          <w14:textFill>
            <w14:solidFill>
              <w14:schemeClr w14:val="tx1"/>
            </w14:solidFill>
          </w14:textFill>
        </w:rPr>
        <w:t>其他可燃、易燃物质着火后将附近电缆引燃。</w:t>
      </w:r>
    </w:p>
    <w:p w14:paraId="19CFB12D">
      <w:pPr>
        <w:keepNext w:val="0"/>
        <w:keepLines w:val="0"/>
        <w:pageBreakBefore w:val="0"/>
        <w:widowControl w:val="0"/>
        <w:numPr>
          <w:ilvl w:val="0"/>
          <w:numId w:val="27"/>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电缆本身缺陷引起电缆着火的原因：</w:t>
      </w:r>
    </w:p>
    <w:p w14:paraId="79805E72">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电缆本身在制造时有缺陷，在敷设时保护铅皮损坏或在运行中电缆绝缘受到机械损伤，引起电缆之间或铅皮之间的绝缘击穿而发生电弧。电弧高温能引燃电缆内的绝缘材料和电缆外层的麻布等。</w:t>
      </w:r>
    </w:p>
    <w:p w14:paraId="1A608A32">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电缆长期受水、酸、碱和其他有腐蚀性气体或液体腐蚀使保护层破坏，绝缘强度降低，引起电缆短路起火。</w:t>
      </w:r>
    </w:p>
    <w:p w14:paraId="5D1EB8F0">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在长时间运行中，由于过负荷、过热等原因使电缆绝缘加速老化、干枯，绝缘强度降低，引起电缆相间或对地击穿短路起火。</w:t>
      </w:r>
    </w:p>
    <w:p w14:paraId="0E91E4AB">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电缆外护套破损或密封不良，使电缆发生水渗浸受潮，导致绝缘击穿短路。</w:t>
      </w:r>
    </w:p>
    <w:p w14:paraId="2C720D2E">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过电压使电缆绝缘击穿发生短路起火。</w:t>
      </w:r>
    </w:p>
    <w:p w14:paraId="4FB7C816">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安装时电缆的曲率半径过小，致使绝缘折断受损发生短路。</w:t>
      </w:r>
    </w:p>
    <w:p w14:paraId="02BA716C">
      <w:pPr>
        <w:keepNext w:val="0"/>
        <w:keepLines w:val="0"/>
        <w:pageBreakBefore w:val="0"/>
        <w:widowControl w:val="0"/>
        <w:numPr>
          <w:ilvl w:val="0"/>
          <w:numId w:val="28"/>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电缆终端接头和中间接头接触不良发生短路事故，引起电缆着火。</w:t>
      </w:r>
    </w:p>
    <w:p w14:paraId="5F3CD62A">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pacing w:val="-1"/>
          <w14:textFill>
            <w14:solidFill>
              <w14:schemeClr w14:val="tx1"/>
            </w14:solidFill>
          </w14:textFill>
        </w:rPr>
      </w:pPr>
      <w:r>
        <w:rPr>
          <w:rFonts w:hint="eastAsia" w:ascii="宋体" w:hAnsi="宋体" w:eastAsia="宋体" w:cs="宋体"/>
          <w:color w:val="000000" w:themeColor="text1"/>
          <w:spacing w:val="-1"/>
          <w:lang w:val="en-US" w:eastAsia="zh-CN"/>
          <w14:textFill>
            <w14:solidFill>
              <w14:schemeClr w14:val="tx1"/>
            </w14:solidFill>
          </w14:textFill>
        </w:rPr>
        <w:t>3.</w:t>
      </w:r>
      <w:r>
        <w:rPr>
          <w:rFonts w:hint="eastAsia" w:ascii="宋体" w:hAnsi="宋体" w:eastAsia="宋体" w:cs="宋体"/>
          <w:color w:val="000000" w:themeColor="text1"/>
          <w:spacing w:val="-1"/>
          <w14:textFill>
            <w14:solidFill>
              <w14:schemeClr w14:val="tx1"/>
            </w14:solidFill>
          </w14:textFill>
        </w:rPr>
        <w:t>其它电气火灾危险性分析</w:t>
      </w:r>
    </w:p>
    <w:p w14:paraId="4C9577E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pacing w:val="-1"/>
          <w14:textFill>
            <w14:solidFill>
              <w14:schemeClr w14:val="tx1"/>
            </w14:solidFill>
          </w14:textFill>
        </w:rPr>
        <w:t>光伏发电输电电缆的埋地段，若遭到自然的或人为的破坏，可能引起 火灾。</w:t>
      </w:r>
    </w:p>
    <w:p w14:paraId="0BA57687">
      <w:pPr>
        <w:pStyle w:val="5"/>
        <w:keepNext w:val="0"/>
        <w:keepLines w:val="0"/>
        <w:pageBreakBefore w:val="0"/>
        <w:widowControl w:val="0"/>
        <w:kinsoku/>
        <w:bidi w:val="0"/>
        <w:outlineLvl w:val="4"/>
        <w:rPr>
          <w:b/>
          <w:bCs/>
          <w:color w:val="000000" w:themeColor="text1"/>
          <w14:textFill>
            <w14:solidFill>
              <w14:schemeClr w14:val="tx1"/>
            </w14:solidFill>
          </w14:textFill>
        </w:rPr>
      </w:pPr>
      <w:r>
        <w:rPr>
          <w:b/>
          <w:bCs/>
          <w:color w:val="000000" w:themeColor="text1"/>
          <w14:textFill>
            <w14:solidFill>
              <w14:schemeClr w14:val="tx1"/>
            </w14:solidFill>
          </w14:textFill>
        </w:rPr>
        <w:t>变压器火灾危险性分析</w:t>
      </w:r>
    </w:p>
    <w:p w14:paraId="30A049AA">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变压器的其它绝缘材料，如电缆线、漆布、木材、黄漆布带、棉布、棉纱、浸渍纸等属可燃物质，在变压器长时间过载发热、短路或其它异常情况下，均易引发火灾事故。</w:t>
      </w:r>
    </w:p>
    <w:p w14:paraId="2EC0A9B0">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造成变压器绝缘损伤短路，产生电弧的主要原因有：</w:t>
      </w:r>
    </w:p>
    <w:p w14:paraId="338D686A">
      <w:pPr>
        <w:keepNext w:val="0"/>
        <w:keepLines w:val="0"/>
        <w:pageBreakBefore w:val="0"/>
        <w:widowControl w:val="0"/>
        <w:numPr>
          <w:ilvl w:val="0"/>
          <w:numId w:val="29"/>
        </w:numPr>
        <w:kinsoku/>
        <w:bidi w:val="0"/>
        <w:rPr>
          <w:color w:val="000000" w:themeColor="text1"/>
          <w14:textFill>
            <w14:solidFill>
              <w14:schemeClr w14:val="tx1"/>
            </w14:solidFill>
          </w14:textFill>
        </w:rPr>
      </w:pPr>
      <w:r>
        <w:rPr>
          <w:color w:val="000000" w:themeColor="text1"/>
          <w14:textFill>
            <w14:solidFill>
              <w14:schemeClr w14:val="tx1"/>
            </w14:solidFill>
          </w14:textFill>
        </w:rPr>
        <w:t>变压器里的绝缘材料如电缆纸、棉纱、布料、木块等长期在较高温度作用下逐步老化，使绝缘强度降低、脱落，引起线圈匝间短路。</w:t>
      </w:r>
    </w:p>
    <w:p w14:paraId="030B661E">
      <w:pPr>
        <w:keepNext w:val="0"/>
        <w:keepLines w:val="0"/>
        <w:pageBreakBefore w:val="0"/>
        <w:widowControl w:val="0"/>
        <w:numPr>
          <w:ilvl w:val="0"/>
          <w:numId w:val="29"/>
        </w:numPr>
        <w:kinsoku/>
        <w:bidi w:val="0"/>
        <w:rPr>
          <w:color w:val="000000" w:themeColor="text1"/>
          <w14:textFill>
            <w14:solidFill>
              <w14:schemeClr w14:val="tx1"/>
            </w14:solidFill>
          </w14:textFill>
        </w:rPr>
      </w:pPr>
      <w:r>
        <w:rPr>
          <w:color w:val="000000" w:themeColor="text1"/>
          <w14:textFill>
            <w14:solidFill>
              <w14:schemeClr w14:val="tx1"/>
            </w14:solidFill>
          </w14:textFill>
        </w:rPr>
        <w:t>在过电压冲击下，变压器发生穿越性故障。</w:t>
      </w:r>
    </w:p>
    <w:p w14:paraId="0D29AB07">
      <w:pPr>
        <w:keepNext w:val="0"/>
        <w:keepLines w:val="0"/>
        <w:pageBreakBefore w:val="0"/>
        <w:widowControl w:val="0"/>
        <w:numPr>
          <w:ilvl w:val="0"/>
          <w:numId w:val="29"/>
        </w:numPr>
        <w:kinsoku/>
        <w:bidi w:val="0"/>
        <w:rPr>
          <w:color w:val="000000" w:themeColor="text1"/>
          <w14:textFill>
            <w14:solidFill>
              <w14:schemeClr w14:val="tx1"/>
            </w14:solidFill>
          </w14:textFill>
        </w:rPr>
      </w:pPr>
      <w:r>
        <w:rPr>
          <w:color w:val="000000" w:themeColor="text1"/>
          <w14:textFill>
            <w14:solidFill>
              <w14:schemeClr w14:val="tx1"/>
            </w14:solidFill>
          </w14:textFill>
        </w:rPr>
        <w:t>检修质量不良使局部绝缘损伤。</w:t>
      </w:r>
    </w:p>
    <w:p w14:paraId="28E97A15">
      <w:pPr>
        <w:keepNext w:val="0"/>
        <w:keepLines w:val="0"/>
        <w:pageBreakBefore w:val="0"/>
        <w:widowControl w:val="0"/>
        <w:numPr>
          <w:ilvl w:val="0"/>
          <w:numId w:val="29"/>
        </w:numPr>
        <w:kinsoku/>
        <w:bidi w:val="0"/>
        <w:rPr>
          <w:color w:val="000000" w:themeColor="text1"/>
          <w14:textFill>
            <w14:solidFill>
              <w14:schemeClr w14:val="tx1"/>
            </w14:solidFill>
          </w14:textFill>
        </w:rPr>
      </w:pPr>
      <w:r>
        <w:rPr>
          <w:color w:val="000000" w:themeColor="text1"/>
          <w14:textFill>
            <w14:solidFill>
              <w14:schemeClr w14:val="tx1"/>
            </w14:solidFill>
          </w14:textFill>
        </w:rPr>
        <w:t>变压器油质劣化或变压器进水受潮。</w:t>
      </w:r>
    </w:p>
    <w:p w14:paraId="6573225B">
      <w:pPr>
        <w:keepNext w:val="0"/>
        <w:keepLines w:val="0"/>
        <w:pageBreakBefore w:val="0"/>
        <w:widowControl w:val="0"/>
        <w:numPr>
          <w:ilvl w:val="0"/>
          <w:numId w:val="29"/>
        </w:numPr>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变压器长期过载发热。</w:t>
      </w:r>
    </w:p>
    <w:p w14:paraId="41FBE242">
      <w:pPr>
        <w:keepNext w:val="0"/>
        <w:keepLines w:val="0"/>
        <w:pageBreakBefore w:val="0"/>
        <w:widowControl w:val="0"/>
        <w:numPr>
          <w:ilvl w:val="0"/>
          <w:numId w:val="29"/>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铁芯磁路故障。</w:t>
      </w:r>
    </w:p>
    <w:p w14:paraId="3D557DA3">
      <w:pPr>
        <w:pStyle w:val="4"/>
        <w:bidi w:val="0"/>
        <w:rPr>
          <w:color w:val="000000" w:themeColor="text1"/>
          <w14:textFill>
            <w14:solidFill>
              <w14:schemeClr w14:val="tx1"/>
            </w14:solidFill>
          </w14:textFill>
        </w:rPr>
      </w:pPr>
      <w:bookmarkStart w:id="216" w:name="_Toc21709"/>
      <w:bookmarkStart w:id="217" w:name="_Toc31614"/>
      <w:r>
        <w:rPr>
          <w:color w:val="000000" w:themeColor="text1"/>
          <w14:textFill>
            <w14:solidFill>
              <w14:schemeClr w14:val="tx1"/>
            </w14:solidFill>
          </w14:textFill>
        </w:rPr>
        <w:t>爆炸危险</w:t>
      </w:r>
      <w:r>
        <w:rPr>
          <w:rFonts w:hint="eastAsia"/>
          <w:color w:val="000000" w:themeColor="text1"/>
          <w14:textFill>
            <w14:solidFill>
              <w14:schemeClr w14:val="tx1"/>
            </w14:solidFill>
          </w14:textFill>
        </w:rPr>
        <w:t>性</w:t>
      </w:r>
      <w:r>
        <w:rPr>
          <w:color w:val="000000" w:themeColor="text1"/>
          <w14:textFill>
            <w14:solidFill>
              <w14:schemeClr w14:val="tx1"/>
            </w14:solidFill>
          </w14:textFill>
        </w:rPr>
        <w:t>分析</w:t>
      </w:r>
      <w:bookmarkEnd w:id="216"/>
      <w:bookmarkEnd w:id="217"/>
    </w:p>
    <w:p w14:paraId="42788E78">
      <w:pPr>
        <w:keepNext w:val="0"/>
        <w:keepLines w:val="0"/>
        <w:pageBreakBefore w:val="0"/>
        <w:widowControl w:val="0"/>
        <w:kinsoku/>
        <w:bidi w:val="0"/>
        <w:rPr>
          <w:rFonts w:hint="eastAsia"/>
          <w:snapToGrid w:val="0"/>
          <w:color w:val="000000" w:themeColor="text1"/>
          <w:kern w:val="0"/>
          <w:szCs w:val="28"/>
          <w14:textFill>
            <w14:solidFill>
              <w14:schemeClr w14:val="tx1"/>
            </w14:solidFill>
          </w14:textFill>
        </w:rPr>
      </w:pPr>
      <w:r>
        <w:rPr>
          <w:rFonts w:hint="eastAsia"/>
          <w:color w:val="000000" w:themeColor="text1"/>
          <w14:textFill>
            <w14:solidFill>
              <w14:schemeClr w14:val="tx1"/>
            </w14:solidFill>
          </w14:textFill>
        </w:rPr>
        <w:t>据</w:t>
      </w:r>
      <w:r>
        <w:rPr>
          <w:color w:val="000000" w:themeColor="text1"/>
          <w14:textFill>
            <w14:solidFill>
              <w14:schemeClr w14:val="tx1"/>
            </w14:solidFill>
          </w14:textFill>
        </w:rPr>
        <w:t>《企业职工伤亡事故分类》（GB6441-1986）</w:t>
      </w:r>
      <w:r>
        <w:rPr>
          <w:rFonts w:hint="eastAsia"/>
          <w:color w:val="000000" w:themeColor="text1"/>
          <w14:textFill>
            <w14:solidFill>
              <w14:schemeClr w14:val="tx1"/>
            </w14:solidFill>
          </w14:textFill>
        </w:rPr>
        <w:t>，将爆炸分为瓦斯爆炸、火药爆炸、锅炉爆炸、容器爆炸、其他爆炸。本光伏发电站运行中不涉及瓦斯、火药、锅炉爆炸。运行期间存在变压器</w:t>
      </w:r>
      <w:r>
        <w:rPr>
          <w:rFonts w:hint="eastAsia"/>
          <w:color w:val="000000" w:themeColor="text1"/>
          <w:lang w:val="en-US" w:eastAsia="zh-CN"/>
          <w14:textFill>
            <w14:solidFill>
              <w14:schemeClr w14:val="tx1"/>
            </w14:solidFill>
          </w14:textFill>
        </w:rPr>
        <w:t>其他</w:t>
      </w:r>
      <w:r>
        <w:rPr>
          <w:rFonts w:hint="eastAsia"/>
          <w:color w:val="000000" w:themeColor="text1"/>
          <w14:textFill>
            <w14:solidFill>
              <w14:schemeClr w14:val="tx1"/>
            </w14:solidFill>
          </w14:textFill>
        </w:rPr>
        <w:t>爆炸危险。</w:t>
      </w:r>
    </w:p>
    <w:p w14:paraId="7FBCFB4E">
      <w:pPr>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变压器油是变压器火灾爆炸事故的主要根源。当变压器内部发生短路产生电弧，在电弧高温作用下，油被分解气化爆燃，使变压器外壳爆裂，大量喷油着火。</w:t>
      </w:r>
      <w:r>
        <w:rPr>
          <w:rFonts w:hint="eastAsia"/>
          <w:color w:val="000000" w:themeColor="text1"/>
          <w14:textFill>
            <w14:solidFill>
              <w14:schemeClr w14:val="tx1"/>
            </w14:solidFill>
          </w14:textFill>
        </w:rPr>
        <w:t>造成人员的重大伤亡，设备的严重损坏。</w:t>
      </w:r>
    </w:p>
    <w:p w14:paraId="5D81098F">
      <w:pPr>
        <w:pStyle w:val="4"/>
        <w:bidi w:val="0"/>
        <w:rPr>
          <w:color w:val="000000" w:themeColor="text1"/>
          <w14:textFill>
            <w14:solidFill>
              <w14:schemeClr w14:val="tx1"/>
            </w14:solidFill>
          </w14:textFill>
        </w:rPr>
      </w:pPr>
      <w:bookmarkStart w:id="218" w:name="_Toc25888"/>
      <w:bookmarkStart w:id="219" w:name="_Toc28454"/>
      <w:r>
        <w:rPr>
          <w:rFonts w:hint="eastAsia"/>
          <w:color w:val="000000" w:themeColor="text1"/>
          <w14:textFill>
            <w14:solidFill>
              <w14:schemeClr w14:val="tx1"/>
            </w14:solidFill>
          </w14:textFill>
        </w:rPr>
        <w:t>触电</w:t>
      </w:r>
      <w:r>
        <w:rPr>
          <w:color w:val="000000" w:themeColor="text1"/>
          <w14:textFill>
            <w14:solidFill>
              <w14:schemeClr w14:val="tx1"/>
            </w14:solidFill>
          </w14:textFill>
        </w:rPr>
        <w:t>危险</w:t>
      </w:r>
      <w:r>
        <w:rPr>
          <w:rFonts w:hint="eastAsia"/>
          <w:color w:val="000000" w:themeColor="text1"/>
          <w14:textFill>
            <w14:solidFill>
              <w14:schemeClr w14:val="tx1"/>
            </w14:solidFill>
          </w14:textFill>
        </w:rPr>
        <w:t>性</w:t>
      </w:r>
      <w:r>
        <w:rPr>
          <w:color w:val="000000" w:themeColor="text1"/>
          <w14:textFill>
            <w14:solidFill>
              <w14:schemeClr w14:val="tx1"/>
            </w14:solidFill>
          </w14:textFill>
        </w:rPr>
        <w:t>分析</w:t>
      </w:r>
      <w:bookmarkEnd w:id="218"/>
      <w:bookmarkEnd w:id="219"/>
    </w:p>
    <w:p w14:paraId="013D9E74">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触电分为电伤触电和电击触电。</w:t>
      </w:r>
      <w:r>
        <w:rPr>
          <w:color w:val="000000" w:themeColor="text1"/>
          <w14:textFill>
            <w14:solidFill>
              <w14:schemeClr w14:val="tx1"/>
            </w14:solidFill>
          </w14:textFill>
        </w:rPr>
        <w:t>电击触电</w:t>
      </w:r>
      <w:r>
        <w:rPr>
          <w:rFonts w:hint="eastAsia"/>
          <w:color w:val="000000" w:themeColor="text1"/>
          <w14:textFill>
            <w14:solidFill>
              <w14:schemeClr w14:val="tx1"/>
            </w14:solidFill>
          </w14:textFill>
        </w:rPr>
        <w:t>是指</w:t>
      </w:r>
      <w:r>
        <w:rPr>
          <w:color w:val="000000" w:themeColor="text1"/>
          <w14:textFill>
            <w14:solidFill>
              <w14:schemeClr w14:val="tx1"/>
            </w14:solidFill>
          </w14:textFill>
        </w:rPr>
        <w:t>人体接触带电部分，造成电流通过人体，使人体内部的器官受到损伤</w:t>
      </w:r>
      <w:r>
        <w:rPr>
          <w:rFonts w:hint="eastAsia"/>
          <w:color w:val="000000" w:themeColor="text1"/>
          <w14:textFill>
            <w14:solidFill>
              <w14:schemeClr w14:val="tx1"/>
            </w14:solidFill>
          </w14:textFill>
        </w:rPr>
        <w:t>；电伤触电是指</w:t>
      </w:r>
      <w:r>
        <w:rPr>
          <w:color w:val="000000" w:themeColor="text1"/>
          <w14:textFill>
            <w14:solidFill>
              <w14:schemeClr w14:val="tx1"/>
            </w14:solidFill>
          </w14:textFill>
        </w:rPr>
        <w:t>由于电弧以及熔化、蒸发的金属微粒对人体外表的伤害</w:t>
      </w:r>
      <w:r>
        <w:rPr>
          <w:rFonts w:hint="eastAsia"/>
          <w:color w:val="000000" w:themeColor="text1"/>
          <w14:textFill>
            <w14:solidFill>
              <w14:schemeClr w14:val="tx1"/>
            </w14:solidFill>
          </w14:textFill>
        </w:rPr>
        <w:t>，如电灼伤、金属溅伤、电烙印等。</w:t>
      </w:r>
    </w:p>
    <w:p w14:paraId="0D3EEDDC">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电击触电导致人体</w:t>
      </w:r>
      <w:r>
        <w:rPr>
          <w:color w:val="000000" w:themeColor="text1"/>
          <w14:textFill>
            <w14:solidFill>
              <w14:schemeClr w14:val="tx1"/>
            </w14:solidFill>
          </w14:textFill>
        </w:rPr>
        <w:t>肌肉发生收缩，受害者常不能立即脱离带电部分，使电流连续通过人体，造成呼吸困难，</w:t>
      </w:r>
      <w:r>
        <w:rPr>
          <w:rFonts w:hint="eastAsia"/>
          <w:color w:val="000000" w:themeColor="text1"/>
          <w:lang w:eastAsia="zh-CN"/>
          <w14:textFill>
            <w14:solidFill>
              <w14:schemeClr w14:val="tx1"/>
            </w14:solidFill>
          </w14:textFill>
        </w:rPr>
        <w:t>心脏停搏</w:t>
      </w:r>
      <w:r>
        <w:rPr>
          <w:color w:val="000000" w:themeColor="text1"/>
          <w14:textFill>
            <w14:solidFill>
              <w14:schemeClr w14:val="tx1"/>
            </w14:solidFill>
          </w14:textFill>
        </w:rPr>
        <w:t>，以至于死亡，所以危险性很大。</w:t>
      </w:r>
    </w:p>
    <w:p w14:paraId="2E2BD2F1">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伤主要特征有：电烧伤：电流热效应造成的伤害；皮肤金属化：电弧高温作用下，金属熔化、汽化，金属微粒渗入皮肤，使皮肤粗糙而张紧的伤害，皮肤金属化多与电弧烧伤同时发生；电烙印：人体与带电体接触的部位留下的永久性斑痕，斑痕处皮肤失去原有弹性、色泽，表皮坏死，失去知觉；机械性损伤：电流作用于人体时，由于中枢神经反射和肌肉强烈收缩等作用导致的机体组织断裂、骨折等伤害；电光眼：弧光放电时，由红外线、可见光、紫外线对眼睛的伤害。</w:t>
      </w:r>
    </w:p>
    <w:p w14:paraId="2DB934C1">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触电伤亡事故中，纯电伤性质的及带有电伤性质的约占75％(电烧伤约占40％)。尽管大约85％以上的触电死亡事故是电击造成的，但其中大约70％的含有电伤成分。</w:t>
      </w:r>
    </w:p>
    <w:p w14:paraId="4E5CC0A8">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现场检、维修中如未查清光伏组件的断口、孤岛效应、作业人员无防护设备，未验电，违章作业等均可能发生触电事故。</w:t>
      </w:r>
    </w:p>
    <w:p w14:paraId="26BBDB44">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因光伏组件发电不同于水电站、风电场存在旋转设备，光伏电站存在孤岛效应，如未验电，未找到断口，盲目检修，则可能发生触电。</w:t>
      </w:r>
    </w:p>
    <w:p w14:paraId="42DA35AB">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在检修作业及可能的技术改造施工时可能存在带电作业、交叉作业，存在施工和发电运行的相互影响，存在人员触电危险和施工对发电运行设备的误碰撞、误损坏危险以及导致发电运行设备误停电、跳闸危险。</w:t>
      </w:r>
    </w:p>
    <w:p w14:paraId="1C0D28E0">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因光伏组件发电的特殊性，发电中无旋转设备不能判断是否发电，可能意外导致触电事故。</w:t>
      </w:r>
    </w:p>
    <w:p w14:paraId="120A327A">
      <w:pPr>
        <w:pStyle w:val="4"/>
        <w:bidi w:val="0"/>
        <w:rPr>
          <w:rFonts w:hint="eastAsia"/>
          <w:color w:val="000000" w:themeColor="text1"/>
          <w14:textFill>
            <w14:solidFill>
              <w14:schemeClr w14:val="tx1"/>
            </w14:solidFill>
          </w14:textFill>
        </w:rPr>
      </w:pPr>
      <w:bookmarkStart w:id="220" w:name="_Toc23528"/>
      <w:bookmarkStart w:id="221" w:name="_Toc21881"/>
      <w:r>
        <w:rPr>
          <w:color w:val="000000" w:themeColor="text1"/>
          <w14:textFill>
            <w14:solidFill>
              <w14:schemeClr w14:val="tx1"/>
            </w14:solidFill>
          </w14:textFill>
        </w:rPr>
        <w:t>机械伤害危险</w:t>
      </w:r>
      <w:r>
        <w:rPr>
          <w:rFonts w:hint="eastAsia"/>
          <w:color w:val="000000" w:themeColor="text1"/>
          <w14:textFill>
            <w14:solidFill>
              <w14:schemeClr w14:val="tx1"/>
            </w14:solidFill>
          </w14:textFill>
        </w:rPr>
        <w:t>性</w:t>
      </w:r>
      <w:r>
        <w:rPr>
          <w:color w:val="000000" w:themeColor="text1"/>
          <w14:textFill>
            <w14:solidFill>
              <w14:schemeClr w14:val="tx1"/>
            </w14:solidFill>
          </w14:textFill>
        </w:rPr>
        <w:t>分析</w:t>
      </w:r>
      <w:bookmarkEnd w:id="220"/>
      <w:bookmarkEnd w:id="221"/>
    </w:p>
    <w:p w14:paraId="3C48E290">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机械伤害危险是指由于工作中的机械设备的运动部件及工件等夹击、碰撞、碾压、剪切工作人员身体引起伤害的危险，或由于照明光线暗淡，安全标志不明显，人员磕、碰处于静止状态的机械设备，引致人员身体伤害的危险。</w:t>
      </w:r>
    </w:p>
    <w:p w14:paraId="4C6D254B">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w:t>
      </w:r>
      <w:r>
        <w:rPr>
          <w:color w:val="000000" w:themeColor="text1"/>
          <w14:textFill>
            <w14:solidFill>
              <w14:schemeClr w14:val="tx1"/>
            </w14:solidFill>
          </w14:textFill>
        </w:rPr>
        <w:t>涉及主辅机械及机械修理设备种类和数量</w:t>
      </w:r>
      <w:r>
        <w:rPr>
          <w:rFonts w:hint="eastAsia"/>
          <w:color w:val="000000" w:themeColor="text1"/>
          <w14:textFill>
            <w14:solidFill>
              <w14:schemeClr w14:val="tx1"/>
            </w14:solidFill>
          </w14:textFill>
        </w:rPr>
        <w:t>不多</w:t>
      </w:r>
      <w:r>
        <w:rPr>
          <w:color w:val="000000" w:themeColor="text1"/>
          <w14:textFill>
            <w14:solidFill>
              <w14:schemeClr w14:val="tx1"/>
            </w14:solidFill>
          </w14:textFill>
        </w:rPr>
        <w:t>，正常运行时，主要发电设备多为自动操作，机械转动部分都有防护罩，人员一般不会触及。</w:t>
      </w:r>
    </w:p>
    <w:p w14:paraId="5C2ECF21">
      <w:pPr>
        <w:pStyle w:val="4"/>
        <w:bidi w:val="0"/>
        <w:rPr>
          <w:color w:val="000000" w:themeColor="text1"/>
          <w14:textFill>
            <w14:solidFill>
              <w14:schemeClr w14:val="tx1"/>
            </w14:solidFill>
          </w14:textFill>
        </w:rPr>
      </w:pPr>
      <w:bookmarkStart w:id="222" w:name="_Toc13217"/>
      <w:bookmarkStart w:id="223" w:name="_Toc31321"/>
      <w:r>
        <w:rPr>
          <w:color w:val="000000" w:themeColor="text1"/>
          <w14:textFill>
            <w14:solidFill>
              <w14:schemeClr w14:val="tx1"/>
            </w14:solidFill>
          </w14:textFill>
        </w:rPr>
        <w:t>高处坠落危险因素分析</w:t>
      </w:r>
      <w:bookmarkEnd w:id="222"/>
      <w:bookmarkEnd w:id="223"/>
    </w:p>
    <w:p w14:paraId="1C504DC7">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高处</w:t>
      </w:r>
      <w:r>
        <w:rPr>
          <w:color w:val="000000" w:themeColor="text1"/>
          <w14:textFill>
            <w14:solidFill>
              <w14:schemeClr w14:val="tx1"/>
            </w14:solidFill>
          </w14:textFill>
        </w:rPr>
        <w:t>坠落是指在高处作业时坠落造成人员身体伤害的危险。</w:t>
      </w:r>
    </w:p>
    <w:p w14:paraId="397B2B2A">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在对建构筑物进行检查和维护等作业时，常需在距离基准面垂直距离为2m以上位置进行高处作业时，若作业地点没有安装护栏杆或未系安全带，或在进行高处作业前食用对神经有麻痹作用的食物等，均可能发生高处坠落事故，造成人员伤亡。</w:t>
      </w:r>
    </w:p>
    <w:p w14:paraId="6EC233F3">
      <w:pPr>
        <w:pStyle w:val="4"/>
        <w:bidi w:val="0"/>
        <w:rPr>
          <w:color w:val="000000" w:themeColor="text1"/>
          <w14:textFill>
            <w14:solidFill>
              <w14:schemeClr w14:val="tx1"/>
            </w14:solidFill>
          </w14:textFill>
        </w:rPr>
      </w:pPr>
      <w:bookmarkStart w:id="224" w:name="_Toc23647"/>
      <w:bookmarkStart w:id="225" w:name="_Toc22279"/>
      <w:r>
        <w:rPr>
          <w:color w:val="000000" w:themeColor="text1"/>
          <w14:textFill>
            <w14:solidFill>
              <w14:schemeClr w14:val="tx1"/>
            </w14:solidFill>
          </w14:textFill>
        </w:rPr>
        <w:t>车辆伤害</w:t>
      </w:r>
      <w:r>
        <w:rPr>
          <w:rFonts w:hint="eastAsia"/>
          <w:color w:val="000000" w:themeColor="text1"/>
          <w14:textFill>
            <w14:solidFill>
              <w14:schemeClr w14:val="tx1"/>
            </w14:solidFill>
          </w14:textFill>
        </w:rPr>
        <w:t>危险因素分析</w:t>
      </w:r>
      <w:bookmarkEnd w:id="224"/>
      <w:bookmarkEnd w:id="225"/>
    </w:p>
    <w:p w14:paraId="6554053E">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光伏电站场用道路弯多，在巡视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检查</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维修</w:t>
      </w:r>
      <w:r>
        <w:rPr>
          <w:rFonts w:hint="eastAsia"/>
          <w:color w:val="000000" w:themeColor="text1"/>
          <w14:textFill>
            <w14:solidFill>
              <w14:schemeClr w14:val="tx1"/>
            </w14:solidFill>
          </w14:textFill>
        </w:rPr>
        <w:t>等过程中存在交通事故危险。</w:t>
      </w:r>
      <w:r>
        <w:rPr>
          <w:color w:val="000000" w:themeColor="text1"/>
          <w14:textFill>
            <w14:solidFill>
              <w14:schemeClr w14:val="tx1"/>
            </w14:solidFill>
          </w14:textFill>
        </w:rPr>
        <w:t>车辆伤害危险指车辆在行驶中引起撞击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人员坠落、物体挤压等伤害的危险。</w:t>
      </w:r>
      <w:r>
        <w:rPr>
          <w:rFonts w:hint="eastAsia"/>
          <w:color w:val="000000" w:themeColor="text1"/>
          <w14:textFill>
            <w14:solidFill>
              <w14:schemeClr w14:val="tx1"/>
            </w14:solidFill>
          </w14:textFill>
        </w:rPr>
        <w:t>车辆伤害危险因素分析如下：</w:t>
      </w:r>
    </w:p>
    <w:p w14:paraId="2BDED461">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场用道路多急转弯，特别是遇恶劣、极端天气时，在巡视检查、交班等过程中存在交通事故危险；</w:t>
      </w:r>
    </w:p>
    <w:p w14:paraId="4D859B3C">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雾天在山路上行驶时，由于能见度降低，突然停车或突然加速都很危险，往往会引发群车追尾的重大交通事故；</w:t>
      </w:r>
    </w:p>
    <w:p w14:paraId="0BE93090">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遇到大暴雨或特大暴雨，刮水器的作用不能满足能见度要求时，也易发事故；</w:t>
      </w:r>
    </w:p>
    <w:p w14:paraId="17D5D3BB">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车况不好，刹车失灵；</w:t>
      </w:r>
    </w:p>
    <w:p w14:paraId="34C76CF8">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司机素质不高，违章驾驶；</w:t>
      </w:r>
    </w:p>
    <w:p w14:paraId="7A5652AC">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司机驾驶技能差；</w:t>
      </w:r>
    </w:p>
    <w:p w14:paraId="05B609D0">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酒后开车；</w:t>
      </w:r>
    </w:p>
    <w:p w14:paraId="00EE5A6F">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车辆超载；</w:t>
      </w:r>
    </w:p>
    <w:p w14:paraId="433061A4">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车辆超速；</w:t>
      </w:r>
    </w:p>
    <w:p w14:paraId="7912AEE4">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安全警示标志、指示标志不完善；</w:t>
      </w:r>
    </w:p>
    <w:p w14:paraId="772F8B4E">
      <w:pPr>
        <w:keepNext w:val="0"/>
        <w:keepLines w:val="0"/>
        <w:pageBreakBefore w:val="0"/>
        <w:widowControl w:val="0"/>
        <w:numPr>
          <w:ilvl w:val="0"/>
          <w:numId w:val="30"/>
        </w:numPr>
        <w:kinsoku/>
        <w:bidi w:val="0"/>
        <w:ind w:left="0" w:leftChars="0" w:firstLine="560" w:firstLineChars="20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其它原因。</w:t>
      </w:r>
    </w:p>
    <w:p w14:paraId="508C0458">
      <w:pPr>
        <w:pStyle w:val="4"/>
        <w:bidi w:val="0"/>
        <w:rPr>
          <w:color w:val="000000" w:themeColor="text1"/>
          <w14:textFill>
            <w14:solidFill>
              <w14:schemeClr w14:val="tx1"/>
            </w14:solidFill>
          </w14:textFill>
        </w:rPr>
      </w:pPr>
      <w:bookmarkStart w:id="226" w:name="_Toc29592"/>
      <w:bookmarkStart w:id="227" w:name="_Toc31688"/>
      <w:r>
        <w:rPr>
          <w:color w:val="000000" w:themeColor="text1"/>
          <w14:textFill>
            <w14:solidFill>
              <w14:schemeClr w14:val="tx1"/>
            </w14:solidFill>
          </w14:textFill>
        </w:rPr>
        <w:t>边坡</w:t>
      </w:r>
      <w:r>
        <w:rPr>
          <w:rFonts w:hint="eastAsia"/>
          <w:color w:val="000000" w:themeColor="text1"/>
          <w14:textFill>
            <w14:solidFill>
              <w14:schemeClr w14:val="tx1"/>
            </w14:solidFill>
          </w14:textFill>
        </w:rPr>
        <w:t>滑坡、</w:t>
      </w:r>
      <w:r>
        <w:rPr>
          <w:color w:val="000000" w:themeColor="text1"/>
          <w14:textFill>
            <w14:solidFill>
              <w14:schemeClr w14:val="tx1"/>
            </w14:solidFill>
          </w14:textFill>
        </w:rPr>
        <w:t>坍塌</w:t>
      </w:r>
      <w:bookmarkEnd w:id="226"/>
      <w:bookmarkEnd w:id="227"/>
    </w:p>
    <w:p w14:paraId="71AEB657">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因道路开挖形成的较陡边坡，边坡均未进行支护，在暴晒、暴雨及长时间降雨后，易形成水土流失、局部路面路基塌陷，临空面产生滑坡、坍塌等危害，</w:t>
      </w:r>
      <w:r>
        <w:rPr>
          <w:color w:val="000000" w:themeColor="text1"/>
          <w14:textFill>
            <w14:solidFill>
              <w14:schemeClr w14:val="tx1"/>
            </w14:solidFill>
          </w14:textFill>
        </w:rPr>
        <w:t>可能会影响</w:t>
      </w:r>
      <w:r>
        <w:rPr>
          <w:rFonts w:hint="eastAsia"/>
          <w:color w:val="000000" w:themeColor="text1"/>
          <w14:textFill>
            <w14:solidFill>
              <w14:schemeClr w14:val="tx1"/>
            </w14:solidFill>
          </w14:textFill>
        </w:rPr>
        <w:t>场区光伏组件和逆变室</w:t>
      </w:r>
      <w:r>
        <w:rPr>
          <w:color w:val="000000" w:themeColor="text1"/>
          <w14:textFill>
            <w14:solidFill>
              <w14:schemeClr w14:val="tx1"/>
            </w14:solidFill>
          </w14:textFill>
        </w:rPr>
        <w:t>的稳定。</w:t>
      </w:r>
    </w:p>
    <w:p w14:paraId="4BBA0086">
      <w:pPr>
        <w:pStyle w:val="4"/>
        <w:bidi w:val="0"/>
        <w:rPr>
          <w:color w:val="000000" w:themeColor="text1"/>
          <w14:textFill>
            <w14:solidFill>
              <w14:schemeClr w14:val="tx1"/>
            </w14:solidFill>
          </w14:textFill>
        </w:rPr>
      </w:pPr>
      <w:bookmarkStart w:id="228" w:name="_Toc13899"/>
      <w:bookmarkStart w:id="229" w:name="_Toc26317"/>
      <w:bookmarkStart w:id="230" w:name="_Toc24305"/>
      <w:r>
        <w:rPr>
          <w:color w:val="000000" w:themeColor="text1"/>
          <w14:textFill>
            <w14:solidFill>
              <w14:schemeClr w14:val="tx1"/>
            </w14:solidFill>
          </w14:textFill>
        </w:rPr>
        <w:t>过电压</w:t>
      </w:r>
      <w:bookmarkEnd w:id="228"/>
      <w:r>
        <w:rPr>
          <w:rFonts w:hint="eastAsia"/>
          <w:color w:val="000000" w:themeColor="text1"/>
          <w:lang w:eastAsia="zh-CN"/>
          <w14:textFill>
            <w14:solidFill>
              <w14:schemeClr w14:val="tx1"/>
            </w14:solidFill>
          </w14:textFill>
        </w:rPr>
        <w:t>危险有害因素</w:t>
      </w:r>
      <w:bookmarkEnd w:id="229"/>
    </w:p>
    <w:p w14:paraId="23EE2349">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本电站电力系统主要涉及的过电压危害有谐振过电压、雷击过电压。</w:t>
      </w:r>
    </w:p>
    <w:p w14:paraId="6D8E3ECC">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过电压的危害有：过电压主要危害是增大绝缘体承受的电压，击穿电缆引起短路起火、设备损坏。直击雷击中方阵或建筑物可能造成设备损坏、人员伤亡；感应雷沿导体传播，损坏电路中的设备或设备中的器件；光伏电站电缆多、线路长，易产生和传播感应雷，损坏光伏电站低压电路和集成电路。</w:t>
      </w:r>
      <w:r>
        <w:rPr>
          <w:color w:val="000000" w:themeColor="text1"/>
          <w14:textFill>
            <w14:solidFill>
              <w14:schemeClr w14:val="tx1"/>
            </w14:solidFill>
          </w14:textFill>
        </w:rPr>
        <w:t>雷电释放的巨大能量</w:t>
      </w:r>
      <w:r>
        <w:rPr>
          <w:rFonts w:hint="eastAsia"/>
          <w:color w:val="000000" w:themeColor="text1"/>
          <w14:textFill>
            <w14:solidFill>
              <w14:schemeClr w14:val="tx1"/>
            </w14:solidFill>
          </w14:textFill>
        </w:rPr>
        <w:t>可能</w:t>
      </w:r>
      <w:r>
        <w:rPr>
          <w:color w:val="000000" w:themeColor="text1"/>
          <w14:textFill>
            <w14:solidFill>
              <w14:schemeClr w14:val="tx1"/>
            </w14:solidFill>
          </w14:textFill>
        </w:rPr>
        <w:t>造成</w:t>
      </w:r>
      <w:r>
        <w:rPr>
          <w:rFonts w:hint="eastAsia"/>
          <w:color w:val="000000" w:themeColor="text1"/>
          <w14:textFill>
            <w14:solidFill>
              <w14:schemeClr w14:val="tx1"/>
            </w14:solidFill>
          </w14:textFill>
        </w:rPr>
        <w:t>光伏组件、设备</w:t>
      </w:r>
      <w:r>
        <w:rPr>
          <w:color w:val="000000" w:themeColor="text1"/>
          <w14:textFill>
            <w14:solidFill>
              <w14:schemeClr w14:val="tx1"/>
            </w14:solidFill>
          </w14:textFill>
        </w:rPr>
        <w:t>损坏、绝缘击穿、控制元器件烧毁等。雷暴发生频率很高，对</w:t>
      </w:r>
      <w:r>
        <w:rPr>
          <w:rFonts w:hint="eastAsia"/>
          <w:color w:val="000000" w:themeColor="text1"/>
          <w14:textFill>
            <w14:solidFill>
              <w14:schemeClr w14:val="tx1"/>
            </w14:solidFill>
          </w14:textFill>
        </w:rPr>
        <w:t>光伏</w:t>
      </w:r>
      <w:r>
        <w:rPr>
          <w:color w:val="000000" w:themeColor="text1"/>
          <w14:textFill>
            <w14:solidFill>
              <w14:schemeClr w14:val="tx1"/>
            </w14:solidFill>
          </w14:textFill>
        </w:rPr>
        <w:t>电站的破坏也较频繁。</w:t>
      </w:r>
    </w:p>
    <w:p w14:paraId="4D8FDCCA">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过电压危害产生原因分析：如接地装置热容量设计不满足电网运行要求，或接地装置局部范围腐蚀严重，致使接地网热稳定力下降，造成电气设备非接地运行；电源和出线系统、变压器等电气设备均可能遭遇雷击过电压：防雷接地设施不满足设计要求、避雷设备不合格，防雷接地装置未定期检测，防雷接地装置因生锈腐蚀损坏等，在遭受雷击时因防雷接地装置故障而发生雷击事故；当雷击线路塔杆或避雷线时，可能造成绝缘子串、塔头空气间隙和避雷线与导线间空气间隙闪络，形成对导线的反击产生过电压；雷直击和绕击导线产生过电压；雷直击在电气设备上产生直击雷过电压；雷击附近物体和地面，由于空气电磁场发生剧烈变化，在线路的导线上和其他金属导体上产生感应过电压；输电线路受到雷击，雷电波沿导线侵入发电厂电气设备上，产生雷电波过电压。</w:t>
      </w:r>
    </w:p>
    <w:p w14:paraId="3E252616">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本电站所在地区多年平均雷暴日数为</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天，属于雷暴多发地区。光伏组件布置于山坡、山顶上，遭受雷击损坏</w:t>
      </w:r>
      <w:r>
        <w:rPr>
          <w:rFonts w:hint="eastAsia"/>
          <w:color w:val="000000" w:themeColor="text1"/>
          <w:lang w:eastAsia="zh-CN"/>
          <w14:textFill>
            <w14:solidFill>
              <w14:schemeClr w14:val="tx1"/>
            </w14:solidFill>
          </w14:textFill>
        </w:rPr>
        <w:t>的概率较大</w:t>
      </w:r>
      <w:r>
        <w:rPr>
          <w:rFonts w:hint="eastAsia"/>
          <w:color w:val="000000" w:themeColor="text1"/>
          <w14:textFill>
            <w14:solidFill>
              <w14:schemeClr w14:val="tx1"/>
            </w14:solidFill>
          </w14:textFill>
        </w:rPr>
        <w:t>。</w:t>
      </w:r>
    </w:p>
    <w:p w14:paraId="3B07B768">
      <w:pPr>
        <w:pStyle w:val="4"/>
        <w:bidi w:val="0"/>
        <w:rPr>
          <w:rFonts w:hint="eastAsia"/>
          <w:color w:val="000000" w:themeColor="text1"/>
          <w14:textFill>
            <w14:solidFill>
              <w14:schemeClr w14:val="tx1"/>
            </w14:solidFill>
          </w14:textFill>
        </w:rPr>
      </w:pPr>
      <w:bookmarkStart w:id="231" w:name="_Toc15598"/>
      <w:r>
        <w:rPr>
          <w:rFonts w:hint="eastAsia"/>
          <w:color w:val="000000" w:themeColor="text1"/>
          <w14:textFill>
            <w14:solidFill>
              <w14:schemeClr w14:val="tx1"/>
            </w14:solidFill>
          </w14:textFill>
        </w:rPr>
        <w:t>有限空间作业危险性分析</w:t>
      </w:r>
      <w:bookmarkEnd w:id="230"/>
      <w:bookmarkEnd w:id="231"/>
    </w:p>
    <w:p w14:paraId="723E08C1">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在电缆沟、逆变器箱等有限空间检修、巡视作业，如因通风不良或操作不当，会造成作业人员的中毒窒息。</w:t>
      </w:r>
    </w:p>
    <w:p w14:paraId="652816CE">
      <w:pPr>
        <w:pStyle w:val="4"/>
        <w:bidi w:val="0"/>
        <w:rPr>
          <w:color w:val="000000" w:themeColor="text1"/>
          <w14:textFill>
            <w14:solidFill>
              <w14:schemeClr w14:val="tx1"/>
            </w14:solidFill>
          </w14:textFill>
        </w:rPr>
      </w:pPr>
      <w:bookmarkStart w:id="232" w:name="_Toc9457"/>
      <w:bookmarkStart w:id="233" w:name="_Toc23596"/>
      <w:r>
        <w:rPr>
          <w:color w:val="000000" w:themeColor="text1"/>
          <w14:textFill>
            <w14:solidFill>
              <w14:schemeClr w14:val="tx1"/>
            </w14:solidFill>
          </w14:textFill>
        </w:rPr>
        <w:t>腐蚀危害因素分析</w:t>
      </w:r>
      <w:bookmarkEnd w:id="232"/>
      <w:bookmarkEnd w:id="233"/>
    </w:p>
    <w:p w14:paraId="588B1516">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t>潮湿环境中的设备支撑、紧固件、</w:t>
      </w:r>
      <w:r>
        <w:rPr>
          <w:rFonts w:hint="eastAsia"/>
          <w:color w:val="000000" w:themeColor="text1"/>
          <w14:textFill>
            <w14:solidFill>
              <w14:schemeClr w14:val="tx1"/>
            </w14:solidFill>
          </w14:textFill>
        </w:rPr>
        <w:t>支架基础、支架</w:t>
      </w:r>
      <w:r>
        <w:rPr>
          <w:color w:val="000000" w:themeColor="text1"/>
          <w14:textFill>
            <w14:solidFill>
              <w14:schemeClr w14:val="tx1"/>
            </w14:solidFill>
          </w14:textFill>
        </w:rPr>
        <w:t>及</w:t>
      </w:r>
      <w:r>
        <w:rPr>
          <w:rFonts w:hint="eastAsia"/>
          <w:color w:val="000000" w:themeColor="text1"/>
          <w14:textFill>
            <w14:solidFill>
              <w14:schemeClr w14:val="tx1"/>
            </w14:solidFill>
          </w14:textFill>
        </w:rPr>
        <w:t>巡检梯</w:t>
      </w:r>
      <w:r>
        <w:rPr>
          <w:color w:val="000000" w:themeColor="text1"/>
          <w14:textFill>
            <w14:solidFill>
              <w14:schemeClr w14:val="tx1"/>
            </w14:solidFill>
          </w14:textFill>
        </w:rPr>
        <w:t>等易锈蚀，影响设备寿命，也会对环境造成污染，增加事故发生危险。</w:t>
      </w:r>
    </w:p>
    <w:p w14:paraId="2B80B436">
      <w:pPr>
        <w:pStyle w:val="3"/>
        <w:bidi w:val="0"/>
        <w:rPr>
          <w:rFonts w:hint="default"/>
          <w:color w:val="000000" w:themeColor="text1"/>
          <w:lang w:val="en-US" w:eastAsia="zh-CN"/>
          <w14:textFill>
            <w14:solidFill>
              <w14:schemeClr w14:val="tx1"/>
            </w14:solidFill>
          </w14:textFill>
        </w:rPr>
      </w:pPr>
      <w:bookmarkStart w:id="234" w:name="_Toc9220"/>
      <w:bookmarkStart w:id="235" w:name="_Toc5615"/>
      <w:r>
        <w:rPr>
          <w:rStyle w:val="35"/>
          <w:rFonts w:hint="default"/>
          <w:bCs/>
          <w:color w:val="000000" w:themeColor="text1"/>
          <w:lang w:val="en-US" w:eastAsia="zh-CN"/>
          <w14:textFill>
            <w14:solidFill>
              <w14:schemeClr w14:val="tx1"/>
            </w14:solidFill>
          </w14:textFill>
        </w:rPr>
        <w:t>自然</w:t>
      </w:r>
      <w:r>
        <w:rPr>
          <w:rFonts w:hint="eastAsia"/>
          <w:color w:val="000000" w:themeColor="text1"/>
          <w14:textFill>
            <w14:solidFill>
              <w14:schemeClr w14:val="tx1"/>
            </w14:solidFill>
          </w14:textFill>
        </w:rPr>
        <w:t>灾害天气</w:t>
      </w:r>
      <w:r>
        <w:rPr>
          <w:rStyle w:val="35"/>
          <w:rFonts w:hint="eastAsia"/>
          <w:bCs/>
          <w:color w:val="000000" w:themeColor="text1"/>
          <w:lang w:val="en-US" w:eastAsia="zh-CN"/>
          <w14:textFill>
            <w14:solidFill>
              <w14:schemeClr w14:val="tx1"/>
            </w14:solidFill>
          </w14:textFill>
        </w:rPr>
        <w:t>危险有害因素</w:t>
      </w:r>
      <w:r>
        <w:rPr>
          <w:rStyle w:val="35"/>
          <w:rFonts w:hint="default"/>
          <w:bCs/>
          <w:color w:val="000000" w:themeColor="text1"/>
          <w:lang w:val="en-US" w:eastAsia="zh-CN"/>
          <w14:textFill>
            <w14:solidFill>
              <w14:schemeClr w14:val="tx1"/>
            </w14:solidFill>
          </w14:textFill>
        </w:rPr>
        <w:t>辨识与分析</w:t>
      </w:r>
      <w:bookmarkEnd w:id="234"/>
      <w:bookmarkEnd w:id="235"/>
    </w:p>
    <w:p w14:paraId="412734DB">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本光伏电站场址</w:t>
      </w:r>
      <w:r>
        <w:rPr>
          <w:color w:val="000000" w:themeColor="text1"/>
          <w14:textFill>
            <w14:solidFill>
              <w14:schemeClr w14:val="tx1"/>
            </w14:solidFill>
          </w14:textFill>
        </w:rPr>
        <w:t>受地理位置、地形、地势等多种因素的影响，</w:t>
      </w:r>
      <w:r>
        <w:rPr>
          <w:rFonts w:hint="eastAsia"/>
          <w:color w:val="000000" w:themeColor="text1"/>
          <w14:textFill>
            <w14:solidFill>
              <w14:schemeClr w14:val="tx1"/>
            </w14:solidFill>
          </w14:textFill>
        </w:rPr>
        <w:t>当地</w:t>
      </w:r>
      <w:r>
        <w:rPr>
          <w:color w:val="000000" w:themeColor="text1"/>
          <w14:textFill>
            <w14:solidFill>
              <w14:schemeClr w14:val="tx1"/>
            </w14:solidFill>
          </w14:textFill>
        </w:rPr>
        <w:t>常出现的气象灾害主要有：</w:t>
      </w:r>
      <w:r>
        <w:rPr>
          <w:rFonts w:hint="eastAsia"/>
          <w:color w:val="000000" w:themeColor="text1"/>
          <w14:textFill>
            <w14:solidFill>
              <w14:schemeClr w14:val="tx1"/>
            </w14:solidFill>
          </w14:textFill>
        </w:rPr>
        <w:t>大风、暴雨、</w:t>
      </w:r>
      <w:r>
        <w:rPr>
          <w:rFonts w:hint="eastAsia"/>
          <w:color w:val="000000" w:themeColor="text1"/>
          <w:lang w:val="en-US" w:eastAsia="zh-CN"/>
          <w14:textFill>
            <w14:solidFill>
              <w14:schemeClr w14:val="tx1"/>
            </w14:solidFill>
          </w14:textFill>
        </w:rPr>
        <w:t>极端</w:t>
      </w:r>
      <w:r>
        <w:rPr>
          <w:rFonts w:hint="eastAsia"/>
          <w:color w:val="000000" w:themeColor="text1"/>
          <w14:textFill>
            <w14:solidFill>
              <w14:schemeClr w14:val="tx1"/>
            </w14:solidFill>
          </w14:textFill>
        </w:rPr>
        <w:t>气温、雷暴等。</w:t>
      </w:r>
    </w:p>
    <w:p w14:paraId="173BB066">
      <w:pPr>
        <w:pStyle w:val="4"/>
        <w:bidi w:val="0"/>
        <w:rPr>
          <w:color w:val="000000" w:themeColor="text1"/>
          <w14:textFill>
            <w14:solidFill>
              <w14:schemeClr w14:val="tx1"/>
            </w14:solidFill>
          </w14:textFill>
        </w:rPr>
      </w:pPr>
      <w:bookmarkStart w:id="236" w:name="_Toc31866"/>
      <w:bookmarkStart w:id="237" w:name="_Toc308777434"/>
      <w:bookmarkStart w:id="238" w:name="_Toc307993694"/>
      <w:r>
        <w:rPr>
          <w:rFonts w:hint="eastAsia"/>
          <w:color w:val="000000" w:themeColor="text1"/>
          <w:lang w:val="en-US" w:eastAsia="zh-CN"/>
          <w14:textFill>
            <w14:solidFill>
              <w14:schemeClr w14:val="tx1"/>
            </w14:solidFill>
          </w14:textFill>
        </w:rPr>
        <w:t>大</w:t>
      </w:r>
      <w:r>
        <w:rPr>
          <w:color w:val="000000" w:themeColor="text1"/>
          <w14:textFill>
            <w14:solidFill>
              <w14:schemeClr w14:val="tx1"/>
            </w14:solidFill>
          </w14:textFill>
        </w:rPr>
        <w:t>风</w:t>
      </w: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分析</w:t>
      </w:r>
      <w:bookmarkEnd w:id="236"/>
    </w:p>
    <w:p w14:paraId="0C1AE942">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固定式安装的光伏电站因组件被支撑与地面形成一定倾角，建设项日 所在地多年平均风速1.1m/s, 如电站遇到极端风速、光伏组件制造安装质  量存在缺陷、巡查未及时发现隐患，可能导致支架松动、光伏组件被吹飞、 设备损坏等。风速过大时，可能发生支架折断或倾倒等事故。同时极端风  速会引起支架振动，使部件疲劳或磨损，严重的会导致损坏。</w:t>
      </w:r>
    </w:p>
    <w:p w14:paraId="32E43491">
      <w:pPr>
        <w:pStyle w:val="4"/>
        <w:bidi w:val="0"/>
        <w:rPr>
          <w:rFonts w:hint="eastAsia"/>
          <w:color w:val="000000" w:themeColor="text1"/>
          <w14:textFill>
            <w14:solidFill>
              <w14:schemeClr w14:val="tx1"/>
            </w14:solidFill>
          </w14:textFill>
        </w:rPr>
      </w:pPr>
      <w:bookmarkStart w:id="239" w:name="_Toc16651"/>
      <w:r>
        <w:rPr>
          <w:rFonts w:hint="eastAsia"/>
          <w:color w:val="000000" w:themeColor="text1"/>
          <w:lang w:val="en-US" w:eastAsia="zh-CN"/>
          <w14:textFill>
            <w14:solidFill>
              <w14:schemeClr w14:val="tx1"/>
            </w14:solidFill>
          </w14:textFill>
        </w:rPr>
        <w:t>极端</w:t>
      </w:r>
      <w:r>
        <w:rPr>
          <w:rFonts w:hint="eastAsia"/>
          <w:color w:val="000000" w:themeColor="text1"/>
          <w14:textFill>
            <w14:solidFill>
              <w14:schemeClr w14:val="tx1"/>
            </w14:solidFill>
          </w14:textFill>
        </w:rPr>
        <w:t>气温</w:t>
      </w:r>
      <w:r>
        <w:rPr>
          <w:rFonts w:hint="eastAsia"/>
          <w:color w:val="000000" w:themeColor="text1"/>
          <w:lang w:eastAsia="zh-CN"/>
          <w14:textFill>
            <w14:solidFill>
              <w14:schemeClr w14:val="tx1"/>
            </w14:solidFill>
          </w14:textFill>
        </w:rPr>
        <w:t>危险有害因素</w:t>
      </w:r>
      <w:r>
        <w:rPr>
          <w:rFonts w:hint="eastAsia"/>
          <w:color w:val="000000" w:themeColor="text1"/>
          <w14:textFill>
            <w14:solidFill>
              <w14:schemeClr w14:val="tx1"/>
            </w14:solidFill>
          </w14:textFill>
        </w:rPr>
        <w:t>分析</w:t>
      </w:r>
      <w:bookmarkEnd w:id="239"/>
    </w:p>
    <w:p w14:paraId="35A4DA01">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482"/>
        <w:jc w:val="both"/>
        <w:textAlignment w:val="auto"/>
        <w:rPr>
          <w:rFonts w:hint="eastAsia" w:ascii="宋体" w:hAnsi="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工程所在地区多年平均气温 23.4℃ ,多年极端最高气温 41.3℃ , 多年极端最低气温 5.3℃ 。总体上场址气温条件有利于光伏电站运行。</w:t>
      </w:r>
      <w:r>
        <w:rPr>
          <w:rFonts w:hint="eastAsia" w:ascii="宋体" w:hAnsi="宋体" w:cs="宋体"/>
          <w:color w:val="000000" w:themeColor="text1"/>
          <w:kern w:val="2"/>
          <w:sz w:val="28"/>
          <w:szCs w:val="24"/>
          <w:lang w:val="en-US" w:eastAsia="zh-CN" w:bidi="ar-SA"/>
          <w14:textFill>
            <w14:solidFill>
              <w14:schemeClr w14:val="tx1"/>
            </w14:solidFill>
          </w14:textFill>
        </w:rPr>
        <w:t xml:space="preserve">           </w:t>
      </w:r>
    </w:p>
    <w:p w14:paraId="27D14AE5">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482"/>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本工程选用逆变器的工作温度范围为-30～60℃ ,选用电池组件的工作温度范围为 -40℃～85℃ ,正常情况下，太阳电池组件的工作温度可保持在环境温度增加 20℃的水平。</w:t>
      </w:r>
    </w:p>
    <w:p w14:paraId="60417593">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482"/>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按本工程场区极端气温数据校核，本项目太阳电池组件及逆变器的工作温度可控制 在允许范围内，地区气象温度条件对太阳电池组件及逆变器的安全性没有影响。</w:t>
      </w:r>
    </w:p>
    <w:bookmarkEnd w:id="237"/>
    <w:bookmarkEnd w:id="238"/>
    <w:p w14:paraId="4E46E1E3">
      <w:pPr>
        <w:pStyle w:val="4"/>
        <w:bidi w:val="0"/>
        <w:rPr>
          <w:rFonts w:hint="eastAsia"/>
          <w:color w:val="000000" w:themeColor="text1"/>
          <w14:textFill>
            <w14:solidFill>
              <w14:schemeClr w14:val="tx1"/>
            </w14:solidFill>
          </w14:textFill>
        </w:rPr>
      </w:pPr>
      <w:bookmarkStart w:id="240" w:name="_Toc31798"/>
      <w:bookmarkStart w:id="241" w:name="_Toc170638998"/>
      <w:bookmarkStart w:id="242" w:name="_Toc170638699"/>
      <w:r>
        <w:rPr>
          <w:rFonts w:hint="eastAsia"/>
          <w:color w:val="000000" w:themeColor="text1"/>
          <w:lang w:val="en-US" w:eastAsia="zh-CN"/>
          <w14:textFill>
            <w14:solidFill>
              <w14:schemeClr w14:val="tx1"/>
            </w14:solidFill>
          </w14:textFill>
        </w:rPr>
        <w:t>暴雨</w:t>
      </w: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分析</w:t>
      </w:r>
      <w:bookmarkEnd w:id="240"/>
    </w:p>
    <w:p w14:paraId="0B5BCEE5">
      <w:pPr>
        <w:keepNext w:val="0"/>
        <w:keepLines w:val="0"/>
        <w:pageBreakBefore w:val="0"/>
        <w:widowControl w:val="0"/>
        <w:kinsoku/>
        <w:wordWrap/>
        <w:overflowPunct/>
        <w:topLinePunct w:val="0"/>
        <w:autoSpaceDE/>
        <w:autoSpaceDN/>
        <w:bidi w:val="0"/>
        <w:adjustRightInd/>
        <w:snapToGrid/>
        <w:spacing w:line="500" w:lineRule="exact"/>
        <w:ind w:firstLine="55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项目所在地多年年平均降雨量为1214.9mm, 雨季雨量一般。项目选址  周边汇水面积较小，山洪、泥石流的可能性小，且场区布置于山坡上，不  受山洪影响。但场地内的排水设施未设计或不满足要求，则可能冲刷场区、 支架基础、集电电缆等，造成场区水土流失、光伏支架基础不均匀沉降、  支架倾倒，损坏电缆沟等。</w:t>
      </w:r>
    </w:p>
    <w:p w14:paraId="0E82BEF1">
      <w:pPr>
        <w:pStyle w:val="4"/>
        <w:bidi w:val="0"/>
        <w:rPr>
          <w:color w:val="000000" w:themeColor="text1"/>
          <w14:textFill>
            <w14:solidFill>
              <w14:schemeClr w14:val="tx1"/>
            </w14:solidFill>
          </w14:textFill>
        </w:rPr>
      </w:pPr>
      <w:bookmarkStart w:id="243" w:name="_Toc9462"/>
      <w:r>
        <w:rPr>
          <w:rFonts w:hint="eastAsia"/>
          <w:color w:val="000000" w:themeColor="text1"/>
          <w14:textFill>
            <w14:solidFill>
              <w14:schemeClr w14:val="tx1"/>
            </w14:solidFill>
          </w14:textFill>
        </w:rPr>
        <w:t>雷</w:t>
      </w:r>
      <w:r>
        <w:rPr>
          <w:color w:val="000000" w:themeColor="text1"/>
          <w14:textFill>
            <w14:solidFill>
              <w14:schemeClr w14:val="tx1"/>
            </w14:solidFill>
          </w14:textFill>
        </w:rPr>
        <w:t>暴</w:t>
      </w:r>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分析</w:t>
      </w:r>
      <w:bookmarkEnd w:id="243"/>
    </w:p>
    <w:p w14:paraId="051DFE55">
      <w:pPr>
        <w:keepNext w:val="0"/>
        <w:keepLines w:val="0"/>
        <w:pageBreakBefore w:val="0"/>
        <w:widowControl w:val="0"/>
        <w:kinsoku/>
        <w:wordWrap/>
        <w:overflowPunct/>
        <w:topLinePunct w:val="0"/>
        <w:autoSpaceDE/>
        <w:autoSpaceDN/>
        <w:bidi w:val="0"/>
        <w:adjustRightInd/>
        <w:snapToGrid/>
        <w:spacing w:line="500" w:lineRule="exact"/>
        <w:ind w:left="0" w:right="0" w:firstLine="599"/>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项目所在地的多年平均雷暴日数为103天。光伏组件布置于山坡上， 遭受雷击损坏的机率较大。</w:t>
      </w:r>
    </w:p>
    <w:p w14:paraId="7D9BCA07">
      <w:pPr>
        <w:keepNext w:val="0"/>
        <w:keepLines w:val="0"/>
        <w:pageBreakBefore w:val="0"/>
        <w:widowControl w:val="0"/>
        <w:kinsoku/>
        <w:wordWrap/>
        <w:overflowPunct/>
        <w:topLinePunct w:val="0"/>
        <w:autoSpaceDE/>
        <w:autoSpaceDN/>
        <w:bidi w:val="0"/>
        <w:adjustRightInd/>
        <w:snapToGrid/>
        <w:spacing w:line="50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(1)电站生产区域缺少避雷设备、避雷设备不合格或避雷设备未定期 检验，防雷装置接地电阻不满足设计要求；</w:t>
      </w:r>
    </w:p>
    <w:p w14:paraId="147DBB7E">
      <w:pPr>
        <w:keepNext w:val="0"/>
        <w:keepLines w:val="0"/>
        <w:pageBreakBefore w:val="0"/>
        <w:widowControl w:val="0"/>
        <w:kinsoku/>
        <w:wordWrap/>
        <w:overflowPunct/>
        <w:topLinePunct w:val="0"/>
        <w:autoSpaceDE/>
        <w:autoSpaceDN/>
        <w:bidi w:val="0"/>
        <w:adjustRightInd/>
        <w:snapToGrid/>
        <w:spacing w:line="500" w:lineRule="exact"/>
        <w:ind w:left="0" w:right="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(2)箱体未按设计要求装设防雷装置或没有良好接地；</w:t>
      </w:r>
    </w:p>
    <w:p w14:paraId="220BFF40">
      <w:pPr>
        <w:keepNext w:val="0"/>
        <w:keepLines w:val="0"/>
        <w:pageBreakBefore w:val="0"/>
        <w:widowControl w:val="0"/>
        <w:kinsoku/>
        <w:wordWrap/>
        <w:overflowPunct/>
        <w:topLinePunct w:val="0"/>
        <w:autoSpaceDE/>
        <w:autoSpaceDN/>
        <w:bidi w:val="0"/>
        <w:adjustRightInd/>
        <w:snapToGrid/>
        <w:spacing w:line="50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(3)每台逆变器的交流输出侧未按设计要求设防雷保护装置，机柜无 良好的接地，雷击和电网浪汤可能导致设备损坏；</w:t>
      </w:r>
    </w:p>
    <w:p w14:paraId="5AE8EB08">
      <w:pPr>
        <w:keepNext w:val="0"/>
        <w:keepLines w:val="0"/>
        <w:pageBreakBefore w:val="0"/>
        <w:widowControl w:val="0"/>
        <w:kinsoku/>
        <w:wordWrap/>
        <w:overflowPunct/>
        <w:topLinePunct w:val="0"/>
        <w:autoSpaceDE/>
        <w:autoSpaceDN/>
        <w:bidi w:val="0"/>
        <w:adjustRightInd/>
        <w:snapToGrid/>
        <w:spacing w:line="500" w:lineRule="exact"/>
        <w:ind w:left="0" w:right="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(4)光伏支架、电气设备未按设计要求装设接地装置；</w:t>
      </w:r>
    </w:p>
    <w:p w14:paraId="63142AD3">
      <w:pPr>
        <w:keepNext w:val="0"/>
        <w:keepLines w:val="0"/>
        <w:pageBreakBefore w:val="0"/>
        <w:widowControl w:val="0"/>
        <w:kinsoku/>
        <w:wordWrap/>
        <w:overflowPunct/>
        <w:topLinePunct w:val="0"/>
        <w:autoSpaceDE/>
        <w:autoSpaceDN/>
        <w:bidi w:val="0"/>
        <w:adjustRightInd/>
        <w:snapToGrid/>
        <w:spacing w:line="50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(5)雷电侵入供电系统或电气设备，而防雷设施失效时，可能带来多 方面的危害，如毁坏变压器、开关、绝缘子、光伏组件、逆变器等电气设 备，且可能导致火灾事故；</w:t>
      </w:r>
    </w:p>
    <w:p w14:paraId="4036C7B6">
      <w:pPr>
        <w:keepNext w:val="0"/>
        <w:keepLines w:val="0"/>
        <w:pageBreakBefore w:val="0"/>
        <w:widowControl w:val="0"/>
        <w:kinsoku/>
        <w:wordWrap/>
        <w:overflowPunct/>
        <w:topLinePunct w:val="0"/>
        <w:autoSpaceDE/>
        <w:autoSpaceDN/>
        <w:bidi w:val="0"/>
        <w:adjustRightInd/>
        <w:snapToGrid/>
        <w:spacing w:line="50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(6)如绝缘破坏、高电压帘入低压线路或设备，可能导致人员触电、 设备损坏事故；</w:t>
      </w:r>
    </w:p>
    <w:p w14:paraId="2F4A26E7">
      <w:pPr>
        <w:keepNext w:val="0"/>
        <w:keepLines w:val="0"/>
        <w:pageBreakBefore w:val="0"/>
        <w:widowControl w:val="0"/>
        <w:kinsoku/>
        <w:wordWrap/>
        <w:overflowPunct/>
        <w:topLinePunct w:val="0"/>
        <w:autoSpaceDE/>
        <w:autoSpaceDN/>
        <w:bidi w:val="0"/>
        <w:adjustRightInd/>
        <w:snapToGrid/>
        <w:spacing w:line="500" w:lineRule="exact"/>
        <w:ind w:left="0" w:right="0" w:firstLine="700"/>
        <w:textAlignment w:val="auto"/>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(7)如防雷电气接地网电阻值不符合要求，可能在雷击点及其建筑金 属部分，产生过高的对地电压，造成人员直接触电或跨步电压的触电水故；</w:t>
      </w:r>
    </w:p>
    <w:p w14:paraId="188F9199">
      <w:pPr>
        <w:keepNext w:val="0"/>
        <w:keepLines w:val="0"/>
        <w:pageBreakBefore w:val="0"/>
        <w:widowControl w:val="0"/>
        <w:kinsoku/>
        <w:wordWrap/>
        <w:overflowPunct/>
        <w:topLinePunct w:val="0"/>
        <w:autoSpaceDE/>
        <w:autoSpaceDN/>
        <w:bidi w:val="0"/>
        <w:adjustRightInd/>
        <w:snapToGrid/>
        <w:spacing w:line="500" w:lineRule="exact"/>
        <w:ind w:left="0" w:right="0" w:firstLine="700"/>
        <w:textAlignment w:val="auto"/>
        <w:rPr>
          <w:rFonts w:hint="eastAsia" w:ascii="Times New Roman" w:hAnsi="Times New Roman"/>
          <w:bCs w:val="0"/>
          <w:color w:val="000000" w:themeColor="text1"/>
          <w:spacing w:val="0"/>
          <w:kern w:val="2"/>
          <w14:textFill>
            <w14:solidFill>
              <w14:schemeClr w14:val="tx1"/>
            </w14:solidFill>
          </w14:textFill>
        </w:rPr>
      </w:pPr>
      <w:r>
        <w:rPr>
          <w:rFonts w:hint="eastAsia" w:ascii="宋体" w:hAnsi="宋体" w:eastAsia="宋体" w:cs="宋体"/>
          <w:bCs w:val="0"/>
          <w:color w:val="000000" w:themeColor="text1"/>
          <w:spacing w:val="0"/>
          <w:kern w:val="2"/>
          <w:sz w:val="28"/>
          <w:szCs w:val="24"/>
          <w:lang w:val="en-US" w:eastAsia="zh-CN" w:bidi="ar-SA"/>
          <w14:textFill>
            <w14:solidFill>
              <w14:schemeClr w14:val="tx1"/>
            </w14:solidFill>
          </w14:textFill>
        </w:rPr>
        <w:t>(8)本项口光伏阵列多布置于山坡上，光伏组件无遮挡，遭受雷击损 坏的机率较大。若光伏支架未按设计要求装设接地装置或没有良好接地， 在施工、运行和维护中可能导致触电事故的发生。</w:t>
      </w:r>
    </w:p>
    <w:bookmarkEnd w:id="241"/>
    <w:bookmarkEnd w:id="242"/>
    <w:p w14:paraId="015E2040">
      <w:pPr>
        <w:pStyle w:val="3"/>
        <w:bidi w:val="0"/>
        <w:rPr>
          <w:rFonts w:hint="default"/>
          <w:color w:val="000000" w:themeColor="text1"/>
          <w:lang w:val="en-US" w:eastAsia="zh-CN"/>
          <w14:textFill>
            <w14:solidFill>
              <w14:schemeClr w14:val="tx1"/>
            </w14:solidFill>
          </w14:textFill>
        </w:rPr>
      </w:pPr>
      <w:bookmarkStart w:id="244" w:name="_Toc18112"/>
      <w:bookmarkStart w:id="245" w:name="_Toc26934"/>
      <w:r>
        <w:rPr>
          <w:rFonts w:hint="default"/>
          <w:color w:val="000000" w:themeColor="text1"/>
          <w:lang w:val="en-US" w:eastAsia="zh-CN"/>
          <w14:textFill>
            <w14:solidFill>
              <w14:schemeClr w14:val="tx1"/>
            </w14:solidFill>
          </w14:textFill>
        </w:rPr>
        <w:t>作业场所有害因素辨识分析</w:t>
      </w:r>
      <w:bookmarkEnd w:id="244"/>
      <w:bookmarkEnd w:id="245"/>
    </w:p>
    <w:p w14:paraId="51BAB5FB">
      <w:pPr>
        <w:pStyle w:val="4"/>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噪声危害因素分析</w:t>
      </w:r>
    </w:p>
    <w:p w14:paraId="44C0BEAF">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噪声对人的危害，主要是引起听觉功能下降甚至造成耳聋，影响神经系统，造成心绪烦乱或引起神经衰弱，心血管系统和消化系统的疾病，使人精神和健康受到损害。</w:t>
      </w:r>
    </w:p>
    <w:p w14:paraId="0C69A127">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长期处在高噪声区和高振动区的环境下工作和生活，容易产生疲劳，注意力不集中，噪声干扰影响信息交流，听不清谈话和影响信号，易导致操作失误，甚至造成生产事故。</w:t>
      </w:r>
    </w:p>
    <w:p w14:paraId="09823CE1">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光伏发电站主要的噪声源有：电磁噪声等。电磁噪声主要有变压器等电气设备在运行中所产生的噪声。</w:t>
      </w:r>
    </w:p>
    <w:p w14:paraId="6CF3F313">
      <w:pPr>
        <w:pStyle w:val="4"/>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采光照明不良危害因素分析</w:t>
      </w:r>
    </w:p>
    <w:p w14:paraId="7E86A3ED">
      <w:pPr>
        <w:keepNext w:val="0"/>
        <w:keepLines w:val="0"/>
        <w:pageBreakBefore w:val="0"/>
        <w:widowControl w:val="0"/>
        <w:kinsoku/>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光照的亮度和照度不足，会使操作人员作业困难，视力分辨力下降，对危险的地段会因照明不足引起意外事故。另外，光照太强也会引起操作人员视力疲劳。</w:t>
      </w:r>
    </w:p>
    <w:p w14:paraId="4E3BE41A">
      <w:pPr>
        <w:pStyle w:val="4"/>
        <w:bidi w:val="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工频电场危害因素分析</w:t>
      </w:r>
    </w:p>
    <w:p w14:paraId="790E4EF3">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工频电场：属于极低频电磁场辐射范畴，主要以电场辐射形式作用于人体。电磁波侵入根据有关的流行病学调查显示长期暴露于极低频电场可导致儿童白血病和成人脑瘤、乳腺癌发病率增高，对长期作业于工频电场的维修、巡检等作业人群调查发现，其神经衰弱症候群如头晕、头痛、失眠、心悸的发生率增加，心电图出现P-R时间延长、Q-T间期缩短以及外周血微核有所增高等改变。职业接触限值为：频率50Hz电场强度5kv/m。</w:t>
      </w:r>
    </w:p>
    <w:p w14:paraId="3669E7EB">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工频磁场：根据《</w:t>
      </w:r>
      <w:r>
        <w:rPr>
          <w:rFonts w:hint="eastAsia"/>
          <w:bCs w:val="0"/>
          <w:color w:val="000000" w:themeColor="text1"/>
          <w:spacing w:val="0"/>
          <w:kern w:val="2"/>
          <w:lang w:val="en-US" w:eastAsia="zh-CN"/>
          <w14:textFill>
            <w14:solidFill>
              <w14:schemeClr w14:val="tx1"/>
            </w14:solidFill>
          </w14:textFill>
        </w:rPr>
        <w:t>电力行业劳动环境监测技术规范 第7部分：工频电场、工频磁场监测</w:t>
      </w:r>
      <w:r>
        <w:rPr>
          <w:rFonts w:hint="default" w:ascii="Times New Roman" w:hAnsi="Times New Roman"/>
          <w:bCs w:val="0"/>
          <w:color w:val="000000" w:themeColor="text1"/>
          <w:spacing w:val="0"/>
          <w:kern w:val="2"/>
          <w:lang w:val="en-US" w:eastAsia="zh-CN"/>
          <w14:textFill>
            <w14:solidFill>
              <w14:schemeClr w14:val="tx1"/>
            </w14:solidFill>
          </w14:textFill>
        </w:rPr>
        <w:t>》（</w:t>
      </w:r>
      <w:r>
        <w:rPr>
          <w:rFonts w:hint="eastAsia"/>
          <w:bCs w:val="0"/>
          <w:color w:val="000000" w:themeColor="text1"/>
          <w:spacing w:val="0"/>
          <w:kern w:val="2"/>
          <w:lang w:val="en-US" w:eastAsia="zh-CN"/>
          <w14:textFill>
            <w14:solidFill>
              <w14:schemeClr w14:val="tx1"/>
            </w14:solidFill>
          </w14:textFill>
        </w:rPr>
        <w:t>DL/T 799.7-2019</w:t>
      </w:r>
      <w:r>
        <w:rPr>
          <w:rFonts w:hint="default" w:ascii="Times New Roman" w:hAnsi="Times New Roman"/>
          <w:bCs w:val="0"/>
          <w:color w:val="000000" w:themeColor="text1"/>
          <w:spacing w:val="0"/>
          <w:kern w:val="2"/>
          <w:lang w:val="en-US" w:eastAsia="zh-CN"/>
          <w14:textFill>
            <w14:solidFill>
              <w14:schemeClr w14:val="tx1"/>
            </w14:solidFill>
          </w14:textFill>
        </w:rPr>
        <w:t>）中第8.2条规定：</w:t>
      </w:r>
      <w:r>
        <w:rPr>
          <w:rFonts w:hint="eastAsia" w:ascii="Times New Roman" w:hAnsi="Times New Roman"/>
          <w:bCs w:val="0"/>
          <w:color w:val="000000" w:themeColor="text1"/>
          <w:spacing w:val="0"/>
          <w:kern w:val="2"/>
          <w:lang w:val="en-US" w:eastAsia="zh-CN"/>
          <w14:textFill>
            <w14:solidFill>
              <w14:schemeClr w14:val="tx1"/>
            </w14:solidFill>
          </w14:textFill>
        </w:rPr>
        <w:t>“</w:t>
      </w:r>
      <w:r>
        <w:rPr>
          <w:rFonts w:hint="default" w:ascii="Times New Roman" w:hAnsi="Times New Roman"/>
          <w:bCs w:val="0"/>
          <w:color w:val="000000" w:themeColor="text1"/>
          <w:spacing w:val="0"/>
          <w:kern w:val="2"/>
          <w:lang w:val="en-US" w:eastAsia="zh-CN"/>
          <w14:textFill>
            <w14:solidFill>
              <w14:schemeClr w14:val="tx1"/>
            </w14:solidFill>
          </w14:textFill>
        </w:rPr>
        <w:t>根据ICNIRP导则规定，工频磁场职业接触限值为500μT。”类比类似项目检测资料，工频磁场检测结果远小于行业职业接触限值。但工频磁场对人体健康有一定的危害，在工作中应注意健康防护。</w:t>
      </w:r>
    </w:p>
    <w:p w14:paraId="06E1F955">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直埋电缆埋于地下电缆沟内，工频电场为天然屏蔽；光伏组件、直流汇流箱、箱变、逆变器、分接线箱均为户外布置，采取的防护措施主要以距离防护和控制接触时间为主。</w:t>
      </w:r>
    </w:p>
    <w:p w14:paraId="0D91855D">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pPr>
      <w:r>
        <w:rPr>
          <w:rFonts w:hint="default" w:ascii="Times New Roman" w:hAnsi="Times New Roman"/>
          <w:bCs w:val="0"/>
          <w:color w:val="000000" w:themeColor="text1"/>
          <w:spacing w:val="0"/>
          <w:kern w:val="2"/>
          <w:lang w:val="en-US" w:eastAsia="zh-CN"/>
          <w14:textFill>
            <w14:solidFill>
              <w14:schemeClr w14:val="tx1"/>
            </w14:solidFill>
          </w14:textFill>
        </w:rPr>
        <w:t>工作人员主要在中控室内值班、远程操作，对光伏组件、直流汇流箱、逆变器、箱变、分接线箱以巡检方式为主，接触工频电场的时间较短，对其身体健康影响较小。</w:t>
      </w:r>
    </w:p>
    <w:p w14:paraId="10F3DBCC">
      <w:pPr>
        <w:pStyle w:val="3"/>
        <w:bidi w:val="0"/>
        <w:rPr>
          <w:color w:val="000000" w:themeColor="text1"/>
          <w14:textFill>
            <w14:solidFill>
              <w14:schemeClr w14:val="tx1"/>
            </w14:solidFill>
          </w14:textFill>
        </w:rPr>
      </w:pPr>
      <w:bookmarkStart w:id="246" w:name="_Toc24113"/>
      <w:bookmarkStart w:id="247" w:name="_Toc170639002"/>
      <w:bookmarkStart w:id="248" w:name="_Toc5441"/>
      <w:bookmarkStart w:id="249" w:name="_Toc9752"/>
      <w:bookmarkStart w:id="250" w:name="_Toc170638703"/>
      <w:bookmarkStart w:id="251" w:name="_Toc195431135"/>
      <w:r>
        <w:rPr>
          <w:color w:val="000000" w:themeColor="text1"/>
          <w14:textFill>
            <w14:solidFill>
              <w14:schemeClr w14:val="tx1"/>
            </w14:solidFill>
          </w14:textFill>
        </w:rPr>
        <w:t>重大危险源辨识分析</w:t>
      </w:r>
      <w:bookmarkEnd w:id="246"/>
      <w:bookmarkEnd w:id="247"/>
      <w:bookmarkEnd w:id="248"/>
      <w:bookmarkEnd w:id="249"/>
      <w:bookmarkEnd w:id="250"/>
      <w:bookmarkEnd w:id="251"/>
    </w:p>
    <w:p w14:paraId="19B00668">
      <w:pPr>
        <w:pStyle w:val="4"/>
        <w:bidi w:val="0"/>
        <w:rPr>
          <w:color w:val="000000" w:themeColor="text1"/>
          <w14:textFill>
            <w14:solidFill>
              <w14:schemeClr w14:val="tx1"/>
            </w14:solidFill>
          </w14:textFill>
        </w:rPr>
      </w:pPr>
      <w:bookmarkStart w:id="252" w:name="_Toc22712"/>
      <w:r>
        <w:rPr>
          <w:color w:val="000000" w:themeColor="text1"/>
          <w14:textFill>
            <w14:solidFill>
              <w14:schemeClr w14:val="tx1"/>
            </w14:solidFill>
          </w14:textFill>
        </w:rPr>
        <w:t>重大危险源辨识</w:t>
      </w:r>
      <w:r>
        <w:rPr>
          <w:rFonts w:hint="eastAsia"/>
          <w:color w:val="000000" w:themeColor="text1"/>
          <w14:textFill>
            <w14:solidFill>
              <w14:schemeClr w14:val="tx1"/>
            </w14:solidFill>
          </w14:textFill>
        </w:rPr>
        <w:t>依据</w:t>
      </w:r>
      <w:bookmarkEnd w:id="252"/>
    </w:p>
    <w:p w14:paraId="44EA1BFF">
      <w:pPr>
        <w:keepNext w:val="0"/>
        <w:keepLines w:val="0"/>
        <w:pageBreakBefore w:val="0"/>
        <w:widowControl w:val="0"/>
        <w:kinsoku/>
        <w:bidi w:val="0"/>
        <w:rPr>
          <w:rFonts w:hint="eastAsia" w:ascii="宋体" w:hAnsi="宋体" w:eastAsia="宋体" w:cs="宋体"/>
          <w:color w:val="000000" w:themeColor="text1"/>
          <w:lang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判断是否构成重大危险源的依据是《危险化学品重大危险源辨识》（GB18218-20</w:t>
      </w:r>
      <w:r>
        <w:rPr>
          <w:rFonts w:hint="eastAsia" w:ascii="宋体" w:hAnsi="宋体" w:eastAsia="宋体" w:cs="宋体"/>
          <w:color w:val="000000" w:themeColor="text1"/>
          <w:lang w:val="en-US" w:eastAsia="zh-CN"/>
          <w14:textFill>
            <w14:solidFill>
              <w14:schemeClr w14:val="tx1"/>
            </w14:solidFill>
          </w14:textFill>
        </w:rPr>
        <w:t>18</w:t>
      </w:r>
      <w:r>
        <w:rPr>
          <w:rFonts w:hint="eastAsia" w:ascii="宋体" w:hAnsi="宋体" w:eastAsia="宋体" w:cs="宋体"/>
          <w:color w:val="000000" w:themeColor="text1"/>
          <w14:textFill>
            <w14:solidFill>
              <w14:schemeClr w14:val="tx1"/>
            </w14:solidFill>
          </w14:textFill>
        </w:rPr>
        <w:t>）。</w:t>
      </w:r>
      <w:bookmarkStart w:id="253" w:name="_Toc26547"/>
      <w:r>
        <w:rPr>
          <w:rFonts w:hint="eastAsia" w:ascii="宋体" w:hAnsi="宋体" w:eastAsia="宋体" w:cs="宋体"/>
          <w:color w:val="000000" w:themeColor="text1"/>
          <w14:textFill>
            <w14:solidFill>
              <w14:schemeClr w14:val="tx1"/>
            </w14:solidFill>
          </w14:textFill>
        </w:rPr>
        <w:t>根据《危险化学品重大危险源辨识》（GB18218-20</w:t>
      </w:r>
      <w:r>
        <w:rPr>
          <w:rFonts w:hint="eastAsia" w:ascii="宋体" w:hAnsi="宋体" w:eastAsia="宋体" w:cs="宋体"/>
          <w:color w:val="000000" w:themeColor="text1"/>
          <w:lang w:val="en-US" w:eastAsia="zh-CN"/>
          <w14:textFill>
            <w14:solidFill>
              <w14:schemeClr w14:val="tx1"/>
            </w14:solidFill>
          </w14:textFill>
        </w:rPr>
        <w:t>18</w:t>
      </w:r>
      <w:r>
        <w:rPr>
          <w:rFonts w:hint="eastAsia" w:ascii="宋体" w:hAnsi="宋体" w:eastAsia="宋体" w:cs="宋体"/>
          <w:color w:val="000000" w:themeColor="text1"/>
          <w14:textFill>
            <w14:solidFill>
              <w14:schemeClr w14:val="tx1"/>
            </w14:solidFill>
          </w14:textFill>
        </w:rPr>
        <w:t>）辨识</w:t>
      </w:r>
      <w:bookmarkEnd w:id="253"/>
      <w:r>
        <w:rPr>
          <w:rFonts w:hint="eastAsia" w:ascii="宋体" w:hAnsi="宋体" w:eastAsia="宋体" w:cs="宋体"/>
          <w:color w:val="000000" w:themeColor="text1"/>
          <w:lang w:eastAsia="zh-CN"/>
          <w14:textFill>
            <w14:solidFill>
              <w14:schemeClr w14:val="tx1"/>
            </w14:solidFill>
          </w14:textFill>
        </w:rPr>
        <w:t>：</w:t>
      </w:r>
    </w:p>
    <w:p w14:paraId="0B6D191B">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bookmarkStart w:id="254" w:name="_Toc27274"/>
      <w:bookmarkStart w:id="255" w:name="_Toc20563"/>
      <w:r>
        <w:rPr>
          <w:rFonts w:hint="eastAsia" w:ascii="宋体" w:hAnsi="宋体" w:cs="Times New Roman"/>
          <w:color w:val="000000" w:themeColor="text1"/>
          <w:kern w:val="2"/>
          <w:sz w:val="28"/>
          <w:szCs w:val="28"/>
          <w:lang w:val="en-US" w:eastAsia="zh-CN" w:bidi="ar-SA"/>
          <w14:textFill>
            <w14:solidFill>
              <w14:schemeClr w14:val="tx1"/>
            </w14:solidFill>
          </w14:textFill>
        </w:rPr>
        <w:t>1.危险化学品重大危险源是指“长期地或临时地生产、储存、使用和经营危险化学品，且危险化学品的数量等于或超过临界量的单元”。</w:t>
      </w:r>
    </w:p>
    <w:p w14:paraId="7D6110AF">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2.生产单元：危险化学品的生产、加工及使用等的装置及设施，当装置及设施之间有切断阀时，以切断阀作为分隔界限划分为独立的单元。</w:t>
      </w:r>
    </w:p>
    <w:p w14:paraId="68AB5D19">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3.</w:t>
      </w:r>
      <w:r>
        <w:rPr>
          <w:rFonts w:hint="eastAsia" w:ascii="宋体" w:hAnsi="宋体" w:cs="Times New Roman"/>
          <w:color w:val="000000" w:themeColor="text1"/>
          <w:kern w:val="2"/>
          <w:sz w:val="28"/>
          <w:szCs w:val="28"/>
          <w:lang w:val="zh-TW" w:eastAsia="zh-CN" w:bidi="ar-SA"/>
          <w14:textFill>
            <w14:solidFill>
              <w14:schemeClr w14:val="tx1"/>
            </w14:solidFill>
          </w14:textFill>
        </w:rPr>
        <w:t>储存单元</w:t>
      </w:r>
      <w:r>
        <w:rPr>
          <w:rFonts w:hint="eastAsia" w:ascii="宋体" w:hAnsi="宋体" w:cs="Times New Roman"/>
          <w:color w:val="000000" w:themeColor="text1"/>
          <w:kern w:val="2"/>
          <w:sz w:val="28"/>
          <w:szCs w:val="28"/>
          <w:lang w:val="en-US" w:eastAsia="zh-CN" w:bidi="ar-SA"/>
          <w14:textFill>
            <w14:solidFill>
              <w14:schemeClr w14:val="tx1"/>
            </w14:solidFill>
          </w14:textFill>
        </w:rPr>
        <w:t>：</w:t>
      </w:r>
      <w:r>
        <w:rPr>
          <w:rFonts w:hint="eastAsia" w:ascii="宋体" w:hAnsi="宋体" w:cs="Times New Roman"/>
          <w:color w:val="000000" w:themeColor="text1"/>
          <w:kern w:val="2"/>
          <w:sz w:val="28"/>
          <w:szCs w:val="28"/>
          <w:lang w:val="zh-TW" w:eastAsia="zh-CN" w:bidi="ar-SA"/>
          <w14:textFill>
            <w14:solidFill>
              <w14:schemeClr w14:val="tx1"/>
            </w14:solidFill>
          </w14:textFill>
        </w:rPr>
        <w:t>用于储存危险化学品的储罐或仓库组成的相对独立的区域，储罐区以罐区防火堤为界限划分为独立的单元，仓库以独立库房（独立建筑物</w:t>
      </w:r>
      <w:r>
        <w:rPr>
          <w:rFonts w:hint="eastAsia" w:ascii="宋体" w:hAnsi="宋体" w:cs="Times New Roman"/>
          <w:color w:val="000000" w:themeColor="text1"/>
          <w:kern w:val="2"/>
          <w:sz w:val="28"/>
          <w:szCs w:val="28"/>
          <w:lang w:val="en-US" w:eastAsia="zh-CN" w:bidi="ar-SA"/>
          <w14:textFill>
            <w14:solidFill>
              <w14:schemeClr w14:val="tx1"/>
            </w14:solidFill>
          </w14:textFill>
        </w:rPr>
        <w:t>）</w:t>
      </w:r>
      <w:r>
        <w:rPr>
          <w:rFonts w:hint="eastAsia" w:ascii="宋体" w:hAnsi="宋体" w:cs="Times New Roman"/>
          <w:color w:val="000000" w:themeColor="text1"/>
          <w:kern w:val="2"/>
          <w:sz w:val="28"/>
          <w:szCs w:val="28"/>
          <w:lang w:val="zh-TW" w:eastAsia="zh-CN" w:bidi="ar-SA"/>
          <w14:textFill>
            <w14:solidFill>
              <w14:schemeClr w14:val="tx1"/>
            </w14:solidFill>
          </w14:textFill>
        </w:rPr>
        <w:t>为界限划分为独立的单元。</w:t>
      </w:r>
    </w:p>
    <w:p w14:paraId="1A988FE8">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4.生产单元、储存单元内存在危险化学品的数量等于或超规定的临界量，即被定为重大危险源。单元内存在的危险化学品的数量根据危险化学品种类的多少区分为以下两种情况：</w:t>
      </w:r>
    </w:p>
    <w:p w14:paraId="00AB9CC8">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（1）生产单元、储存单元内存在的危险化学品为单一品种时，该危险化学品的数量即为单元内危险化学品的总量，若等于或超过相应的临界量，则定为重大危险源。</w:t>
      </w:r>
    </w:p>
    <w:p w14:paraId="11DDF56D">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（2）生产单元、储存单元内存在的危险化学品为多品种时，按式（1）计算，若满足下式，则定为重大危险源：</w:t>
      </w:r>
    </w:p>
    <w:p w14:paraId="28F9FC39">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q1/Q1+q2/Q2+……+qn/QN≧1</w:t>
      </w:r>
    </w:p>
    <w:p w14:paraId="5213C066">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式中：</w:t>
      </w:r>
    </w:p>
    <w:p w14:paraId="1CAA7014">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q1，q2，…，qn——每种危险化学品实际存在量，单位为吨（t）；</w:t>
      </w:r>
    </w:p>
    <w:p w14:paraId="53E6D14B">
      <w:pPr>
        <w:keepNext w:val="0"/>
        <w:keepLines w:val="0"/>
        <w:pageBreakBefore w:val="0"/>
        <w:widowControl w:val="0"/>
        <w:kinsoku/>
        <w:bidi w:val="0"/>
        <w:ind w:firstLine="560" w:firstLineChars="200"/>
        <w:rPr>
          <w:rFonts w:hint="eastAsia" w:ascii="宋体" w:hAnsi="宋体" w:cs="Times New Roman"/>
          <w:color w:val="000000" w:themeColor="text1"/>
          <w:kern w:val="2"/>
          <w:sz w:val="28"/>
          <w:szCs w:val="28"/>
          <w:lang w:val="en-US" w:eastAsia="zh-CN" w:bidi="ar-SA"/>
          <w14:textFill>
            <w14:solidFill>
              <w14:schemeClr w14:val="tx1"/>
            </w14:solidFill>
          </w14:textFill>
        </w:rPr>
      </w:pPr>
      <w:r>
        <w:rPr>
          <w:rFonts w:hint="eastAsia" w:ascii="宋体" w:hAnsi="宋体" w:cs="Times New Roman"/>
          <w:color w:val="000000" w:themeColor="text1"/>
          <w:kern w:val="2"/>
          <w:sz w:val="28"/>
          <w:szCs w:val="28"/>
          <w:lang w:val="en-US" w:eastAsia="zh-CN" w:bidi="ar-SA"/>
          <w14:textFill>
            <w14:solidFill>
              <w14:schemeClr w14:val="tx1"/>
            </w14:solidFill>
          </w14:textFill>
        </w:rPr>
        <w:t>Q1，Q2，…，QN——与各危险化学品相对应的临界量，单位为吨（t）。</w:t>
      </w:r>
    </w:p>
    <w:bookmarkEnd w:id="254"/>
    <w:bookmarkEnd w:id="255"/>
    <w:p w14:paraId="44FBDACA">
      <w:pPr>
        <w:pStyle w:val="4"/>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本项目涉及的危险化学品及辨识结果</w:t>
      </w:r>
    </w:p>
    <w:p w14:paraId="2E4387A7">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2"/>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经过辨识，该项目所涉及的主要危险物质中被列入《危险化学品重大 危险源辨识》（GB18218-2018）的有氧气、乙炔。项目光伏场区不储存氧 气、乙炔瓶，只在检修时用到 1 至 2 瓶。</w:t>
      </w:r>
    </w:p>
    <w:p w14:paraId="71666386">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76"/>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因此该项目检修过程中使用的氧气、乙炔等物料使用量远小于规范界 定的临界量，不构成现行规范界定的危险化学品重大危险源；生产运行期 间不存在现行规范界定的危险化学品重大危险源。</w:t>
      </w:r>
    </w:p>
    <w:p w14:paraId="27A910E6">
      <w:pPr>
        <w:pStyle w:val="14"/>
        <w:keepNext w:val="0"/>
        <w:keepLines w:val="0"/>
        <w:pageBreakBefore w:val="0"/>
        <w:widowControl w:val="0"/>
        <w:kinsoku/>
        <w:wordWrap/>
        <w:overflowPunct/>
        <w:topLinePunct w:val="0"/>
        <w:autoSpaceDE/>
        <w:autoSpaceDN/>
        <w:bidi w:val="0"/>
        <w:adjustRightInd/>
        <w:snapToGrid/>
        <w:spacing w:after="0" w:line="500" w:lineRule="exact"/>
        <w:ind w:left="0" w:right="0"/>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综上所述：该评价项目不构成危险化学品重大危险源。</w:t>
      </w:r>
    </w:p>
    <w:p w14:paraId="0E77D1E7">
      <w:pPr>
        <w:pStyle w:val="3"/>
        <w:bidi w:val="0"/>
        <w:rPr>
          <w:color w:val="000000" w:themeColor="text1"/>
          <w14:textFill>
            <w14:solidFill>
              <w14:schemeClr w14:val="tx1"/>
            </w14:solidFill>
          </w14:textFill>
        </w:rPr>
      </w:pPr>
      <w:bookmarkStart w:id="256" w:name="_Toc170639003"/>
      <w:bookmarkStart w:id="257" w:name="_Toc5680"/>
      <w:bookmarkStart w:id="258" w:name="_Toc195431136"/>
      <w:bookmarkStart w:id="259" w:name="_Toc28892"/>
      <w:bookmarkStart w:id="260" w:name="_Toc4129"/>
      <w:bookmarkStart w:id="261" w:name="_Toc170638704"/>
      <w:r>
        <w:rPr>
          <w:rFonts w:hint="eastAsia"/>
          <w:color w:val="000000" w:themeColor="text1"/>
          <w:lang w:eastAsia="zh-CN"/>
          <w14:textFill>
            <w14:solidFill>
              <w14:schemeClr w14:val="tx1"/>
            </w14:solidFill>
          </w14:textFill>
        </w:rPr>
        <w:t>危险有害因素</w:t>
      </w:r>
      <w:r>
        <w:rPr>
          <w:color w:val="000000" w:themeColor="text1"/>
          <w14:textFill>
            <w14:solidFill>
              <w14:schemeClr w14:val="tx1"/>
            </w14:solidFill>
          </w14:textFill>
        </w:rPr>
        <w:t>辨识与分析结果</w:t>
      </w:r>
      <w:bookmarkEnd w:id="256"/>
      <w:bookmarkEnd w:id="257"/>
      <w:bookmarkEnd w:id="258"/>
      <w:bookmarkEnd w:id="259"/>
      <w:bookmarkEnd w:id="260"/>
      <w:bookmarkEnd w:id="261"/>
    </w:p>
    <w:p w14:paraId="5928AC18">
      <w:pPr>
        <w:keepNext w:val="0"/>
        <w:keepLines w:val="0"/>
        <w:pageBreakBefore w:val="0"/>
        <w:widowControl w:val="0"/>
        <w:kinsoku/>
        <w:bidi w:val="0"/>
        <w:rPr>
          <w:rFonts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通过对</w:t>
      </w:r>
      <w:r>
        <w:rPr>
          <w:rFonts w:hint="eastAsia" w:cs="Times New Roman"/>
          <w:color w:val="000000" w:themeColor="text1"/>
          <w:lang w:eastAsia="zh-CN"/>
          <w14:textFill>
            <w14:solidFill>
              <w14:schemeClr w14:val="tx1"/>
            </w14:solidFill>
          </w14:textFill>
        </w:rPr>
        <w:t>华能澜沧江（景洪）新能源有限公司基诺乡巴卡村洛科新寨光伏电站</w:t>
      </w:r>
      <w:r>
        <w:rPr>
          <w:rFonts w:ascii="Times New Roman" w:hAnsi="Times New Roman" w:eastAsia="宋体" w:cs="Times New Roman"/>
          <w:color w:val="000000" w:themeColor="text1"/>
          <w14:textFill>
            <w14:solidFill>
              <w14:schemeClr w14:val="tx1"/>
            </w14:solidFill>
          </w14:textFill>
        </w:rPr>
        <w:t>总平面布置</w:t>
      </w:r>
      <w:r>
        <w:rPr>
          <w:rFonts w:hint="eastAsia" w:cs="Times New Roman"/>
          <w:color w:val="000000" w:themeColor="text1"/>
          <w14:textFill>
            <w14:solidFill>
              <w14:schemeClr w14:val="tx1"/>
            </w14:solidFill>
          </w14:textFill>
        </w:rPr>
        <w:t>及周边环境</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主要建（构）筑物、主要设备、生产运行、检修、作业场所有害因素</w:t>
      </w:r>
      <w:r>
        <w:rPr>
          <w:rFonts w:cs="Times New Roman"/>
          <w:color w:val="000000" w:themeColor="text1"/>
          <w14:textFill>
            <w14:solidFill>
              <w14:schemeClr w14:val="tx1"/>
            </w14:solidFill>
          </w14:textFill>
        </w:rPr>
        <w:t>等综合</w:t>
      </w:r>
      <w:r>
        <w:rPr>
          <w:rFonts w:hint="eastAsia" w:cs="Times New Roman"/>
          <w:color w:val="000000" w:themeColor="text1"/>
          <w14:textFill>
            <w14:solidFill>
              <w14:schemeClr w14:val="tx1"/>
            </w14:solidFill>
          </w14:textFill>
        </w:rPr>
        <w:t>分析和识别</w:t>
      </w:r>
      <w:r>
        <w:rPr>
          <w:rFonts w:cs="Times New Roman"/>
          <w:color w:val="000000" w:themeColor="text1"/>
          <w14:textFill>
            <w14:solidFill>
              <w14:schemeClr w14:val="tx1"/>
            </w14:solidFill>
          </w14:textFill>
        </w:rPr>
        <w:t>，在</w:t>
      </w:r>
      <w:r>
        <w:rPr>
          <w:rFonts w:hint="eastAsia" w:cs="Times New Roman"/>
          <w:color w:val="000000" w:themeColor="text1"/>
          <w14:textFill>
            <w14:solidFill>
              <w14:schemeClr w14:val="tx1"/>
            </w14:solidFill>
          </w14:textFill>
        </w:rPr>
        <w:t>发电</w:t>
      </w:r>
      <w:r>
        <w:rPr>
          <w:rFonts w:cs="Times New Roman"/>
          <w:color w:val="000000" w:themeColor="text1"/>
          <w14:textFill>
            <w14:solidFill>
              <w14:schemeClr w14:val="tx1"/>
            </w14:solidFill>
          </w14:textFill>
        </w:rPr>
        <w:t>过程中，电站潜在的主要危险及有害因素、发生场所及可能后果分析见表3</w:t>
      </w:r>
      <w:r>
        <w:rPr>
          <w:rFonts w:hint="eastAsia" w:cs="Times New Roman"/>
          <w:color w:val="000000" w:themeColor="text1"/>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1</w:t>
      </w:r>
      <w:r>
        <w:rPr>
          <w:rFonts w:cs="Times New Roman"/>
          <w:color w:val="000000" w:themeColor="text1"/>
          <w14:textFill>
            <w14:solidFill>
              <w14:schemeClr w14:val="tx1"/>
            </w14:solidFill>
          </w14:textFill>
        </w:rPr>
        <w:t>。</w:t>
      </w:r>
    </w:p>
    <w:p w14:paraId="3C1E2126">
      <w:pPr>
        <w:pStyle w:val="12"/>
        <w:keepNext w:val="0"/>
        <w:keepLines w:val="0"/>
        <w:pageBreakBefore w:val="0"/>
        <w:widowControl w:val="0"/>
        <w:kinsoku/>
        <w:bidi w:val="0"/>
        <w:spacing w:line="360" w:lineRule="auto"/>
        <w:jc w:val="center"/>
        <w:rPr>
          <w:rFonts w:hint="eastAsia"/>
          <w:color w:val="000000" w:themeColor="text1"/>
          <w:sz w:val="24"/>
          <w:szCs w:val="24"/>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sz w:val="24"/>
          <w:szCs w:val="24"/>
          <w14:textFill>
            <w14:solidFill>
              <w14:schemeClr w14:val="tx1"/>
            </w14:solidFill>
          </w14:textFill>
        </w:rPr>
        <w:t>主要</w:t>
      </w:r>
      <w:r>
        <w:rPr>
          <w:rFonts w:hint="eastAsia"/>
          <w:color w:val="000000" w:themeColor="text1"/>
          <w:sz w:val="24"/>
          <w:szCs w:val="24"/>
          <w:lang w:eastAsia="zh-CN"/>
          <w14:textFill>
            <w14:solidFill>
              <w14:schemeClr w14:val="tx1"/>
            </w14:solidFill>
          </w14:textFill>
        </w:rPr>
        <w:t>危险有害因素</w:t>
      </w:r>
      <w:r>
        <w:rPr>
          <w:color w:val="000000" w:themeColor="text1"/>
          <w:sz w:val="24"/>
          <w:szCs w:val="24"/>
          <w14:textFill>
            <w14:solidFill>
              <w14:schemeClr w14:val="tx1"/>
            </w14:solidFill>
          </w14:textFill>
        </w:rPr>
        <w:t>分析表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491"/>
        <w:gridCol w:w="5068"/>
        <w:gridCol w:w="1614"/>
      </w:tblGrid>
      <w:tr w14:paraId="05BD5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blHeader/>
          <w:jc w:val="center"/>
        </w:trPr>
        <w:tc>
          <w:tcPr>
            <w:tcW w:w="704" w:type="dxa"/>
            <w:noWrap w:val="0"/>
            <w:vAlign w:val="center"/>
          </w:tcPr>
          <w:p w14:paraId="63C5C6B3">
            <w:pPr>
              <w:pStyle w:val="39"/>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91" w:type="dxa"/>
            <w:noWrap w:val="0"/>
            <w:vAlign w:val="center"/>
          </w:tcPr>
          <w:p w14:paraId="39D7D30B">
            <w:pPr>
              <w:pStyle w:val="39"/>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辨识项目</w:t>
            </w:r>
          </w:p>
        </w:tc>
        <w:tc>
          <w:tcPr>
            <w:tcW w:w="5068" w:type="dxa"/>
            <w:noWrap w:val="0"/>
            <w:vAlign w:val="center"/>
          </w:tcPr>
          <w:p w14:paraId="39A30A11">
            <w:pPr>
              <w:pStyle w:val="39"/>
              <w:keepNext w:val="0"/>
              <w:keepLines w:val="0"/>
              <w:pageBreakBefore w:val="0"/>
              <w:widowControl w:val="0"/>
              <w:kinsoku/>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危险有害因素</w:t>
            </w:r>
          </w:p>
        </w:tc>
        <w:tc>
          <w:tcPr>
            <w:tcW w:w="1614" w:type="dxa"/>
            <w:noWrap w:val="0"/>
            <w:vAlign w:val="center"/>
          </w:tcPr>
          <w:p w14:paraId="58AF4C2C">
            <w:pPr>
              <w:pStyle w:val="39"/>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可能后果</w:t>
            </w:r>
          </w:p>
        </w:tc>
      </w:tr>
      <w:tr w14:paraId="1E5D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04" w:type="dxa"/>
            <w:noWrap w:val="0"/>
            <w:vAlign w:val="center"/>
          </w:tcPr>
          <w:p w14:paraId="316D73D9">
            <w:pPr>
              <w:pStyle w:val="43"/>
              <w:keepNext w:val="0"/>
              <w:keepLines w:val="0"/>
              <w:pageBreakBefore w:val="0"/>
              <w:widowControl w:val="0"/>
              <w:numPr>
                <w:ilvl w:val="0"/>
                <w:numId w:val="31"/>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2853499C">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总体布置</w:t>
            </w:r>
            <w:r>
              <w:rPr>
                <w:rFonts w:hint="eastAsia"/>
                <w:color w:val="000000" w:themeColor="text1"/>
                <w14:textFill>
                  <w14:solidFill>
                    <w14:schemeClr w14:val="tx1"/>
                  </w14:solidFill>
                </w14:textFill>
              </w:rPr>
              <w:t>、周边环境</w:t>
            </w:r>
          </w:p>
        </w:tc>
        <w:tc>
          <w:tcPr>
            <w:tcW w:w="5068" w:type="dxa"/>
            <w:noWrap w:val="0"/>
            <w:vAlign w:val="center"/>
          </w:tcPr>
          <w:p w14:paraId="3F31E0B3">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地质危害、人为影响</w:t>
            </w:r>
          </w:p>
        </w:tc>
        <w:tc>
          <w:tcPr>
            <w:tcW w:w="1614" w:type="dxa"/>
            <w:noWrap w:val="0"/>
            <w:vAlign w:val="center"/>
          </w:tcPr>
          <w:p w14:paraId="1FB6EC3A">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人员伤害，建筑物及设备损坏</w:t>
            </w:r>
          </w:p>
        </w:tc>
      </w:tr>
      <w:tr w14:paraId="6AB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04" w:type="dxa"/>
            <w:noWrap w:val="0"/>
            <w:vAlign w:val="center"/>
          </w:tcPr>
          <w:p w14:paraId="5E638AAF">
            <w:pPr>
              <w:pStyle w:val="43"/>
              <w:keepNext w:val="0"/>
              <w:keepLines w:val="0"/>
              <w:pageBreakBefore w:val="0"/>
              <w:widowControl w:val="0"/>
              <w:numPr>
                <w:ilvl w:val="0"/>
                <w:numId w:val="31"/>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413EEFCA">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建（构）筑物</w:t>
            </w:r>
          </w:p>
        </w:tc>
        <w:tc>
          <w:tcPr>
            <w:tcW w:w="5068" w:type="dxa"/>
            <w:noWrap w:val="0"/>
            <w:vAlign w:val="center"/>
          </w:tcPr>
          <w:p w14:paraId="0C3250DC">
            <w:pPr>
              <w:pStyle w:val="43"/>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地震、坍塌、不良地质、施工质量缺陷、安全监测缺陷</w:t>
            </w:r>
          </w:p>
        </w:tc>
        <w:tc>
          <w:tcPr>
            <w:tcW w:w="1614" w:type="dxa"/>
            <w:noWrap w:val="0"/>
            <w:vAlign w:val="center"/>
          </w:tcPr>
          <w:p w14:paraId="3177D7DB">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人员伤害，建构筑物损坏</w:t>
            </w:r>
          </w:p>
        </w:tc>
      </w:tr>
      <w:tr w14:paraId="61E5D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704" w:type="dxa"/>
            <w:noWrap w:val="0"/>
            <w:vAlign w:val="center"/>
          </w:tcPr>
          <w:p w14:paraId="49EB4AD9">
            <w:pPr>
              <w:pStyle w:val="43"/>
              <w:keepNext w:val="0"/>
              <w:keepLines w:val="0"/>
              <w:pageBreakBefore w:val="0"/>
              <w:widowControl w:val="0"/>
              <w:numPr>
                <w:ilvl w:val="0"/>
                <w:numId w:val="31"/>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72422DF7">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主要设备</w:t>
            </w:r>
          </w:p>
        </w:tc>
        <w:tc>
          <w:tcPr>
            <w:tcW w:w="5068" w:type="dxa"/>
            <w:noWrap w:val="0"/>
            <w:vAlign w:val="center"/>
          </w:tcPr>
          <w:p w14:paraId="5BA163CD">
            <w:pPr>
              <w:pStyle w:val="43"/>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火灾、爆炸、触电、雷电、过电压、安全工器具失效、直流系统故障、孤岛运行保护、安全工器具缺陷、热斑效应</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过电压</w:t>
            </w:r>
          </w:p>
        </w:tc>
        <w:tc>
          <w:tcPr>
            <w:tcW w:w="1614" w:type="dxa"/>
            <w:noWrap w:val="0"/>
            <w:vAlign w:val="center"/>
          </w:tcPr>
          <w:p w14:paraId="3618805C">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人员伤害，设备损坏</w:t>
            </w:r>
          </w:p>
        </w:tc>
      </w:tr>
      <w:tr w14:paraId="32847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704" w:type="dxa"/>
            <w:noWrap w:val="0"/>
            <w:vAlign w:val="center"/>
          </w:tcPr>
          <w:p w14:paraId="371EC09D">
            <w:pPr>
              <w:pStyle w:val="43"/>
              <w:keepNext w:val="0"/>
              <w:keepLines w:val="0"/>
              <w:pageBreakBefore w:val="0"/>
              <w:widowControl w:val="0"/>
              <w:numPr>
                <w:ilvl w:val="0"/>
                <w:numId w:val="31"/>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061EDBD4">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生产过程中</w:t>
            </w:r>
          </w:p>
        </w:tc>
        <w:tc>
          <w:tcPr>
            <w:tcW w:w="5068" w:type="dxa"/>
            <w:noWrap w:val="0"/>
            <w:vAlign w:val="center"/>
          </w:tcPr>
          <w:p w14:paraId="689471EA">
            <w:pPr>
              <w:pStyle w:val="43"/>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火灾和爆炸、触电、高处坠落、机械伤害、车辆伤害、过电压、雷电、高温、低温、有限空间作业</w:t>
            </w:r>
          </w:p>
        </w:tc>
        <w:tc>
          <w:tcPr>
            <w:tcW w:w="1614" w:type="dxa"/>
            <w:noWrap w:val="0"/>
            <w:vAlign w:val="center"/>
          </w:tcPr>
          <w:p w14:paraId="0E9B2104">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人员伤害，设备损坏</w:t>
            </w:r>
          </w:p>
        </w:tc>
      </w:tr>
      <w:tr w14:paraId="13D92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04" w:type="dxa"/>
            <w:noWrap w:val="0"/>
            <w:vAlign w:val="center"/>
          </w:tcPr>
          <w:p w14:paraId="0033952D">
            <w:pPr>
              <w:pStyle w:val="43"/>
              <w:keepNext w:val="0"/>
              <w:keepLines w:val="0"/>
              <w:pageBreakBefore w:val="0"/>
              <w:widowControl w:val="0"/>
              <w:numPr>
                <w:ilvl w:val="0"/>
                <w:numId w:val="31"/>
              </w:numPr>
              <w:kinsoku/>
              <w:bidi w:val="0"/>
              <w:ind w:left="425" w:leftChars="0" w:hanging="425" w:firstLineChars="0"/>
              <w:rPr>
                <w:color w:val="000000" w:themeColor="text1"/>
                <w14:textFill>
                  <w14:solidFill>
                    <w14:schemeClr w14:val="tx1"/>
                  </w14:solidFill>
                </w14:textFill>
              </w:rPr>
            </w:pPr>
          </w:p>
        </w:tc>
        <w:tc>
          <w:tcPr>
            <w:tcW w:w="1491" w:type="dxa"/>
            <w:noWrap w:val="0"/>
            <w:vAlign w:val="center"/>
          </w:tcPr>
          <w:p w14:paraId="1106BB44">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作业场所</w:t>
            </w:r>
          </w:p>
        </w:tc>
        <w:tc>
          <w:tcPr>
            <w:tcW w:w="5068" w:type="dxa"/>
            <w:noWrap w:val="0"/>
            <w:vAlign w:val="center"/>
          </w:tcPr>
          <w:p w14:paraId="1910F555">
            <w:pPr>
              <w:pStyle w:val="43"/>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color w:val="000000" w:themeColor="text1"/>
                <w14:textFill>
                  <w14:solidFill>
                    <w14:schemeClr w14:val="tx1"/>
                  </w14:solidFill>
                </w14:textFill>
              </w:rPr>
            </w:pPr>
            <w:r>
              <w:rPr>
                <w:color w:val="000000" w:themeColor="text1"/>
                <w14:textFill>
                  <w14:solidFill>
                    <w14:schemeClr w14:val="tx1"/>
                  </w14:solidFill>
                </w14:textFill>
              </w:rPr>
              <w:t>噪声、</w:t>
            </w:r>
            <w:r>
              <w:rPr>
                <w:rFonts w:hint="eastAsia"/>
                <w:color w:val="000000" w:themeColor="text1"/>
                <w14:textFill>
                  <w14:solidFill>
                    <w14:schemeClr w14:val="tx1"/>
                  </w14:solidFill>
                </w14:textFill>
              </w:rPr>
              <w:t>采光照明、工频电场</w:t>
            </w:r>
          </w:p>
        </w:tc>
        <w:tc>
          <w:tcPr>
            <w:tcW w:w="1614" w:type="dxa"/>
            <w:noWrap w:val="0"/>
            <w:vAlign w:val="center"/>
          </w:tcPr>
          <w:p w14:paraId="7A126E4F">
            <w:pPr>
              <w:pStyle w:val="43"/>
              <w:keepNext w:val="0"/>
              <w:keepLines w:val="0"/>
              <w:pageBreakBefore w:val="0"/>
              <w:widowControl w:val="0"/>
              <w:kinsoku/>
              <w:wordWrap/>
              <w:overflowPunct/>
              <w:topLinePunct w:val="0"/>
              <w:autoSpaceDE/>
              <w:autoSpaceDN/>
              <w:bidi w:val="0"/>
              <w:adjustRightInd w:val="0"/>
              <w:snapToGrid w:val="0"/>
              <w:spacing w:line="240" w:lineRule="auto"/>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影响人员健康</w:t>
            </w:r>
          </w:p>
        </w:tc>
      </w:tr>
    </w:tbl>
    <w:p w14:paraId="49B733A9">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sectPr>
          <w:pgSz w:w="11906" w:h="16838"/>
          <w:pgMar w:top="1417" w:right="1417" w:bottom="1417" w:left="1587" w:header="851" w:footer="992" w:gutter="0"/>
          <w:pgNumType w:fmt="decimal"/>
          <w:cols w:space="0" w:num="1"/>
          <w:rtlGutter w:val="0"/>
          <w:docGrid w:type="lines" w:linePitch="318" w:charSpace="0"/>
        </w:sectPr>
      </w:pPr>
    </w:p>
    <w:p w14:paraId="37E754CC">
      <w:pPr>
        <w:pStyle w:val="2"/>
        <w:bidi w:val="0"/>
        <w:rPr>
          <w:rFonts w:hint="eastAsia"/>
          <w:color w:val="000000" w:themeColor="text1"/>
          <w14:textFill>
            <w14:solidFill>
              <w14:schemeClr w14:val="tx1"/>
            </w14:solidFill>
          </w14:textFill>
        </w:rPr>
      </w:pPr>
      <w:bookmarkStart w:id="262" w:name="_Toc170639004"/>
      <w:bookmarkStart w:id="263" w:name="_Toc170638705"/>
      <w:bookmarkStart w:id="264" w:name="_Toc195431137"/>
      <w:bookmarkStart w:id="265" w:name="_Toc16388"/>
      <w:bookmarkStart w:id="266" w:name="_Toc2083"/>
      <w:bookmarkStart w:id="267" w:name="_Toc28604"/>
      <w:r>
        <w:rPr>
          <w:color w:val="000000" w:themeColor="text1"/>
          <w14:textFill>
            <w14:solidFill>
              <w14:schemeClr w14:val="tx1"/>
            </w14:solidFill>
          </w14:textFill>
        </w:rPr>
        <w:t>评价单元</w:t>
      </w:r>
      <w:r>
        <w:rPr>
          <w:rFonts w:hint="eastAsia"/>
          <w:color w:val="000000" w:themeColor="text1"/>
          <w14:textFill>
            <w14:solidFill>
              <w14:schemeClr w14:val="tx1"/>
            </w14:solidFill>
          </w14:textFill>
        </w:rPr>
        <w:t>划分</w:t>
      </w:r>
      <w:r>
        <w:rPr>
          <w:color w:val="000000" w:themeColor="text1"/>
          <w14:textFill>
            <w14:solidFill>
              <w14:schemeClr w14:val="tx1"/>
            </w14:solidFill>
          </w14:textFill>
        </w:rPr>
        <w:t>和评价方法</w:t>
      </w:r>
      <w:bookmarkEnd w:id="262"/>
      <w:bookmarkEnd w:id="263"/>
      <w:bookmarkEnd w:id="264"/>
      <w:r>
        <w:rPr>
          <w:rFonts w:hint="eastAsia"/>
          <w:color w:val="000000" w:themeColor="text1"/>
          <w14:textFill>
            <w14:solidFill>
              <w14:schemeClr w14:val="tx1"/>
            </w14:solidFill>
          </w14:textFill>
        </w:rPr>
        <w:t>选择</w:t>
      </w:r>
      <w:bookmarkEnd w:id="265"/>
      <w:bookmarkEnd w:id="266"/>
      <w:bookmarkEnd w:id="267"/>
    </w:p>
    <w:p w14:paraId="2F1009E2">
      <w:pPr>
        <w:pStyle w:val="3"/>
        <w:bidi w:val="0"/>
        <w:rPr>
          <w:color w:val="000000" w:themeColor="text1"/>
          <w14:textFill>
            <w14:solidFill>
              <w14:schemeClr w14:val="tx1"/>
            </w14:solidFill>
          </w14:textFill>
        </w:rPr>
      </w:pPr>
      <w:bookmarkStart w:id="268" w:name="_Toc16452"/>
      <w:bookmarkStart w:id="269" w:name="_Toc170638706"/>
      <w:bookmarkStart w:id="270" w:name="_Toc154304135"/>
      <w:bookmarkStart w:id="271" w:name="_Toc195431138"/>
      <w:bookmarkStart w:id="272" w:name="_Toc170639005"/>
      <w:bookmarkStart w:id="273" w:name="_Toc5658"/>
      <w:bookmarkStart w:id="274" w:name="_Toc2107"/>
      <w:bookmarkStart w:id="275" w:name="_Toc156705400"/>
      <w:r>
        <w:rPr>
          <w:color w:val="000000" w:themeColor="text1"/>
          <w14:textFill>
            <w14:solidFill>
              <w14:schemeClr w14:val="tx1"/>
            </w14:solidFill>
          </w14:textFill>
        </w:rPr>
        <w:t>评价单元划分</w:t>
      </w:r>
      <w:bookmarkEnd w:id="268"/>
      <w:bookmarkEnd w:id="269"/>
      <w:bookmarkEnd w:id="270"/>
      <w:bookmarkEnd w:id="271"/>
      <w:bookmarkEnd w:id="272"/>
      <w:bookmarkEnd w:id="273"/>
      <w:bookmarkEnd w:id="274"/>
      <w:bookmarkEnd w:id="275"/>
    </w:p>
    <w:p w14:paraId="182B8020">
      <w:pPr>
        <w:pStyle w:val="4"/>
        <w:bidi w:val="0"/>
        <w:rPr>
          <w:color w:val="000000" w:themeColor="text1"/>
          <w14:textFill>
            <w14:solidFill>
              <w14:schemeClr w14:val="tx1"/>
            </w14:solidFill>
          </w14:textFill>
        </w:rPr>
      </w:pPr>
      <w:bookmarkStart w:id="276" w:name="_Toc15434"/>
      <w:bookmarkStart w:id="277" w:name="_Toc10636"/>
      <w:r>
        <w:rPr>
          <w:color w:val="000000" w:themeColor="text1"/>
          <w14:textFill>
            <w14:solidFill>
              <w14:schemeClr w14:val="tx1"/>
            </w14:solidFill>
          </w14:textFill>
        </w:rPr>
        <w:t>评价单元划分的原则</w:t>
      </w:r>
      <w:bookmarkEnd w:id="276"/>
      <w:bookmarkEnd w:id="277"/>
    </w:p>
    <w:p w14:paraId="16FC3876">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评价单元的划分是在对危险、有害因素辨析的基础上，根据评价目的和评价方法的需要，将系统分成若干有限的、范围确定的需要评价的单元，以提高评价的客观性和准确性。</w:t>
      </w:r>
    </w:p>
    <w:p w14:paraId="6485D48E">
      <w:pPr>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评价单元一般以生产工艺，物料的特性及危险、有害因素的类别、分布状况综合考虑进行划分。</w:t>
      </w:r>
    </w:p>
    <w:p w14:paraId="4846E265">
      <w:pPr>
        <w:pStyle w:val="4"/>
        <w:bidi w:val="0"/>
        <w:rPr>
          <w:color w:val="000000" w:themeColor="text1"/>
          <w14:textFill>
            <w14:solidFill>
              <w14:schemeClr w14:val="tx1"/>
            </w14:solidFill>
          </w14:textFill>
        </w:rPr>
      </w:pPr>
      <w:bookmarkStart w:id="278" w:name="_Toc13949"/>
      <w:bookmarkStart w:id="279" w:name="_Toc16407"/>
      <w:r>
        <w:rPr>
          <w:color w:val="000000" w:themeColor="text1"/>
          <w14:textFill>
            <w14:solidFill>
              <w14:schemeClr w14:val="tx1"/>
            </w14:solidFill>
          </w14:textFill>
        </w:rPr>
        <w:t>评价单元划分方法</w:t>
      </w:r>
      <w:bookmarkEnd w:id="278"/>
      <w:bookmarkEnd w:id="279"/>
    </w:p>
    <w:p w14:paraId="4968F58D">
      <w:pPr>
        <w:keepNext w:val="0"/>
        <w:keepLines w:val="0"/>
        <w:pageBreakBefore w:val="0"/>
        <w:widowControl w:val="0"/>
        <w:kinsoku/>
        <w:wordWrap/>
        <w:overflowPunct/>
        <w:topLinePunct w:val="0"/>
        <w:autoSpaceDE/>
        <w:autoSpaceDN/>
        <w:bidi w:val="0"/>
        <w:adjustRightInd/>
        <w:snapToGrid/>
        <w:textAlignment w:val="auto"/>
        <w:outlineLvl w:val="9"/>
        <w:rPr>
          <w:color w:val="000000" w:themeColor="text1"/>
          <w14:textFill>
            <w14:solidFill>
              <w14:schemeClr w14:val="tx1"/>
            </w14:solidFill>
          </w14:textFill>
        </w:rPr>
      </w:pPr>
      <w:r>
        <w:rPr>
          <w:color w:val="000000" w:themeColor="text1"/>
          <w14:textFill>
            <w14:solidFill>
              <w14:schemeClr w14:val="tx1"/>
            </w14:solidFill>
          </w14:textFill>
        </w:rPr>
        <w:t>常用的评价单元划分方法有：</w:t>
      </w:r>
    </w:p>
    <w:p w14:paraId="3F6DF790">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outlineLvl w:val="9"/>
        <w:rPr>
          <w:color w:val="000000" w:themeColor="text1"/>
          <w14:textFill>
            <w14:solidFill>
              <w14:schemeClr w14:val="tx1"/>
            </w14:solidFill>
          </w14:textFill>
        </w:rPr>
      </w:pPr>
      <w:r>
        <w:rPr>
          <w:color w:val="000000" w:themeColor="text1"/>
          <w14:textFill>
            <w14:solidFill>
              <w14:schemeClr w14:val="tx1"/>
            </w14:solidFill>
          </w14:textFill>
        </w:rPr>
        <w:t>以危险、有害因素的类别为主划分评价单元。</w:t>
      </w:r>
    </w:p>
    <w:p w14:paraId="5F8F308F">
      <w:pPr>
        <w:keepNext w:val="0"/>
        <w:keepLines w:val="0"/>
        <w:pageBreakBefore w:val="0"/>
        <w:widowControl w:val="0"/>
        <w:numPr>
          <w:ilvl w:val="0"/>
          <w:numId w:val="33"/>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对工艺方案、总平面布置及自然条件、环境对系统影响等综合方面的危险、有害因素的分析和评价，可将整个系统作为一个评价单元；</w:t>
      </w:r>
    </w:p>
    <w:p w14:paraId="45A21F4C">
      <w:pPr>
        <w:keepNext w:val="0"/>
        <w:keepLines w:val="0"/>
        <w:pageBreakBefore w:val="0"/>
        <w:widowControl w:val="0"/>
        <w:numPr>
          <w:ilvl w:val="0"/>
          <w:numId w:val="33"/>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将具有共性危险因素、有害因素的场所和装置划为一个单元。</w:t>
      </w:r>
    </w:p>
    <w:p w14:paraId="7B7D0D34">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以装置和物质特征划分评价单元。</w:t>
      </w:r>
    </w:p>
    <w:p w14:paraId="2EA6F9CB">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按装置工艺功能划分；</w:t>
      </w:r>
    </w:p>
    <w:p w14:paraId="22E78F22">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按布置的相对独立性划分；</w:t>
      </w:r>
    </w:p>
    <w:p w14:paraId="29971041">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按工艺条件划分评价单元；</w:t>
      </w:r>
    </w:p>
    <w:p w14:paraId="24803578">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按贮存、处理危险物品的潜在化学能、毒性和危险物品的数量划分评价单元；</w:t>
      </w:r>
    </w:p>
    <w:p w14:paraId="344564C5">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根据以往事故资料，将发生事故能导致停产、波及范围大、造成巨大损失和伤害的关键设备作为一个单元；</w:t>
      </w:r>
    </w:p>
    <w:p w14:paraId="36FD2954">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将危险性大且资金密度大的区域作为一个评价单元；</w:t>
      </w:r>
    </w:p>
    <w:p w14:paraId="2937847F">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将危险性特别大的区域、装置作为一个评价单元；</w:t>
      </w:r>
    </w:p>
    <w:p w14:paraId="4F3A3EA3">
      <w:pPr>
        <w:keepNext w:val="0"/>
        <w:keepLines w:val="0"/>
        <w:pageBreakBefore w:val="0"/>
        <w:widowControl w:val="0"/>
        <w:numPr>
          <w:ilvl w:val="0"/>
          <w:numId w:val="34"/>
        </w:numPr>
        <w:kinsoku/>
        <w:wordWrap/>
        <w:overflowPunct/>
        <w:topLinePunct w:val="0"/>
        <w:autoSpaceDE/>
        <w:autoSpaceDN/>
        <w:bidi w:val="0"/>
        <w:adjustRightInd/>
        <w:snapToGrid/>
        <w:ind w:left="0" w:leftChars="0" w:firstLine="560" w:firstLineChars="20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将具有类似危险性潜能的单元合并为一个大单元。</w:t>
      </w:r>
    </w:p>
    <w:p w14:paraId="797B1F65">
      <w:pPr>
        <w:pStyle w:val="4"/>
        <w:bidi w:val="0"/>
        <w:rPr>
          <w:rFonts w:hint="eastAsia"/>
          <w:color w:val="000000" w:themeColor="text1"/>
          <w14:textFill>
            <w14:solidFill>
              <w14:schemeClr w14:val="tx1"/>
            </w14:solidFill>
          </w14:textFill>
        </w:rPr>
      </w:pPr>
      <w:bookmarkStart w:id="280" w:name="_Toc17028"/>
      <w:bookmarkStart w:id="281" w:name="_Toc31728"/>
      <w:r>
        <w:rPr>
          <w:color w:val="000000" w:themeColor="text1"/>
          <w14:textFill>
            <w14:solidFill>
              <w14:schemeClr w14:val="tx1"/>
            </w14:solidFill>
          </w14:textFill>
        </w:rPr>
        <w:t>评价单元的划分</w:t>
      </w:r>
      <w:bookmarkEnd w:id="280"/>
      <w:bookmarkEnd w:id="281"/>
    </w:p>
    <w:p w14:paraId="3B69035F">
      <w:pPr>
        <w:keepNext w:val="0"/>
        <w:keepLines w:val="0"/>
        <w:pageBreakBefore w:val="0"/>
        <w:widowControl w:val="0"/>
        <w:kinsoku/>
        <w:wordWrap/>
        <w:overflowPunct/>
        <w:topLinePunct w:val="0"/>
        <w:autoSpaceDE/>
        <w:autoSpaceDN/>
        <w:bidi w:val="0"/>
        <w:adjustRightInd/>
        <w:snapToGrid/>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snapToGrid w:val="0"/>
          <w:color w:val="000000" w:themeColor="text1"/>
          <w:kern w:val="0"/>
          <w14:textFill>
            <w14:solidFill>
              <w14:schemeClr w14:val="tx1"/>
            </w14:solidFill>
          </w14:textFill>
        </w:rPr>
        <w:t>通过对该工程各主要设备及其附属设施中存在的危险、有害因素的分析，结合光伏、电力行业特点和该工程的具体情况，按工艺流程，并兼顾平面布置及各主要设备及其附属设施中存在的危险、有害因素的相似特性等划分为</w:t>
      </w:r>
      <w:r>
        <w:rPr>
          <w:rFonts w:hint="eastAsia" w:ascii="宋体" w:hAnsi="宋体" w:eastAsia="宋体" w:cs="宋体"/>
          <w:snapToGrid w:val="0"/>
          <w:color w:val="000000" w:themeColor="text1"/>
          <w:kern w:val="0"/>
          <w:lang w:val="en-US" w:eastAsia="zh-CN"/>
          <w14:textFill>
            <w14:solidFill>
              <w14:schemeClr w14:val="tx1"/>
            </w14:solidFill>
          </w14:textFill>
        </w:rPr>
        <w:t>6</w:t>
      </w:r>
      <w:r>
        <w:rPr>
          <w:rFonts w:hint="eastAsia" w:ascii="宋体" w:hAnsi="宋体" w:eastAsia="宋体" w:cs="宋体"/>
          <w:snapToGrid w:val="0"/>
          <w:color w:val="000000" w:themeColor="text1"/>
          <w:kern w:val="0"/>
          <w14:textFill>
            <w14:solidFill>
              <w14:schemeClr w14:val="tx1"/>
            </w14:solidFill>
          </w14:textFill>
        </w:rPr>
        <w:t>个评价单元进行评价，即</w:t>
      </w:r>
      <w:r>
        <w:rPr>
          <w:rFonts w:hint="eastAsia" w:ascii="宋体" w:hAnsi="宋体" w:eastAsia="宋体" w:cs="宋体"/>
          <w:color w:val="000000" w:themeColor="text1"/>
          <w14:textFill>
            <w14:solidFill>
              <w14:schemeClr w14:val="tx1"/>
            </w14:solidFill>
          </w14:textFill>
        </w:rPr>
        <w:t>：</w:t>
      </w:r>
    </w:p>
    <w:p w14:paraId="10C57727">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ascii="宋体" w:hAnsi="宋体" w:eastAsia="宋体" w:cs="宋体"/>
          <w:color w:val="000000" w:themeColor="text1"/>
          <w14:textFill>
            <w14:solidFill>
              <w14:schemeClr w14:val="tx1"/>
            </w14:solidFill>
          </w14:textFill>
        </w:rPr>
      </w:pPr>
      <w:r>
        <w:rPr>
          <w:color w:val="000000" w:themeColor="text1"/>
          <w:spacing w:val="6"/>
          <w14:textFill>
            <w14:solidFill>
              <w14:schemeClr w14:val="tx1"/>
            </w14:solidFill>
          </w14:textFill>
        </w:rPr>
        <w:t>安全设施“三同时</w:t>
      </w:r>
      <w:r>
        <w:rPr>
          <w:color w:val="000000" w:themeColor="text1"/>
          <w:spacing w:val="-63"/>
          <w14:textFill>
            <w14:solidFill>
              <w14:schemeClr w14:val="tx1"/>
            </w14:solidFill>
          </w14:textFill>
        </w:rPr>
        <w:t xml:space="preserve"> </w:t>
      </w:r>
      <w:r>
        <w:rPr>
          <w:color w:val="000000" w:themeColor="text1"/>
          <w:spacing w:val="6"/>
          <w14:textFill>
            <w14:solidFill>
              <w14:schemeClr w14:val="tx1"/>
            </w14:solidFill>
          </w14:textFill>
        </w:rPr>
        <w:t>”程序单元</w:t>
      </w:r>
    </w:p>
    <w:p w14:paraId="1576652D">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总平面布置单元</w:t>
      </w:r>
    </w:p>
    <w:p w14:paraId="51F13BC3">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ascii="宋体" w:hAnsi="宋体" w:eastAsia="宋体" w:cs="宋体"/>
          <w:color w:val="000000" w:themeColor="text1"/>
          <w14:textFill>
            <w14:solidFill>
              <w14:schemeClr w14:val="tx1"/>
            </w14:solidFill>
          </w14:textFill>
        </w:rPr>
      </w:pPr>
      <w:r>
        <w:rPr>
          <w:rFonts w:hint="eastAsia"/>
          <w:color w:val="000000" w:themeColor="text1"/>
          <w14:textFill>
            <w14:solidFill>
              <w14:schemeClr w14:val="tx1"/>
            </w14:solidFill>
          </w14:textFill>
        </w:rPr>
        <w:t>建（构）筑物等土建工程单元</w:t>
      </w:r>
    </w:p>
    <w:p w14:paraId="2233EE04">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光伏发电系统单元</w:t>
      </w:r>
    </w:p>
    <w:p w14:paraId="4D16EEEB">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安全设备设施单元</w:t>
      </w:r>
      <w:r>
        <w:rPr>
          <w:rFonts w:hint="eastAsia" w:eastAsia="宋体"/>
          <w:color w:val="000000" w:themeColor="text1"/>
          <w:lang w:eastAsia="zh-CN"/>
          <w14:textFill>
            <w14:solidFill>
              <w14:schemeClr w14:val="tx1"/>
            </w14:solidFill>
          </w14:textFill>
        </w:rPr>
        <w:t>（</w:t>
      </w:r>
      <w:r>
        <w:rPr>
          <w:rFonts w:hint="eastAsia" w:eastAsia="宋体"/>
          <w:color w:val="000000" w:themeColor="text1"/>
          <w14:textFill>
            <w14:solidFill>
              <w14:schemeClr w14:val="tx1"/>
            </w14:solidFill>
          </w14:textFill>
        </w:rPr>
        <w:t>包括了防火及防爆设施、防雷接地装置、安全工器具及个体防护三个子单元</w:t>
      </w:r>
      <w:r>
        <w:rPr>
          <w:rFonts w:hint="eastAsia" w:eastAsia="宋体"/>
          <w:color w:val="000000" w:themeColor="text1"/>
          <w:lang w:eastAsia="zh-CN"/>
          <w14:textFill>
            <w14:solidFill>
              <w14:schemeClr w14:val="tx1"/>
            </w14:solidFill>
          </w14:textFill>
        </w:rPr>
        <w:t>）</w:t>
      </w:r>
    </w:p>
    <w:p w14:paraId="5255FC04">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公用</w:t>
      </w:r>
      <w:r>
        <w:rPr>
          <w:rFonts w:hint="eastAsia" w:ascii="宋体" w:hAnsi="宋体" w:cs="宋体"/>
          <w:color w:val="000000" w:themeColor="text1"/>
          <w:lang w:val="en-US" w:eastAsia="zh-CN"/>
          <w14:textFill>
            <w14:solidFill>
              <w14:schemeClr w14:val="tx1"/>
            </w14:solidFill>
          </w14:textFill>
        </w:rPr>
        <w:t>工程及</w:t>
      </w:r>
      <w:r>
        <w:rPr>
          <w:rFonts w:hint="eastAsia" w:ascii="宋体" w:hAnsi="宋体" w:eastAsia="宋体" w:cs="宋体"/>
          <w:color w:val="000000" w:themeColor="text1"/>
          <w:lang w:val="en-US" w:eastAsia="zh-CN"/>
          <w14:textFill>
            <w14:solidFill>
              <w14:schemeClr w14:val="tx1"/>
            </w14:solidFill>
          </w14:textFill>
        </w:rPr>
        <w:t>辅助</w:t>
      </w:r>
      <w:r>
        <w:rPr>
          <w:rFonts w:hint="eastAsia" w:ascii="宋体" w:hAnsi="宋体" w:cs="宋体"/>
          <w:color w:val="000000" w:themeColor="text1"/>
          <w:lang w:val="en-US" w:eastAsia="zh-CN"/>
          <w14:textFill>
            <w14:solidFill>
              <w14:schemeClr w14:val="tx1"/>
            </w14:solidFill>
          </w14:textFill>
        </w:rPr>
        <w:t>设施</w:t>
      </w:r>
      <w:r>
        <w:rPr>
          <w:rFonts w:hint="eastAsia" w:ascii="宋体" w:hAnsi="宋体" w:eastAsia="宋体" w:cs="宋体"/>
          <w:color w:val="000000" w:themeColor="text1"/>
          <w14:textFill>
            <w14:solidFill>
              <w14:schemeClr w14:val="tx1"/>
            </w14:solidFill>
          </w14:textFill>
        </w:rPr>
        <w:t>单元</w:t>
      </w:r>
    </w:p>
    <w:p w14:paraId="35A641D4">
      <w:pPr>
        <w:keepNext w:val="0"/>
        <w:keepLines w:val="0"/>
        <w:pageBreakBefore w:val="0"/>
        <w:widowControl w:val="0"/>
        <w:numPr>
          <w:ilvl w:val="0"/>
          <w:numId w:val="35"/>
        </w:numPr>
        <w:kinsoku/>
        <w:wordWrap/>
        <w:overflowPunct/>
        <w:topLinePunct w:val="0"/>
        <w:autoSpaceDE/>
        <w:autoSpaceDN/>
        <w:bidi w:val="0"/>
        <w:adjustRightInd/>
        <w:snapToGrid/>
        <w:ind w:left="280" w:leftChars="0" w:firstLine="560" w:firstLineChars="0"/>
        <w:textAlignment w:val="auto"/>
        <w:outlineLvl w:val="9"/>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安全管理单元</w:t>
      </w:r>
    </w:p>
    <w:p w14:paraId="09F7B5FE">
      <w:pPr>
        <w:pStyle w:val="3"/>
        <w:bidi w:val="0"/>
        <w:rPr>
          <w:rFonts w:hint="eastAsia"/>
          <w:color w:val="000000" w:themeColor="text1"/>
          <w14:textFill>
            <w14:solidFill>
              <w14:schemeClr w14:val="tx1"/>
            </w14:solidFill>
          </w14:textFill>
        </w:rPr>
      </w:pPr>
      <w:bookmarkStart w:id="282" w:name="_Toc29041"/>
      <w:bookmarkStart w:id="283" w:name="_Toc27122"/>
      <w:bookmarkStart w:id="284" w:name="_Toc8991"/>
      <w:r>
        <w:rPr>
          <w:rFonts w:hint="eastAsia"/>
          <w:color w:val="000000" w:themeColor="text1"/>
          <w14:textFill>
            <w14:solidFill>
              <w14:schemeClr w14:val="tx1"/>
            </w14:solidFill>
          </w14:textFill>
        </w:rPr>
        <w:t>评价方法选择</w:t>
      </w:r>
      <w:bookmarkEnd w:id="282"/>
      <w:bookmarkEnd w:id="283"/>
      <w:bookmarkEnd w:id="284"/>
    </w:p>
    <w:p w14:paraId="7CFE78D3">
      <w:pPr>
        <w:pStyle w:val="4"/>
        <w:bidi w:val="0"/>
        <w:rPr>
          <w:color w:val="000000" w:themeColor="text1"/>
          <w14:textFill>
            <w14:solidFill>
              <w14:schemeClr w14:val="tx1"/>
            </w14:solidFill>
          </w14:textFill>
        </w:rPr>
      </w:pPr>
      <w:bookmarkStart w:id="285" w:name="_Toc25342"/>
      <w:bookmarkStart w:id="286" w:name="_Toc6986"/>
      <w:bookmarkStart w:id="287" w:name="_Toc195424850"/>
      <w:r>
        <w:rPr>
          <w:color w:val="000000" w:themeColor="text1"/>
          <w14:textFill>
            <w14:solidFill>
              <w14:schemeClr w14:val="tx1"/>
            </w14:solidFill>
          </w14:textFill>
        </w:rPr>
        <w:t>评价方法的选择原则</w:t>
      </w:r>
      <w:bookmarkEnd w:id="285"/>
      <w:bookmarkEnd w:id="286"/>
    </w:p>
    <w:p w14:paraId="6503339C">
      <w:pPr>
        <w:spacing w:line="500" w:lineRule="exact"/>
        <w:ind w:firstLine="560" w:firstLineChars="200"/>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安全评价方法是对系统的各种、有害因素进行分析、评价的工具。目前已经开发数十种，每一种评价方法的原理、目标、应用条件、适用对象不尽相同，各有其特点和优缺点。</w:t>
      </w:r>
    </w:p>
    <w:p w14:paraId="633F71FB">
      <w:pPr>
        <w:spacing w:line="500" w:lineRule="exact"/>
        <w:ind w:firstLine="560" w:firstLineChars="200"/>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针对本项目中各评价单元的功能、工艺及主要危险有害因素的特点，本次评价采用的评价方法为安全检查表法。</w:t>
      </w:r>
    </w:p>
    <w:p w14:paraId="3158CEB4">
      <w:pPr>
        <w:spacing w:line="500" w:lineRule="exact"/>
        <w:ind w:firstLine="560" w:firstLineChars="200"/>
        <w:rPr>
          <w:rFonts w:hint="eastAsia"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通过对项目潜在危险和有害因素的初步分析，结合本次评价目的和评价范围，进一步运用有关评价方法进行系统安全评价，找出主要灾害事故被触发的原因，系统地了解各危险源危险状况信息。根据各种评价方法适用的范围和阶段，选择“安全检查表”方法评价较为合适本次现状评价。</w:t>
      </w:r>
    </w:p>
    <w:p w14:paraId="597AB8F8">
      <w:pPr>
        <w:pStyle w:val="4"/>
        <w:bidi w:val="0"/>
        <w:rPr>
          <w:color w:val="000000" w:themeColor="text1"/>
          <w14:textFill>
            <w14:solidFill>
              <w14:schemeClr w14:val="tx1"/>
            </w14:solidFill>
          </w14:textFill>
        </w:rPr>
      </w:pPr>
      <w:bookmarkStart w:id="288" w:name="_Toc12757"/>
      <w:bookmarkStart w:id="289" w:name="_Toc28807"/>
      <w:r>
        <w:rPr>
          <w:rFonts w:hint="eastAsia"/>
          <w:color w:val="000000" w:themeColor="text1"/>
          <w14:textFill>
            <w14:solidFill>
              <w14:schemeClr w14:val="tx1"/>
            </w14:solidFill>
          </w14:textFill>
        </w:rPr>
        <w:t>安全检查表</w:t>
      </w:r>
      <w:bookmarkEnd w:id="287"/>
      <w:bookmarkEnd w:id="288"/>
      <w:bookmarkEnd w:id="289"/>
      <w:r>
        <w:rPr>
          <w:rFonts w:hint="eastAsia"/>
          <w:color w:val="000000" w:themeColor="text1"/>
          <w:lang w:val="en-US" w:eastAsia="zh-CN"/>
          <w14:textFill>
            <w14:solidFill>
              <w14:schemeClr w14:val="tx1"/>
            </w14:solidFill>
          </w14:textFill>
        </w:rPr>
        <w:t>法</w:t>
      </w:r>
    </w:p>
    <w:p w14:paraId="04AEE762">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工程总体和各装置单元的验收评价中均运用了这一方法。本评价中安全检查表的内容主要有三部分：</w:t>
      </w:r>
    </w:p>
    <w:p w14:paraId="5E0B59E3">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①“检查项目和要求”：针对该单元功能、工艺、设备等固有或潜在的主要危险、有害因素，逐条列出检查的项目和国家有关劳动安全卫生方面的</w:t>
      </w:r>
      <w:r>
        <w:rPr>
          <w:rFonts w:hint="eastAsia"/>
          <w:color w:val="000000" w:themeColor="text1"/>
          <w:lang w:eastAsia="zh-CN"/>
          <w14:textFill>
            <w14:solidFill>
              <w14:schemeClr w14:val="tx1"/>
            </w14:solidFill>
          </w14:textFill>
        </w:rPr>
        <w:t>法律法规</w:t>
      </w:r>
      <w:r>
        <w:rPr>
          <w:rFonts w:hint="eastAsia"/>
          <w:color w:val="000000" w:themeColor="text1"/>
          <w14:textFill>
            <w14:solidFill>
              <w14:schemeClr w14:val="tx1"/>
            </w14:solidFill>
          </w14:textFill>
        </w:rPr>
        <w:t>、标准以及行业规定中对工程设计、施工、运行管理的各种具体要求。</w:t>
      </w:r>
    </w:p>
    <w:p w14:paraId="7E05175E">
      <w:pPr>
        <w:keepNext w:val="0"/>
        <w:keepLines w:val="0"/>
        <w:pageBreakBefore w:val="0"/>
        <w:widowControl w:val="0"/>
        <w:kinsoku/>
        <w:wordWrap/>
        <w:overflowPunct/>
        <w:topLinePunct w:val="0"/>
        <w:autoSpaceDE/>
        <w:autoSpaceDN/>
        <w:bidi w:val="0"/>
        <w:adjustRightInd/>
        <w:snapToGrid/>
        <w:textAlignment w:val="auto"/>
        <w:outlineLvl w:val="9"/>
        <w:rPr>
          <w:color w:val="000000" w:themeColor="text1"/>
          <w14:textFill>
            <w14:solidFill>
              <w14:schemeClr w14:val="tx1"/>
            </w14:solidFill>
          </w14:textFill>
        </w:rPr>
      </w:pPr>
      <w:r>
        <w:rPr>
          <w:rFonts w:hint="eastAsia"/>
          <w:color w:val="000000" w:themeColor="text1"/>
          <w14:textFill>
            <w14:solidFill>
              <w14:schemeClr w14:val="tx1"/>
            </w14:solidFill>
          </w14:textFill>
        </w:rPr>
        <w:t>②“检查结果”：针对检查项目和要求，通过审查文件资料，</w:t>
      </w:r>
      <w:r>
        <w:rPr>
          <w:rFonts w:hint="eastAsia"/>
          <w:color w:val="000000" w:themeColor="text1"/>
          <w:lang w:eastAsia="zh-CN"/>
          <w14:textFill>
            <w14:solidFill>
              <w14:schemeClr w14:val="tx1"/>
            </w14:solidFill>
          </w14:textFill>
        </w:rPr>
        <w:t>勘查现场</w:t>
      </w:r>
      <w:r>
        <w:rPr>
          <w:rFonts w:hint="eastAsia"/>
          <w:color w:val="000000" w:themeColor="text1"/>
          <w14:textFill>
            <w14:solidFill>
              <w14:schemeClr w14:val="tx1"/>
            </w14:solidFill>
          </w14:textFill>
        </w:rPr>
        <w:t>，建成后的项目是否符合国家或行业的</w:t>
      </w:r>
      <w:r>
        <w:rPr>
          <w:rFonts w:hint="eastAsia"/>
          <w:color w:val="000000" w:themeColor="text1"/>
          <w:lang w:eastAsia="zh-CN"/>
          <w14:textFill>
            <w14:solidFill>
              <w14:schemeClr w14:val="tx1"/>
            </w14:solidFill>
          </w14:textFill>
        </w:rPr>
        <w:t>法律法规</w:t>
      </w:r>
      <w:r>
        <w:rPr>
          <w:rFonts w:hint="eastAsia"/>
          <w:color w:val="000000" w:themeColor="text1"/>
          <w14:textFill>
            <w14:solidFill>
              <w14:schemeClr w14:val="tx1"/>
            </w14:solidFill>
          </w14:textFill>
        </w:rPr>
        <w:t>、标准。</w:t>
      </w:r>
    </w:p>
    <w:p w14:paraId="30502C02">
      <w:pPr>
        <w:keepNext w:val="0"/>
        <w:keepLines w:val="0"/>
        <w:pageBreakBefore w:val="0"/>
        <w:widowControl w:val="0"/>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③“检查依据”：与项目相关的国家或行业有关劳动安全卫生方面的</w:t>
      </w:r>
      <w:r>
        <w:rPr>
          <w:rFonts w:hint="eastAsia"/>
          <w:color w:val="000000" w:themeColor="text1"/>
          <w:lang w:eastAsia="zh-CN"/>
          <w14:textFill>
            <w14:solidFill>
              <w14:schemeClr w14:val="tx1"/>
            </w14:solidFill>
          </w14:textFill>
        </w:rPr>
        <w:t>法律法规</w:t>
      </w:r>
      <w:r>
        <w:rPr>
          <w:rFonts w:hint="eastAsia"/>
          <w:color w:val="000000" w:themeColor="text1"/>
          <w14:textFill>
            <w14:solidFill>
              <w14:schemeClr w14:val="tx1"/>
            </w14:solidFill>
          </w14:textFill>
        </w:rPr>
        <w:t>、标准。</w:t>
      </w:r>
    </w:p>
    <w:p w14:paraId="6AEFCA9B">
      <w:pPr>
        <w:keepNext w:val="0"/>
        <w:keepLines w:val="0"/>
        <w:pageBreakBefore w:val="0"/>
        <w:widowControl w:val="0"/>
        <w:kinsoku/>
        <w:wordWrap/>
        <w:overflowPunct/>
        <w:topLinePunct w:val="0"/>
        <w:autoSpaceDE/>
        <w:autoSpaceDN/>
        <w:bidi w:val="0"/>
        <w:adjustRightInd/>
        <w:snapToGrid/>
        <w:textAlignment w:val="auto"/>
        <w:outlineLvl w:val="9"/>
        <w:rPr>
          <w:color w:val="000000" w:themeColor="text1"/>
          <w14:textFill>
            <w14:solidFill>
              <w14:schemeClr w14:val="tx1"/>
            </w14:solidFill>
          </w14:textFill>
        </w:rPr>
      </w:pPr>
      <w:r>
        <w:rPr>
          <w:rFonts w:hint="eastAsia"/>
          <w:color w:val="000000" w:themeColor="text1"/>
          <w14:textFill>
            <w14:solidFill>
              <w14:schemeClr w14:val="tx1"/>
            </w14:solidFill>
          </w14:textFill>
        </w:rPr>
        <w:t>④“实际情况”：对工程建成后实际情况的描述。</w:t>
      </w:r>
    </w:p>
    <w:p w14:paraId="19FB5A5D">
      <w:pPr>
        <w:pStyle w:val="3"/>
        <w:bidi w:val="0"/>
        <w:rPr>
          <w:rFonts w:hint="eastAsia"/>
          <w:color w:val="000000" w:themeColor="text1"/>
          <w14:textFill>
            <w14:solidFill>
              <w14:schemeClr w14:val="tx1"/>
            </w14:solidFill>
          </w14:textFill>
        </w:rPr>
      </w:pPr>
      <w:bookmarkStart w:id="290" w:name="_Toc10272"/>
      <w:bookmarkStart w:id="291" w:name="_Toc32518"/>
      <w:bookmarkStart w:id="292" w:name="_Toc19618"/>
      <w:r>
        <w:rPr>
          <w:rFonts w:hint="eastAsia"/>
          <w:color w:val="000000" w:themeColor="text1"/>
          <w14:textFill>
            <w14:solidFill>
              <w14:schemeClr w14:val="tx1"/>
            </w14:solidFill>
          </w14:textFill>
        </w:rPr>
        <w:t>各单元</w:t>
      </w:r>
      <w:r>
        <w:rPr>
          <w:color w:val="000000" w:themeColor="text1"/>
          <w14:textFill>
            <w14:solidFill>
              <w14:schemeClr w14:val="tx1"/>
            </w14:solidFill>
          </w14:textFill>
        </w:rPr>
        <w:t>采用的评价方法</w:t>
      </w:r>
      <w:bookmarkEnd w:id="290"/>
      <w:bookmarkEnd w:id="291"/>
      <w:bookmarkEnd w:id="292"/>
    </w:p>
    <w:p w14:paraId="1281609A">
      <w:pPr>
        <w:pStyle w:val="12"/>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14:textFill>
            <w14:solidFill>
              <w14:schemeClr w14:val="tx1"/>
            </w14:solidFill>
          </w14:textFill>
        </w:rPr>
        <w:t>评价方法汇总表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3242"/>
        <w:gridCol w:w="4326"/>
      </w:tblGrid>
      <w:tr w14:paraId="69460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6DCEFCF4">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3242" w:type="dxa"/>
            <w:noWrap w:val="0"/>
            <w:vAlign w:val="center"/>
          </w:tcPr>
          <w:p w14:paraId="64E66EBC">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评价单元名称</w:t>
            </w:r>
          </w:p>
        </w:tc>
        <w:tc>
          <w:tcPr>
            <w:tcW w:w="4326" w:type="dxa"/>
            <w:noWrap w:val="0"/>
            <w:vAlign w:val="center"/>
          </w:tcPr>
          <w:p w14:paraId="2220C3F6">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采用的评价方法</w:t>
            </w:r>
          </w:p>
        </w:tc>
      </w:tr>
      <w:tr w14:paraId="1BB0B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3EB03C97">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7608698D">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安全设施“三同时</w:t>
            </w:r>
            <w:r>
              <w:rPr>
                <w:rFonts w:hint="eastAsia" w:ascii="宋体" w:hAnsi="宋体" w:eastAsia="宋体" w:cs="宋体"/>
                <w:color w:val="000000" w:themeColor="text1"/>
                <w:spacing w:val="-63"/>
                <w:sz w:val="21"/>
                <w:szCs w:val="21"/>
                <w14:textFill>
                  <w14:solidFill>
                    <w14:schemeClr w14:val="tx1"/>
                  </w14:solidFill>
                </w14:textFill>
              </w:rPr>
              <w:t xml:space="preserve"> </w:t>
            </w:r>
            <w:r>
              <w:rPr>
                <w:rFonts w:hint="eastAsia" w:ascii="宋体" w:hAnsi="宋体" w:eastAsia="宋体" w:cs="宋体"/>
                <w:color w:val="000000" w:themeColor="text1"/>
                <w:spacing w:val="6"/>
                <w:sz w:val="21"/>
                <w:szCs w:val="21"/>
                <w14:textFill>
                  <w14:solidFill>
                    <w14:schemeClr w14:val="tx1"/>
                  </w14:solidFill>
                </w14:textFill>
              </w:rPr>
              <w:t>”程序单元</w:t>
            </w:r>
          </w:p>
        </w:tc>
        <w:tc>
          <w:tcPr>
            <w:tcW w:w="4326" w:type="dxa"/>
            <w:noWrap w:val="0"/>
            <w:vAlign w:val="center"/>
          </w:tcPr>
          <w:p w14:paraId="6777D8BE">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安全检查表法</w:t>
            </w:r>
          </w:p>
        </w:tc>
      </w:tr>
      <w:tr w14:paraId="73E36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5DD0C0FC">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6094396C">
            <w:pPr>
              <w:pStyle w:val="39"/>
              <w:keepNext w:val="0"/>
              <w:keepLines w:val="0"/>
              <w:pageBreakBefore w:val="0"/>
              <w:widowControl w:val="0"/>
              <w:kinsoku/>
              <w:wordWrap/>
              <w:overflowPunct/>
              <w:topLinePunct w:val="0"/>
              <w:autoSpaceDE/>
              <w:autoSpaceDN/>
              <w:bidi w:val="0"/>
              <w:spacing w:line="360" w:lineRule="exact"/>
              <w:jc w:val="center"/>
              <w:textAlignment w:val="auto"/>
              <w:rPr>
                <w:rFonts w:hint="eastAsia" w:ascii="宋体" w:hAnsi="宋体" w:eastAsia="宋体" w:cs="宋体"/>
                <w:b w:val="0"/>
                <w:bCs/>
                <w:color w:val="000000" w:themeColor="text1"/>
                <w:sz w:val="21"/>
                <w:szCs w:val="21"/>
                <w:lang w:val="en-US" w:eastAsia="zh-CN"/>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总平面布置单元</w:t>
            </w:r>
          </w:p>
        </w:tc>
        <w:tc>
          <w:tcPr>
            <w:tcW w:w="4326" w:type="dxa"/>
            <w:noWrap w:val="0"/>
            <w:vAlign w:val="center"/>
          </w:tcPr>
          <w:p w14:paraId="3EF7212F">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安全检查表法</w:t>
            </w:r>
          </w:p>
        </w:tc>
      </w:tr>
      <w:tr w14:paraId="277EA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295FC292">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p>
        </w:tc>
        <w:tc>
          <w:tcPr>
            <w:tcW w:w="3242" w:type="dxa"/>
            <w:noWrap w:val="0"/>
            <w:vAlign w:val="center"/>
          </w:tcPr>
          <w:p w14:paraId="6090E693">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建（构）筑物等土建工程单元</w:t>
            </w:r>
          </w:p>
        </w:tc>
        <w:tc>
          <w:tcPr>
            <w:tcW w:w="4326" w:type="dxa"/>
            <w:noWrap w:val="0"/>
            <w:vAlign w:val="center"/>
          </w:tcPr>
          <w:p w14:paraId="3745C375">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安全检查表法</w:t>
            </w:r>
          </w:p>
        </w:tc>
      </w:tr>
      <w:tr w14:paraId="0393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0C8C0EAD">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p>
        </w:tc>
        <w:tc>
          <w:tcPr>
            <w:tcW w:w="3242" w:type="dxa"/>
            <w:noWrap w:val="0"/>
            <w:vAlign w:val="center"/>
          </w:tcPr>
          <w:p w14:paraId="3C482884">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光伏发电系统单元</w:t>
            </w:r>
          </w:p>
        </w:tc>
        <w:tc>
          <w:tcPr>
            <w:tcW w:w="4326" w:type="dxa"/>
            <w:noWrap w:val="0"/>
            <w:vAlign w:val="center"/>
          </w:tcPr>
          <w:p w14:paraId="23BB6B5C">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安全检查表法</w:t>
            </w:r>
          </w:p>
        </w:tc>
      </w:tr>
      <w:tr w14:paraId="12390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5450872C">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p>
        </w:tc>
        <w:tc>
          <w:tcPr>
            <w:tcW w:w="3242" w:type="dxa"/>
            <w:noWrap w:val="0"/>
            <w:vAlign w:val="center"/>
          </w:tcPr>
          <w:p w14:paraId="7EE9D70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安全设备设施单元</w:t>
            </w:r>
          </w:p>
        </w:tc>
        <w:tc>
          <w:tcPr>
            <w:tcW w:w="4326" w:type="dxa"/>
            <w:noWrap w:val="0"/>
            <w:vAlign w:val="center"/>
          </w:tcPr>
          <w:p w14:paraId="4B6547A3">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安全检查表法</w:t>
            </w:r>
          </w:p>
        </w:tc>
      </w:tr>
      <w:tr w14:paraId="7A63E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579FB324">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0FB5B097">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公用工程及辅助设施</w:t>
            </w:r>
            <w:r>
              <w:rPr>
                <w:rFonts w:hint="eastAsia" w:ascii="宋体" w:hAnsi="宋体" w:eastAsia="宋体" w:cs="宋体"/>
                <w:color w:val="000000" w:themeColor="text1"/>
                <w:sz w:val="21"/>
                <w:szCs w:val="21"/>
                <w14:textFill>
                  <w14:solidFill>
                    <w14:schemeClr w14:val="tx1"/>
                  </w14:solidFill>
                </w14:textFill>
              </w:rPr>
              <w:t>单元</w:t>
            </w:r>
          </w:p>
        </w:tc>
        <w:tc>
          <w:tcPr>
            <w:tcW w:w="4326" w:type="dxa"/>
            <w:noWrap w:val="0"/>
            <w:vAlign w:val="center"/>
          </w:tcPr>
          <w:p w14:paraId="58C3ED0F">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w:t>
            </w: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法</w:t>
            </w:r>
          </w:p>
        </w:tc>
      </w:tr>
      <w:tr w14:paraId="3427A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11" w:type="dxa"/>
            <w:noWrap w:val="0"/>
            <w:vAlign w:val="center"/>
          </w:tcPr>
          <w:p w14:paraId="021FCE0D">
            <w:pPr>
              <w:pStyle w:val="43"/>
              <w:keepNext w:val="0"/>
              <w:keepLines w:val="0"/>
              <w:pageBreakBefore w:val="0"/>
              <w:widowControl w:val="0"/>
              <w:numPr>
                <w:ilvl w:val="0"/>
                <w:numId w:val="36"/>
              </w:numPr>
              <w:kinsoku/>
              <w:wordWrap/>
              <w:overflowPunct/>
              <w:topLinePunct w:val="0"/>
              <w:autoSpaceDE/>
              <w:autoSpaceDN/>
              <w:bidi w:val="0"/>
              <w:spacing w:line="360" w:lineRule="exact"/>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3242" w:type="dxa"/>
            <w:noWrap w:val="0"/>
            <w:vAlign w:val="center"/>
          </w:tcPr>
          <w:p w14:paraId="4A6B5F20">
            <w:pPr>
              <w:pStyle w:val="39"/>
              <w:keepNext w:val="0"/>
              <w:keepLines w:val="0"/>
              <w:pageBreakBefore w:val="0"/>
              <w:widowControl w:val="0"/>
              <w:kinsoku/>
              <w:wordWrap/>
              <w:overflowPunct/>
              <w:topLinePunct w:val="0"/>
              <w:autoSpaceDE/>
              <w:autoSpaceDN/>
              <w:bidi w:val="0"/>
              <w:spacing w:line="360" w:lineRule="exact"/>
              <w:jc w:val="center"/>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lang w:val="en-US" w:eastAsia="zh-CN"/>
                <w14:textFill>
                  <w14:solidFill>
                    <w14:schemeClr w14:val="tx1"/>
                  </w14:solidFill>
                </w14:textFill>
              </w:rPr>
              <w:t>安全管理</w:t>
            </w:r>
            <w:r>
              <w:rPr>
                <w:rFonts w:hint="eastAsia" w:ascii="宋体" w:hAnsi="宋体" w:eastAsia="宋体" w:cs="宋体"/>
                <w:b w:val="0"/>
                <w:bCs/>
                <w:color w:val="000000" w:themeColor="text1"/>
                <w:sz w:val="21"/>
                <w:szCs w:val="21"/>
                <w14:textFill>
                  <w14:solidFill>
                    <w14:schemeClr w14:val="tx1"/>
                  </w14:solidFill>
                </w14:textFill>
              </w:rPr>
              <w:t>单元</w:t>
            </w:r>
          </w:p>
        </w:tc>
        <w:tc>
          <w:tcPr>
            <w:tcW w:w="4326" w:type="dxa"/>
            <w:noWrap w:val="0"/>
            <w:vAlign w:val="center"/>
          </w:tcPr>
          <w:p w14:paraId="65C94091">
            <w:pPr>
              <w:pStyle w:val="39"/>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val="0"/>
                <w:bCs/>
                <w:color w:val="000000" w:themeColor="text1"/>
                <w:sz w:val="21"/>
                <w:szCs w:val="21"/>
                <w14:textFill>
                  <w14:solidFill>
                    <w14:schemeClr w14:val="tx1"/>
                  </w14:solidFill>
                </w14:textFill>
              </w:rPr>
            </w:pPr>
            <w:r>
              <w:rPr>
                <w:rFonts w:hint="eastAsia" w:ascii="宋体" w:hAnsi="宋体" w:eastAsia="宋体" w:cs="宋体"/>
                <w:b w:val="0"/>
                <w:bCs/>
                <w:color w:val="000000" w:themeColor="text1"/>
                <w:sz w:val="21"/>
                <w:szCs w:val="21"/>
                <w14:textFill>
                  <w14:solidFill>
                    <w14:schemeClr w14:val="tx1"/>
                  </w14:solidFill>
                </w14:textFill>
              </w:rPr>
              <w:t>安全检查表</w:t>
            </w:r>
            <w:r>
              <w:rPr>
                <w:rFonts w:hint="eastAsia" w:ascii="宋体" w:hAnsi="宋体" w:eastAsia="宋体" w:cs="宋体"/>
                <w:b w:val="0"/>
                <w:bCs/>
                <w:color w:val="000000" w:themeColor="text1"/>
                <w:kern w:val="2"/>
                <w:sz w:val="21"/>
                <w:szCs w:val="21"/>
                <w:lang w:val="en-US" w:eastAsia="zh-CN" w:bidi="ar-SA"/>
                <w14:textFill>
                  <w14:solidFill>
                    <w14:schemeClr w14:val="tx1"/>
                  </w14:solidFill>
                </w14:textFill>
              </w:rPr>
              <w:t>法</w:t>
            </w:r>
          </w:p>
        </w:tc>
      </w:tr>
    </w:tbl>
    <w:p w14:paraId="0BE97E7E">
      <w:pPr>
        <w:pStyle w:val="27"/>
        <w:keepNext w:val="0"/>
        <w:keepLines w:val="0"/>
        <w:pageBreakBefore w:val="0"/>
        <w:widowControl w:val="0"/>
        <w:tabs>
          <w:tab w:val="left" w:pos="3780"/>
        </w:tabs>
        <w:kinsoku/>
        <w:bidi w:val="0"/>
        <w:spacing w:after="0"/>
        <w:ind w:left="0" w:leftChars="0" w:firstLine="560"/>
        <w:rPr>
          <w:rFonts w:hint="default" w:ascii="Times New Roman" w:hAnsi="Times New Roman"/>
          <w:bCs w:val="0"/>
          <w:color w:val="000000" w:themeColor="text1"/>
          <w:spacing w:val="0"/>
          <w:kern w:val="2"/>
          <w:lang w:val="en-US" w:eastAsia="zh-CN"/>
          <w14:textFill>
            <w14:solidFill>
              <w14:schemeClr w14:val="tx1"/>
            </w14:solidFill>
          </w14:textFill>
        </w:rPr>
        <w:sectPr>
          <w:pgSz w:w="11906" w:h="16838"/>
          <w:pgMar w:top="1417" w:right="1417" w:bottom="1417" w:left="1587" w:header="851" w:footer="992" w:gutter="0"/>
          <w:pgNumType w:fmt="decimal"/>
          <w:cols w:space="0" w:num="1"/>
          <w:rtlGutter w:val="0"/>
          <w:docGrid w:type="lines" w:linePitch="318" w:charSpace="0"/>
        </w:sectPr>
      </w:pPr>
    </w:p>
    <w:p w14:paraId="6FCEC858">
      <w:pPr>
        <w:pStyle w:val="2"/>
        <w:bidi w:val="0"/>
        <w:rPr>
          <w:rFonts w:hint="default"/>
          <w:color w:val="000000" w:themeColor="text1"/>
          <w:lang w:val="en-US" w:eastAsia="zh-CN"/>
          <w14:textFill>
            <w14:solidFill>
              <w14:schemeClr w14:val="tx1"/>
            </w14:solidFill>
          </w14:textFill>
        </w:rPr>
      </w:pPr>
      <w:bookmarkStart w:id="293" w:name="_Toc2093"/>
      <w:bookmarkStart w:id="294" w:name="_Toc11157"/>
      <w:bookmarkStart w:id="295" w:name="_Toc10239"/>
      <w:r>
        <w:rPr>
          <w:rFonts w:hint="eastAsia"/>
          <w:color w:val="000000" w:themeColor="text1"/>
          <w14:textFill>
            <w14:solidFill>
              <w14:schemeClr w14:val="tx1"/>
            </w14:solidFill>
          </w14:textFill>
        </w:rPr>
        <w:t>定性、定量评价</w:t>
      </w:r>
      <w:bookmarkEnd w:id="293"/>
      <w:bookmarkEnd w:id="294"/>
      <w:bookmarkEnd w:id="295"/>
    </w:p>
    <w:p w14:paraId="40BE744B">
      <w:pPr>
        <w:pStyle w:val="3"/>
        <w:bidi w:val="0"/>
        <w:rPr>
          <w:rFonts w:hint="eastAsia"/>
          <w:color w:val="000000" w:themeColor="text1"/>
          <w:lang w:val="en-US" w:eastAsia="zh-CN"/>
          <w14:textFill>
            <w14:solidFill>
              <w14:schemeClr w14:val="tx1"/>
            </w14:solidFill>
          </w14:textFill>
        </w:rPr>
      </w:pPr>
      <w:bookmarkStart w:id="296" w:name="_Toc28479"/>
      <w:bookmarkStart w:id="297" w:name="_Toc21688"/>
      <w:bookmarkStart w:id="298" w:name="_Toc28275"/>
      <w:r>
        <w:rPr>
          <w:rFonts w:hint="eastAsia"/>
          <w:color w:val="000000" w:themeColor="text1"/>
          <w:lang w:val="en-US" w:eastAsia="zh-CN"/>
          <w14:textFill>
            <w14:solidFill>
              <w14:schemeClr w14:val="tx1"/>
            </w14:solidFill>
          </w14:textFill>
        </w:rPr>
        <w:t>安全设施“三同时”程序单元</w:t>
      </w:r>
      <w:bookmarkEnd w:id="296"/>
      <w:bookmarkEnd w:id="297"/>
      <w:bookmarkEnd w:id="298"/>
    </w:p>
    <w:p w14:paraId="56B7567D">
      <w:pPr>
        <w:pStyle w:val="4"/>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安全设施“三同时”程序符合性评价</w:t>
      </w:r>
    </w:p>
    <w:p w14:paraId="14F21668">
      <w:pPr>
        <w:pStyle w:val="12"/>
        <w:keepNext w:val="0"/>
        <w:keepLines w:val="0"/>
        <w:pageBreakBefore w:val="0"/>
        <w:widowControl w:val="0"/>
        <w:kinsoku/>
        <w:wordWrap/>
        <w:overflowPunct/>
        <w:topLinePunct w:val="0"/>
        <w:autoSpaceDE/>
        <w:autoSpaceDN/>
        <w:bidi w:val="0"/>
        <w:adjustRightInd/>
        <w:snapToGrid/>
        <w:spacing w:line="500" w:lineRule="exact"/>
        <w:ind w:firstLine="568" w:firstLineChars="200"/>
        <w:textAlignment w:val="auto"/>
        <w:rPr>
          <w:b w:val="0"/>
          <w:bCs/>
          <w:color w:val="000000" w:themeColor="text1"/>
          <w:spacing w:val="-2"/>
          <w:sz w:val="28"/>
          <w:szCs w:val="28"/>
          <w14:textFill>
            <w14:solidFill>
              <w14:schemeClr w14:val="tx1"/>
            </w14:solidFill>
          </w14:textFill>
        </w:rPr>
      </w:pPr>
      <w:r>
        <w:rPr>
          <w:b w:val="0"/>
          <w:bCs/>
          <w:color w:val="000000" w:themeColor="text1"/>
          <w:spacing w:val="2"/>
          <w:sz w:val="28"/>
          <w:szCs w:val="28"/>
          <w14:textFill>
            <w14:solidFill>
              <w14:schemeClr w14:val="tx1"/>
            </w14:solidFill>
          </w14:textFill>
        </w:rPr>
        <w:t>根据《中华人民共和国安全生产法》《建设项目安全设施“三同时</w:t>
      </w:r>
      <w:r>
        <w:rPr>
          <w:b w:val="0"/>
          <w:bCs/>
          <w:color w:val="000000" w:themeColor="text1"/>
          <w:spacing w:val="-97"/>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”监督</w:t>
      </w:r>
      <w:r>
        <w:rPr>
          <w:b w:val="0"/>
          <w:bCs/>
          <w:color w:val="000000" w:themeColor="text1"/>
          <w:spacing w:val="-2"/>
          <w:sz w:val="28"/>
          <w:szCs w:val="28"/>
          <w14:textFill>
            <w14:solidFill>
              <w14:schemeClr w14:val="tx1"/>
            </w14:solidFill>
          </w14:textFill>
        </w:rPr>
        <w:t>管理办法》（原国家安全生产监督管理总局令</w:t>
      </w:r>
      <w:r>
        <w:rPr>
          <w:b w:val="0"/>
          <w:bCs/>
          <w:color w:val="000000" w:themeColor="text1"/>
          <w:spacing w:val="-51"/>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36</w:t>
      </w:r>
      <w:r>
        <w:rPr>
          <w:b w:val="0"/>
          <w:bCs/>
          <w:color w:val="000000" w:themeColor="text1"/>
          <w:spacing w:val="-54"/>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号）的规定要求，采</w:t>
      </w:r>
    </w:p>
    <w:p w14:paraId="26DEC2A2">
      <w:pPr>
        <w:pStyle w:val="12"/>
        <w:keepNext w:val="0"/>
        <w:keepLines w:val="0"/>
        <w:pageBreakBefore w:val="0"/>
        <w:widowControl w:val="0"/>
        <w:kinsoku/>
        <w:wordWrap/>
        <w:overflowPunct/>
        <w:topLinePunct w:val="0"/>
        <w:autoSpaceDE/>
        <w:autoSpaceDN/>
        <w:bidi w:val="0"/>
        <w:adjustRightInd/>
        <w:snapToGrid/>
        <w:spacing w:line="500" w:lineRule="exact"/>
        <w:jc w:val="both"/>
        <w:textAlignment w:val="auto"/>
        <w:rPr>
          <w:b w:val="0"/>
          <w:bCs/>
          <w:color w:val="000000" w:themeColor="text1"/>
          <w:sz w:val="28"/>
          <w:szCs w:val="28"/>
          <w14:textFill>
            <w14:solidFill>
              <w14:schemeClr w14:val="tx1"/>
            </w14:solidFill>
          </w14:textFill>
        </w:rPr>
      </w:pPr>
      <w:r>
        <w:rPr>
          <w:b w:val="0"/>
          <w:bCs/>
          <w:color w:val="000000" w:themeColor="text1"/>
          <w:spacing w:val="-2"/>
          <w:sz w:val="28"/>
          <w:szCs w:val="28"/>
          <w14:textFill>
            <w14:solidFill>
              <w14:schemeClr w14:val="tx1"/>
            </w14:solidFill>
          </w14:textFill>
        </w:rPr>
        <w:t>用安全检查表检查核实该电站建设项目是否满足“三同时</w:t>
      </w:r>
      <w:r>
        <w:rPr>
          <w:b w:val="0"/>
          <w:bCs/>
          <w:color w:val="000000" w:themeColor="text1"/>
          <w:spacing w:val="-91"/>
          <w:sz w:val="28"/>
          <w:szCs w:val="28"/>
          <w14:textFill>
            <w14:solidFill>
              <w14:schemeClr w14:val="tx1"/>
            </w14:solidFill>
          </w14:textFill>
        </w:rPr>
        <w:t xml:space="preserve"> </w:t>
      </w:r>
      <w:r>
        <w:rPr>
          <w:b w:val="0"/>
          <w:bCs/>
          <w:color w:val="000000" w:themeColor="text1"/>
          <w:spacing w:val="-2"/>
          <w:sz w:val="28"/>
          <w:szCs w:val="28"/>
          <w14:textFill>
            <w14:solidFill>
              <w14:schemeClr w14:val="tx1"/>
            </w14:solidFill>
          </w14:textFill>
        </w:rPr>
        <w:t>”要求的符合性检查。</w:t>
      </w:r>
    </w:p>
    <w:p w14:paraId="1CA3B6B3">
      <w:pPr>
        <w:pStyle w:val="12"/>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法规符合性安全检查表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1732"/>
        <w:gridCol w:w="2761"/>
        <w:gridCol w:w="2298"/>
        <w:gridCol w:w="959"/>
        <w:gridCol w:w="825"/>
      </w:tblGrid>
      <w:tr w14:paraId="6088B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37EAEC9D">
            <w:pPr>
              <w:pStyle w:val="39"/>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950" w:type="pct"/>
            <w:tcBorders>
              <w:top w:val="single" w:color="auto" w:sz="4" w:space="0"/>
              <w:left w:val="single" w:color="auto" w:sz="4" w:space="0"/>
              <w:bottom w:val="single" w:color="auto" w:sz="4" w:space="0"/>
              <w:right w:val="single" w:color="auto" w:sz="4" w:space="0"/>
            </w:tcBorders>
            <w:noWrap w:val="0"/>
            <w:vAlign w:val="center"/>
          </w:tcPr>
          <w:p w14:paraId="63A71B84">
            <w:pPr>
              <w:pStyle w:val="39"/>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检查内容</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2E76B6F1">
            <w:pPr>
              <w:pStyle w:val="39"/>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依据标准</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77CE0235">
            <w:pPr>
              <w:pStyle w:val="39"/>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检查情况</w:t>
            </w:r>
          </w:p>
        </w:tc>
        <w:tc>
          <w:tcPr>
            <w:tcW w:w="526" w:type="pct"/>
            <w:tcBorders>
              <w:top w:val="single" w:color="auto" w:sz="4" w:space="0"/>
              <w:left w:val="single" w:color="auto" w:sz="4" w:space="0"/>
              <w:bottom w:val="single" w:color="auto" w:sz="4" w:space="0"/>
              <w:right w:val="single" w:color="auto" w:sz="4" w:space="0"/>
            </w:tcBorders>
            <w:noWrap w:val="0"/>
            <w:vAlign w:val="center"/>
          </w:tcPr>
          <w:p w14:paraId="36B819FF">
            <w:pPr>
              <w:pStyle w:val="39"/>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检查</w:t>
            </w:r>
          </w:p>
          <w:p w14:paraId="4CCB67F3">
            <w:pPr>
              <w:pStyle w:val="39"/>
              <w:keepNext w:val="0"/>
              <w:keepLines w:val="0"/>
              <w:pageBreakBefore w:val="0"/>
              <w:widowControl w:val="0"/>
              <w:kinsoku/>
              <w:wordWrap/>
              <w:overflowPunct/>
              <w:topLinePunct w:val="0"/>
              <w:autoSpaceDE/>
              <w:autoSpaceDN/>
              <w:bidi w:val="0"/>
              <w:spacing w:line="240" w:lineRule="auto"/>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类别</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E66D52">
            <w:pPr>
              <w:pStyle w:val="39"/>
              <w:keepNext w:val="0"/>
              <w:keepLines w:val="0"/>
              <w:pageBreakBefore w:val="0"/>
              <w:widowControl w:val="0"/>
              <w:kinsoku/>
              <w:wordWrap/>
              <w:overflowPunct/>
              <w:topLinePunct w:val="0"/>
              <w:autoSpaceDE/>
              <w:autoSpaceDN/>
              <w:bidi w:val="0"/>
              <w:spacing w:line="240" w:lineRule="auto"/>
              <w:ind w:firstLine="0" w:firstLineChars="0"/>
              <w:textAlignment w:val="auto"/>
              <w:rPr>
                <w:rFonts w:hint="eastAsia" w:ascii="宋体" w:hAnsi="宋体" w:eastAsia="宋体" w:cs="宋体"/>
                <w:b/>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结论</w:t>
            </w:r>
          </w:p>
        </w:tc>
      </w:tr>
      <w:tr w14:paraId="3139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4850ECD9">
            <w:pPr>
              <w:pStyle w:val="43"/>
              <w:keepNext w:val="0"/>
              <w:keepLines w:val="0"/>
              <w:pageBreakBefore w:val="0"/>
              <w:widowControl w:val="0"/>
              <w:numPr>
                <w:ilvl w:val="0"/>
                <w:numId w:val="37"/>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5A87DDAB">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安</w:t>
            </w:r>
            <w:r>
              <w:rPr>
                <w:rFonts w:hint="eastAsia" w:ascii="宋体" w:hAnsi="宋体" w:eastAsia="宋体" w:cs="宋体"/>
                <w:color w:val="000000" w:themeColor="text1"/>
                <w:spacing w:val="-27"/>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全</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生</w:t>
            </w:r>
            <w:r>
              <w:rPr>
                <w:rFonts w:hint="eastAsia" w:ascii="宋体" w:hAnsi="宋体" w:eastAsia="宋体" w:cs="宋体"/>
                <w:color w:val="000000" w:themeColor="text1"/>
                <w:spacing w:val="-27"/>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产</w:t>
            </w:r>
            <w:r>
              <w:rPr>
                <w:rFonts w:hint="eastAsia" w:ascii="宋体" w:hAnsi="宋体" w:eastAsia="宋体" w:cs="宋体"/>
                <w:color w:val="000000" w:themeColor="text1"/>
                <w:sz w:val="21"/>
                <w:szCs w:val="21"/>
                <w14:textFill>
                  <w14:solidFill>
                    <w14:schemeClr w14:val="tx1"/>
                  </w14:solidFill>
                </w14:textFill>
              </w:rPr>
              <w:t xml:space="preserve"> 条</w:t>
            </w:r>
            <w:r>
              <w:rPr>
                <w:rFonts w:hint="eastAsia" w:ascii="宋体" w:hAnsi="宋体" w:eastAsia="宋体" w:cs="宋体"/>
                <w:color w:val="000000" w:themeColor="text1"/>
                <w:spacing w:val="-29"/>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件</w:t>
            </w:r>
            <w:r>
              <w:rPr>
                <w:rFonts w:hint="eastAsia" w:ascii="宋体" w:hAnsi="宋体" w:eastAsia="宋体" w:cs="宋体"/>
                <w:color w:val="000000" w:themeColor="text1"/>
                <w:spacing w:val="-29"/>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和</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 xml:space="preserve">设 </w:t>
            </w:r>
            <w:r>
              <w:rPr>
                <w:rFonts w:hint="eastAsia" w:ascii="宋体" w:hAnsi="宋体" w:eastAsia="宋体" w:cs="宋体"/>
                <w:color w:val="000000" w:themeColor="text1"/>
                <w:spacing w:val="-1"/>
                <w:sz w:val="21"/>
                <w:szCs w:val="21"/>
                <w14:textFill>
                  <w14:solidFill>
                    <w14:schemeClr w14:val="tx1"/>
                  </w14:solidFill>
                </w14:textFill>
              </w:rPr>
              <w:t>施</w:t>
            </w:r>
            <w:r>
              <w:rPr>
                <w:rFonts w:hint="eastAsia" w:ascii="宋体" w:hAnsi="宋体" w:eastAsia="宋体" w:cs="宋体"/>
                <w:color w:val="000000" w:themeColor="text1"/>
                <w:spacing w:val="-24"/>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综</w:t>
            </w:r>
            <w:r>
              <w:rPr>
                <w:rFonts w:hint="eastAsia" w:ascii="宋体" w:hAnsi="宋体" w:eastAsia="宋体" w:cs="宋体"/>
                <w:color w:val="000000" w:themeColor="text1"/>
                <w:spacing w:val="-29"/>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合</w:t>
            </w:r>
            <w:r>
              <w:rPr>
                <w:rFonts w:hint="eastAsia" w:ascii="宋体" w:hAnsi="宋体" w:eastAsia="宋体" w:cs="宋体"/>
                <w:color w:val="000000" w:themeColor="text1"/>
                <w:spacing w:val="-24"/>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分</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析报告</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03958816">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《建设项目设施“三同时”监督管理办法》（国家安全生产监督管理总局令36号，国家安全生产监督管理总局令第77号修订）第九条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23D662B6">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本项目编制可研究阶段时，企业202</w:t>
            </w:r>
            <w:r>
              <w:rPr>
                <w:rFonts w:hint="eastAsia" w:ascii="宋体" w:hAnsi="宋体" w:cs="宋体"/>
                <w:color w:val="000000" w:themeColor="text1"/>
                <w:kern w:val="2"/>
                <w:sz w:val="21"/>
                <w:szCs w:val="21"/>
                <w:lang w:val="en-US" w:eastAsia="zh-CN" w:bidi="ar-SA"/>
                <w14:textFill>
                  <w14:solidFill>
                    <w14:schemeClr w14:val="tx1"/>
                  </w14:solidFill>
                </w14:textFill>
              </w:rPr>
              <w:t>2</w:t>
            </w:r>
            <w:r>
              <w:rPr>
                <w:rFonts w:hint="eastAsia" w:ascii="宋体" w:hAnsi="宋体" w:eastAsia="宋体" w:cs="宋体"/>
                <w:color w:val="000000" w:themeColor="text1"/>
                <w:kern w:val="2"/>
                <w:sz w:val="21"/>
                <w:szCs w:val="21"/>
                <w:lang w:val="en-US" w:eastAsia="zh-CN" w:bidi="ar-SA"/>
                <w14:textFill>
                  <w14:solidFill>
                    <w14:schemeClr w14:val="tx1"/>
                  </w14:solidFill>
                </w14:textFill>
              </w:rPr>
              <w:t>年</w:t>
            </w:r>
            <w:r>
              <w:rPr>
                <w:rFonts w:hint="eastAsia" w:ascii="宋体" w:hAnsi="宋体" w:cs="宋体"/>
                <w:color w:val="000000" w:themeColor="text1"/>
                <w:kern w:val="2"/>
                <w:sz w:val="21"/>
                <w:szCs w:val="21"/>
                <w:lang w:val="en-US" w:eastAsia="zh-CN" w:bidi="ar-SA"/>
                <w14:textFill>
                  <w14:solidFill>
                    <w14:schemeClr w14:val="tx1"/>
                  </w14:solidFill>
                </w14:textFill>
              </w:rPr>
              <w:t>12</w:t>
            </w:r>
            <w:r>
              <w:rPr>
                <w:rFonts w:hint="eastAsia" w:ascii="宋体" w:hAnsi="宋体" w:eastAsia="宋体" w:cs="宋体"/>
                <w:color w:val="000000" w:themeColor="text1"/>
                <w:kern w:val="2"/>
                <w:sz w:val="21"/>
                <w:szCs w:val="21"/>
                <w:lang w:val="en-US" w:eastAsia="zh-CN" w:bidi="ar-SA"/>
                <w14:textFill>
                  <w14:solidFill>
                    <w14:schemeClr w14:val="tx1"/>
                  </w14:solidFill>
                </w14:textFill>
              </w:rPr>
              <w:t>月委托</w:t>
            </w:r>
            <w:r>
              <w:rPr>
                <w:rFonts w:hint="eastAsia" w:eastAsiaTheme="minorEastAsia"/>
                <w:color w:val="000000" w:themeColor="text1"/>
                <w:lang w:val="en-US" w:eastAsia="zh-CN"/>
                <w14:textFill>
                  <w14:solidFill>
                    <w14:schemeClr w14:val="tx1"/>
                  </w14:solidFill>
                </w14:textFill>
              </w:rPr>
              <w:t>贵州昊华工程技术有限公司</w:t>
            </w:r>
            <w:r>
              <w:rPr>
                <w:rFonts w:hint="eastAsia" w:ascii="宋体" w:hAnsi="宋体" w:eastAsia="宋体" w:cs="宋体"/>
                <w:color w:val="000000" w:themeColor="text1"/>
                <w:kern w:val="2"/>
                <w:sz w:val="21"/>
                <w:szCs w:val="21"/>
                <w:lang w:val="en-US" w:eastAsia="zh-CN" w:bidi="ar-SA"/>
                <w14:textFill>
                  <w14:solidFill>
                    <w14:schemeClr w14:val="tx1"/>
                  </w14:solidFill>
                </w14:textFill>
              </w:rPr>
              <w:t>编制完成了安全生产条件和设施进行综合分析报告。</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2DC8DD7C">
            <w:pPr>
              <w:spacing w:line="452"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668FEC1">
            <w:pPr>
              <w:pStyle w:val="42"/>
              <w:spacing w:before="65"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一般项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BF77DC">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18E6D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7535B573">
            <w:pPr>
              <w:pStyle w:val="43"/>
              <w:keepNext w:val="0"/>
              <w:keepLines w:val="0"/>
              <w:pageBreakBefore w:val="0"/>
              <w:widowControl w:val="0"/>
              <w:numPr>
                <w:ilvl w:val="0"/>
                <w:numId w:val="37"/>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0346828C">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安全设施设计</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25D0D643">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《建设项目设施“三同时”监督管理办法》（国家安全生产监督管理总局令36号，国家安全生产监督管理总局令第77号修订）第十条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0AFC2B1D">
            <w:pPr>
              <w:spacing w:before="97" w:line="221" w:lineRule="auto"/>
              <w:ind w:left="0" w:leftChars="0"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2024年4月由中舜国际工程设计有限公司完成安全设施设计。</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54FFF007">
            <w:pPr>
              <w:spacing w:before="97" w:line="221" w:lineRule="auto"/>
              <w:ind w:left="0" w:leftChars="0"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712FAFB">
            <w:pPr>
              <w:spacing w:before="97" w:line="221" w:lineRule="auto"/>
              <w:ind w:left="0" w:leftChars="0" w:firstLine="0"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否决项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217526">
            <w:pPr>
              <w:spacing w:before="97" w:line="221" w:lineRule="auto"/>
              <w:ind w:left="0" w:leftChars="0"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3B1B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183D49FB">
            <w:pPr>
              <w:pStyle w:val="43"/>
              <w:keepNext w:val="0"/>
              <w:keepLines w:val="0"/>
              <w:pageBreakBefore w:val="0"/>
              <w:widowControl w:val="0"/>
              <w:numPr>
                <w:ilvl w:val="0"/>
                <w:numId w:val="37"/>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165D6CC2">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施</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工</w:t>
            </w:r>
            <w:r>
              <w:rPr>
                <w:rFonts w:hint="eastAsia" w:ascii="宋体" w:hAnsi="宋体" w:eastAsia="宋体" w:cs="宋体"/>
                <w:color w:val="000000" w:themeColor="text1"/>
                <w:spacing w:val="-24"/>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总</w:t>
            </w:r>
            <w:r>
              <w:rPr>
                <w:rFonts w:hint="eastAsia" w:ascii="宋体" w:hAnsi="宋体" w:eastAsia="宋体" w:cs="宋体"/>
                <w:color w:val="000000" w:themeColor="text1"/>
                <w:spacing w:val="-22"/>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结</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报告</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247F47C9">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《建设项目设施“三同时”监督管理办法》（国家安全生产监督管理总局令36号，国家安全生产监督管理总局令第77号修订）第十七条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61E8EB7A">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施工单位：中国水利水电第九工程局有限公司。电力工程施工总承包</w:t>
            </w:r>
            <w:r>
              <w:rPr>
                <w:rFonts w:hint="eastAsia" w:ascii="宋体" w:hAnsi="宋体" w:eastAsia="宋体" w:cs="宋体"/>
                <w:color w:val="000000" w:themeColor="text1"/>
                <w:spacing w:val="9"/>
                <w:sz w:val="21"/>
                <w:szCs w:val="21"/>
                <w14:textFill>
                  <w14:solidFill>
                    <w14:schemeClr w14:val="tx1"/>
                  </w14:solidFill>
                </w14:textFill>
              </w:rPr>
              <w:t>壹</w:t>
            </w:r>
            <w:r>
              <w:rPr>
                <w:rFonts w:hint="eastAsia" w:ascii="宋体" w:hAnsi="宋体" w:eastAsia="宋体" w:cs="宋体"/>
                <w:color w:val="000000" w:themeColor="text1"/>
                <w:kern w:val="2"/>
                <w:sz w:val="21"/>
                <w:szCs w:val="21"/>
                <w:lang w:val="en-US" w:eastAsia="zh-CN" w:bidi="ar-SA"/>
                <w14:textFill>
                  <w14:solidFill>
                    <w14:schemeClr w14:val="tx1"/>
                  </w14:solidFill>
                </w14:textFill>
              </w:rPr>
              <w:t>级资质。</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1AF3AD82">
            <w:pPr>
              <w:spacing w:line="259"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3BDF84F3">
            <w:pPr>
              <w:spacing w:line="260"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74DCDC7C">
            <w:pPr>
              <w:pStyle w:val="42"/>
              <w:spacing w:before="65"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否决项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1A0301">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2FACF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36E7FE7F">
            <w:pPr>
              <w:pStyle w:val="43"/>
              <w:keepNext w:val="0"/>
              <w:keepLines w:val="0"/>
              <w:pageBreakBefore w:val="0"/>
              <w:widowControl w:val="0"/>
              <w:numPr>
                <w:ilvl w:val="0"/>
                <w:numId w:val="37"/>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0642600F">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监</w:t>
            </w:r>
            <w:r>
              <w:rPr>
                <w:rFonts w:hint="eastAsia" w:ascii="宋体" w:hAnsi="宋体" w:eastAsia="宋体" w:cs="宋体"/>
                <w:color w:val="000000" w:themeColor="text1"/>
                <w:spacing w:val="-25"/>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理</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工</w:t>
            </w:r>
            <w:r>
              <w:rPr>
                <w:rFonts w:hint="eastAsia" w:ascii="宋体" w:hAnsi="宋体" w:eastAsia="宋体" w:cs="宋体"/>
                <w:color w:val="000000" w:themeColor="text1"/>
                <w:spacing w:val="-26"/>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作</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总结报告</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045520E4">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w:t>
            </w:r>
            <w:r>
              <w:rPr>
                <w:rFonts w:hint="eastAsia" w:ascii="宋体" w:hAnsi="宋体" w:eastAsia="宋体" w:cs="宋体"/>
                <w:color w:val="000000" w:themeColor="text1"/>
                <w:sz w:val="21"/>
                <w:szCs w:val="21"/>
                <w:lang w:val="en-US" w:eastAsia="zh-CN"/>
                <w14:textFill>
                  <w14:solidFill>
                    <w14:schemeClr w14:val="tx1"/>
                  </w14:solidFill>
                </w14:textFill>
              </w:rPr>
              <w:t>二十条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08266CF9">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由</w:t>
            </w:r>
            <w:r>
              <w:rPr>
                <w:rFonts w:hint="eastAsia" w:ascii="宋体" w:hAnsi="宋体" w:eastAsia="宋体" w:cs="宋体"/>
                <w:color w:val="000000" w:themeColor="text1"/>
                <w:sz w:val="21"/>
                <w:szCs w:val="21"/>
                <w:lang w:val="en-US" w:eastAsia="zh-CN"/>
                <w14:textFill>
                  <w14:solidFill>
                    <w14:schemeClr w14:val="tx1"/>
                  </w14:solidFill>
                </w14:textFill>
              </w:rPr>
              <w:t>江西同济建设项目管理股份有限公司</w:t>
            </w:r>
            <w:r>
              <w:rPr>
                <w:rFonts w:hint="eastAsia" w:ascii="宋体" w:hAnsi="宋体" w:eastAsia="宋体" w:cs="宋体"/>
                <w:color w:val="000000" w:themeColor="text1"/>
                <w:sz w:val="21"/>
                <w:szCs w:val="21"/>
                <w14:textFill>
                  <w14:solidFill>
                    <w14:schemeClr w14:val="tx1"/>
                  </w14:solidFill>
                </w14:textFill>
              </w:rPr>
              <w:t>负责监理工作。</w:t>
            </w:r>
            <w:r>
              <w:rPr>
                <w:rFonts w:hint="eastAsia" w:ascii="宋体" w:hAnsi="宋体" w:eastAsia="宋体" w:cs="宋体"/>
                <w:color w:val="000000" w:themeColor="text1"/>
                <w:sz w:val="21"/>
                <w:szCs w:val="21"/>
                <w:lang w:val="en-US" w:eastAsia="zh-CN"/>
                <w14:textFill>
                  <w14:solidFill>
                    <w14:schemeClr w14:val="tx1"/>
                  </w14:solidFill>
                </w14:textFill>
              </w:rPr>
              <w:t>江西同济建设项目管理股份有限公司</w:t>
            </w:r>
            <w:r>
              <w:rPr>
                <w:rFonts w:hint="eastAsia" w:ascii="宋体" w:hAnsi="宋体" w:eastAsia="宋体" w:cs="宋体"/>
                <w:color w:val="000000" w:themeColor="text1"/>
                <w:sz w:val="21"/>
                <w:szCs w:val="21"/>
                <w14:textFill>
                  <w14:solidFill>
                    <w14:schemeClr w14:val="tx1"/>
                  </w14:solidFill>
                </w14:textFill>
              </w:rPr>
              <w:t>对施工质量严格控制，提供有监理总结报告。</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0CD6AC91">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lang w:val="en-US" w:eastAsia="zh-CN"/>
                <w14:textFill>
                  <w14:solidFill>
                    <w14:schemeClr w14:val="tx1"/>
                  </w14:solidFill>
                </w14:textFill>
              </w:rPr>
            </w:pPr>
          </w:p>
          <w:p w14:paraId="283CF1C9">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一般项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275022">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1A4FC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tcBorders>
              <w:top w:val="single" w:color="auto" w:sz="4" w:space="0"/>
              <w:left w:val="single" w:color="auto" w:sz="4" w:space="0"/>
              <w:bottom w:val="single" w:color="auto" w:sz="4" w:space="0"/>
              <w:right w:val="single" w:color="auto" w:sz="4" w:space="0"/>
            </w:tcBorders>
            <w:noWrap w:val="0"/>
            <w:vAlign w:val="center"/>
          </w:tcPr>
          <w:p w14:paraId="0B97B5F1">
            <w:pPr>
              <w:pStyle w:val="43"/>
              <w:keepNext w:val="0"/>
              <w:keepLines w:val="0"/>
              <w:pageBreakBefore w:val="0"/>
              <w:widowControl w:val="0"/>
              <w:numPr>
                <w:ilvl w:val="0"/>
                <w:numId w:val="37"/>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color w:val="000000" w:themeColor="text1"/>
                <w:sz w:val="21"/>
                <w:szCs w:val="21"/>
                <w14:textFill>
                  <w14:solidFill>
                    <w14:schemeClr w14:val="tx1"/>
                  </w14:solidFill>
                </w14:textFill>
              </w:rPr>
            </w:pPr>
          </w:p>
        </w:tc>
        <w:tc>
          <w:tcPr>
            <w:tcW w:w="950" w:type="pct"/>
            <w:tcBorders>
              <w:top w:val="single" w:color="auto" w:sz="4" w:space="0"/>
              <w:left w:val="single" w:color="auto" w:sz="4" w:space="0"/>
              <w:bottom w:val="single" w:color="auto" w:sz="4" w:space="0"/>
              <w:right w:val="single" w:color="auto" w:sz="4" w:space="0"/>
            </w:tcBorders>
            <w:noWrap w:val="0"/>
            <w:vAlign w:val="center"/>
          </w:tcPr>
          <w:p w14:paraId="564B4650">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
                <w:sz w:val="21"/>
                <w:szCs w:val="21"/>
                <w14:textFill>
                  <w14:solidFill>
                    <w14:schemeClr w14:val="tx1"/>
                  </w14:solidFill>
                </w14:textFill>
              </w:rPr>
              <w:t>安</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全</w:t>
            </w:r>
            <w:r>
              <w:rPr>
                <w:rFonts w:hint="eastAsia" w:ascii="宋体" w:hAnsi="宋体" w:eastAsia="宋体" w:cs="宋体"/>
                <w:color w:val="000000" w:themeColor="text1"/>
                <w:spacing w:val="-26"/>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设</w:t>
            </w:r>
            <w:r>
              <w:rPr>
                <w:rFonts w:hint="eastAsia" w:ascii="宋体" w:hAnsi="宋体" w:eastAsia="宋体" w:cs="宋体"/>
                <w:color w:val="000000" w:themeColor="text1"/>
                <w:spacing w:val="-28"/>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施</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验收评价</w:t>
            </w:r>
          </w:p>
        </w:tc>
        <w:tc>
          <w:tcPr>
            <w:tcW w:w="1514" w:type="pct"/>
            <w:tcBorders>
              <w:top w:val="single" w:color="auto" w:sz="4" w:space="0"/>
              <w:left w:val="single" w:color="auto" w:sz="4" w:space="0"/>
              <w:bottom w:val="single" w:color="auto" w:sz="4" w:space="0"/>
              <w:right w:val="single" w:color="auto" w:sz="4" w:space="0"/>
            </w:tcBorders>
            <w:noWrap w:val="0"/>
            <w:vAlign w:val="center"/>
          </w:tcPr>
          <w:p w14:paraId="786FC861">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《建设项目设施“三同时”监督管理办法》（国家安全生产监督管理总局令36号，国家安全生产监督管理总局令第77号修订）第</w:t>
            </w:r>
            <w:r>
              <w:rPr>
                <w:rFonts w:hint="eastAsia" w:ascii="宋体" w:hAnsi="宋体" w:eastAsia="宋体" w:cs="宋体"/>
                <w:color w:val="000000" w:themeColor="text1"/>
                <w:sz w:val="21"/>
                <w:szCs w:val="21"/>
                <w:lang w:val="en-US" w:eastAsia="zh-CN"/>
                <w14:textFill>
                  <w14:solidFill>
                    <w14:schemeClr w14:val="tx1"/>
                  </w14:solidFill>
                </w14:textFill>
              </w:rPr>
              <w:t>二十二</w:t>
            </w:r>
            <w:r>
              <w:rPr>
                <w:rFonts w:hint="eastAsia" w:ascii="宋体" w:hAnsi="宋体" w:eastAsia="宋体" w:cs="宋体"/>
                <w:color w:val="000000" w:themeColor="text1"/>
                <w:sz w:val="21"/>
                <w:szCs w:val="21"/>
                <w14:textFill>
                  <w14:solidFill>
                    <w14:schemeClr w14:val="tx1"/>
                  </w14:solidFill>
                </w14:textFill>
              </w:rPr>
              <w:t>条</w:t>
            </w:r>
          </w:p>
        </w:tc>
        <w:tc>
          <w:tcPr>
            <w:tcW w:w="1260" w:type="pct"/>
            <w:tcBorders>
              <w:top w:val="single" w:color="auto" w:sz="4" w:space="0"/>
              <w:left w:val="single" w:color="auto" w:sz="4" w:space="0"/>
              <w:bottom w:val="single" w:color="auto" w:sz="4" w:space="0"/>
              <w:right w:val="single" w:color="auto" w:sz="4" w:space="0"/>
            </w:tcBorders>
            <w:noWrap w:val="0"/>
            <w:vAlign w:val="center"/>
          </w:tcPr>
          <w:p w14:paraId="27D30A61">
            <w:pPr>
              <w:pStyle w:val="50"/>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本光伏电站试运行完成后，建设单位委托具有相应资质</w:t>
            </w:r>
            <w:r>
              <w:rPr>
                <w:rFonts w:hint="eastAsia" w:ascii="宋体" w:hAnsi="宋体" w:eastAsia="宋体" w:cs="宋体"/>
                <w:color w:val="000000" w:themeColor="text1"/>
                <w:sz w:val="21"/>
                <w:szCs w:val="21"/>
                <w:lang w:val="en-US" w:eastAsia="zh-CN"/>
                <w14:textFill>
                  <w14:solidFill>
                    <w14:schemeClr w14:val="tx1"/>
                  </w14:solidFill>
                </w14:textFill>
              </w:rPr>
              <w:t>昭通市鼎安科技有限公司进行</w:t>
            </w:r>
            <w:r>
              <w:rPr>
                <w:rFonts w:hint="eastAsia" w:ascii="宋体" w:hAnsi="宋体" w:eastAsia="宋体" w:cs="宋体"/>
                <w:color w:val="000000" w:themeColor="text1"/>
                <w:sz w:val="21"/>
                <w:szCs w:val="21"/>
                <w14:textFill>
                  <w14:solidFill>
                    <w14:schemeClr w14:val="tx1"/>
                  </w14:solidFill>
                </w14:textFill>
              </w:rPr>
              <w:t>安全设施验收评价工作。</w:t>
            </w:r>
          </w:p>
        </w:tc>
        <w:tc>
          <w:tcPr>
            <w:tcW w:w="526" w:type="pct"/>
            <w:tcBorders>
              <w:top w:val="single" w:color="auto" w:sz="4" w:space="0"/>
              <w:left w:val="single" w:color="auto" w:sz="4" w:space="0"/>
              <w:bottom w:val="single" w:color="auto" w:sz="4" w:space="0"/>
              <w:right w:val="single" w:color="auto" w:sz="4" w:space="0"/>
            </w:tcBorders>
            <w:shd w:val="clear" w:color="auto" w:fill="auto"/>
            <w:noWrap w:val="0"/>
            <w:vAlign w:val="top"/>
          </w:tcPr>
          <w:p w14:paraId="44070E1E">
            <w:pPr>
              <w:spacing w:line="261" w:lineRule="auto"/>
              <w:rPr>
                <w:rFonts w:hint="eastAsia" w:ascii="宋体" w:hAnsi="宋体" w:eastAsia="宋体" w:cs="宋体"/>
                <w:color w:val="000000" w:themeColor="text1"/>
                <w:sz w:val="21"/>
                <w:szCs w:val="21"/>
                <w14:textFill>
                  <w14:solidFill>
                    <w14:schemeClr w14:val="tx1"/>
                  </w14:solidFill>
                </w14:textFill>
              </w:rPr>
            </w:pPr>
          </w:p>
          <w:p w14:paraId="19B120BE">
            <w:pPr>
              <w:spacing w:line="262" w:lineRule="auto"/>
              <w:rPr>
                <w:rFonts w:hint="eastAsia" w:ascii="宋体" w:hAnsi="宋体" w:eastAsia="宋体" w:cs="宋体"/>
                <w:color w:val="000000" w:themeColor="text1"/>
                <w:sz w:val="21"/>
                <w:szCs w:val="21"/>
                <w14:textFill>
                  <w14:solidFill>
                    <w14:schemeClr w14:val="tx1"/>
                  </w14:solidFill>
                </w14:textFill>
              </w:rPr>
            </w:pPr>
          </w:p>
          <w:p w14:paraId="1A3D854C">
            <w:pPr>
              <w:pStyle w:val="42"/>
              <w:spacing w:before="65"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否决项</w:t>
            </w:r>
          </w:p>
        </w:tc>
        <w:tc>
          <w:tcPr>
            <w:tcW w:w="4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241F19D">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944A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15B5E716">
            <w:pPr>
              <w:pStyle w:val="43"/>
              <w:keepNext w:val="0"/>
              <w:keepLines w:val="0"/>
              <w:pageBreakBefore w:val="0"/>
              <w:widowControl w:val="0"/>
              <w:numPr>
                <w:ilvl w:val="0"/>
                <w:numId w:val="37"/>
              </w:numPr>
              <w:kinsoku/>
              <w:wordWrap/>
              <w:overflowPunct/>
              <w:topLinePunct w:val="0"/>
              <w:autoSpaceDE/>
              <w:autoSpaceDN/>
              <w:bidi w:val="0"/>
              <w:spacing w:line="240" w:lineRule="auto"/>
              <w:ind w:left="425" w:leftChars="0" w:hanging="425" w:firstLineChars="0"/>
              <w:jc w:val="center"/>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bookmarkStart w:id="299" w:name="_Toc21143"/>
            <w:bookmarkStart w:id="300" w:name="_Toc18905"/>
          </w:p>
        </w:tc>
        <w:tc>
          <w:tcPr>
            <w:tcW w:w="950" w:type="pct"/>
            <w:shd w:val="clear" w:color="auto" w:fill="auto"/>
            <w:vAlign w:val="center"/>
          </w:tcPr>
          <w:p w14:paraId="44C40A4C">
            <w:pPr>
              <w:spacing w:line="301" w:lineRule="auto"/>
              <w:jc w:val="left"/>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p>
          <w:p w14:paraId="638A90B0">
            <w:pPr>
              <w:spacing w:line="302" w:lineRule="auto"/>
              <w:jc w:val="left"/>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p>
          <w:p w14:paraId="4E9A8ED5">
            <w:pPr>
              <w:pStyle w:val="42"/>
              <w:spacing w:before="65" w:line="244" w:lineRule="auto"/>
              <w:ind w:left="161" w:leftChars="0" w:right="166" w:rightChars="0" w:firstLine="2" w:firstLineChars="0"/>
              <w:jc w:val="left"/>
              <w:rPr>
                <w:rFonts w:hint="eastAsia" w:ascii="宋体" w:hAnsi="宋体" w:eastAsia="宋体" w:cs="宋体"/>
                <w:bCs w:val="0"/>
                <w:color w:val="000000" w:themeColor="text1"/>
                <w:kern w:val="2"/>
                <w:sz w:val="21"/>
                <w:szCs w:val="21"/>
                <w:lang w:val="en-US" w:eastAsia="en-US"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项目完工情况</w:t>
            </w:r>
          </w:p>
        </w:tc>
        <w:tc>
          <w:tcPr>
            <w:tcW w:w="1514" w:type="pct"/>
            <w:shd w:val="clear" w:color="auto" w:fill="auto"/>
            <w:vAlign w:val="center"/>
          </w:tcPr>
          <w:p w14:paraId="15E537BD">
            <w:pPr>
              <w:pStyle w:val="42"/>
              <w:spacing w:before="21" w:line="222" w:lineRule="auto"/>
              <w:ind w:left="106" w:right="108"/>
              <w:jc w:val="left"/>
              <w:rPr>
                <w:rFonts w:hint="eastAsia" w:ascii="宋体" w:hAnsi="宋体" w:eastAsia="宋体" w:cs="宋体"/>
                <w:bCs w:val="0"/>
                <w:color w:val="000000" w:themeColor="text1"/>
                <w:kern w:val="2"/>
                <w:sz w:val="21"/>
                <w:szCs w:val="21"/>
                <w:lang w:val="en-US" w:eastAsia="en-US"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建设项目竣工验收前，是否按照批准的安全设施 设计 内容完成全部 的安全设 施，单项工程验收合格，具备安全生产条件，并提交自查报告。</w:t>
            </w:r>
          </w:p>
        </w:tc>
        <w:tc>
          <w:tcPr>
            <w:tcW w:w="1260" w:type="pct"/>
            <w:vAlign w:val="center"/>
          </w:tcPr>
          <w:p w14:paraId="63D9B76C">
            <w:pPr>
              <w:pStyle w:val="50"/>
              <w:keepNext w:val="0"/>
              <w:keepLines w:val="0"/>
              <w:pageBreakBefore w:val="0"/>
              <w:widowControl w:val="0"/>
              <w:kinsoku/>
              <w:wordWrap/>
              <w:overflowPunct/>
              <w:topLinePunct w:val="0"/>
              <w:autoSpaceDE/>
              <w:autoSpaceDN/>
              <w:bidi w:val="0"/>
              <w:spacing w:line="240" w:lineRule="auto"/>
              <w:ind w:left="0" w:leftChars="0" w:firstLine="0" w:firstLineChars="0"/>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根据施工及监理报告， 已完成各项配套设施。</w:t>
            </w:r>
          </w:p>
        </w:tc>
        <w:tc>
          <w:tcPr>
            <w:tcW w:w="526" w:type="pct"/>
            <w:shd w:val="clear" w:color="auto" w:fill="auto"/>
            <w:vAlign w:val="center"/>
          </w:tcPr>
          <w:p w14:paraId="12FEE749">
            <w:pPr>
              <w:spacing w:line="394" w:lineRule="auto"/>
              <w:jc w:val="left"/>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p>
          <w:p w14:paraId="3B129788">
            <w:pPr>
              <w:pStyle w:val="42"/>
              <w:spacing w:before="65" w:line="228" w:lineRule="auto"/>
              <w:jc w:val="left"/>
              <w:rPr>
                <w:rFonts w:hint="eastAsia" w:ascii="宋体" w:hAnsi="宋体" w:eastAsia="宋体" w:cs="宋体"/>
                <w:bCs w:val="0"/>
                <w:color w:val="000000" w:themeColor="text1"/>
                <w:kern w:val="2"/>
                <w:sz w:val="21"/>
                <w:szCs w:val="21"/>
                <w:lang w:val="en-US" w:eastAsia="en-US" w:bidi="ar-SA"/>
                <w14:textFill>
                  <w14:solidFill>
                    <w14:schemeClr w14:val="tx1"/>
                  </w14:solidFill>
                </w14:textFill>
              </w:rPr>
            </w:pPr>
            <w:r>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t>否决项</w:t>
            </w:r>
          </w:p>
        </w:tc>
        <w:tc>
          <w:tcPr>
            <w:tcW w:w="0" w:type="auto"/>
            <w:vAlign w:val="center"/>
          </w:tcPr>
          <w:p w14:paraId="2EE66E9F">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p>
          <w:p w14:paraId="234299E1">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left"/>
              <w:textAlignment w:val="auto"/>
              <w:rPr>
                <w:rFonts w:hint="eastAsia" w:ascii="宋体" w:hAnsi="宋体" w:eastAsia="宋体" w:cs="宋体"/>
                <w:color w:val="000000" w:themeColor="text1"/>
                <w:sz w:val="21"/>
                <w:szCs w:val="21"/>
                <w14:textFill>
                  <w14:solidFill>
                    <w14:schemeClr w14:val="tx1"/>
                  </w14:solidFill>
                </w14:textFill>
              </w:rPr>
            </w:pPr>
          </w:p>
          <w:p w14:paraId="5D8B0F24">
            <w:pPr>
              <w:pStyle w:val="50"/>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left"/>
              <w:textAlignment w:val="auto"/>
              <w:rPr>
                <w:rFonts w:hint="eastAsia" w:ascii="宋体" w:hAnsi="宋体" w:eastAsia="宋体" w:cs="宋体"/>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bookmarkEnd w:id="299"/>
      <w:bookmarkEnd w:id="300"/>
    </w:tbl>
    <w:p w14:paraId="23BDAB42">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spacing w:val="-5"/>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评价分析：针对项目安全设施“三同时 ”程序符合性检查表内的</w:t>
      </w:r>
      <w:r>
        <w:rPr>
          <w:rFonts w:hint="eastAsia" w:ascii="宋体" w:hAnsi="宋体" w:eastAsia="宋体" w:cs="宋体"/>
          <w:color w:val="000000" w:themeColor="text1"/>
          <w:lang w:val="en-US" w:eastAsia="zh-CN"/>
          <w14:textFill>
            <w14:solidFill>
              <w14:schemeClr w14:val="tx1"/>
            </w14:solidFill>
          </w14:textFill>
        </w:rPr>
        <w:t>6</w:t>
      </w:r>
      <w:r>
        <w:rPr>
          <w:rFonts w:hint="eastAsia" w:ascii="宋体" w:hAnsi="宋体" w:eastAsia="宋体" w:cs="宋体"/>
          <w:color w:val="000000" w:themeColor="text1"/>
          <w14:textFill>
            <w14:solidFill>
              <w14:schemeClr w14:val="tx1"/>
            </w14:solidFill>
          </w14:textFill>
        </w:rPr>
        <w:t>项内容，</w:t>
      </w:r>
      <w:r>
        <w:rPr>
          <w:rFonts w:hint="eastAsia" w:ascii="宋体" w:hAnsi="宋体" w:eastAsia="宋体" w:cs="宋体"/>
          <w:color w:val="000000" w:themeColor="text1"/>
          <w:lang w:val="en-US" w:eastAsia="zh-CN"/>
          <w14:textFill>
            <w14:solidFill>
              <w14:schemeClr w14:val="tx1"/>
            </w14:solidFill>
          </w14:textFill>
        </w:rPr>
        <w:t>其中6项合格，0项不合格。</w:t>
      </w:r>
    </w:p>
    <w:p w14:paraId="4BC09E24">
      <w:pPr>
        <w:pStyle w:val="4"/>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单元小结</w:t>
      </w:r>
    </w:p>
    <w:p w14:paraId="11CCE20A">
      <w:pPr>
        <w:keepNext w:val="0"/>
        <w:keepLines w:val="0"/>
        <w:pageBreakBefore w:val="0"/>
        <w:widowControl w:val="0"/>
        <w:kinsoku/>
        <w:wordWrap/>
        <w:overflowPunct/>
        <w:topLinePunct w:val="0"/>
        <w:autoSpaceDE/>
        <w:autoSpaceDN/>
        <w:bidi w:val="0"/>
        <w:adjustRightInd/>
        <w:snapToGrid/>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通过以上安全检查表可以知，本电站在按照国家有关光伏电站建设的要求履行</w:t>
      </w:r>
      <w:r>
        <w:rPr>
          <w:rFonts w:hint="eastAsia"/>
          <w:color w:val="000000" w:themeColor="text1"/>
          <w:lang w:val="en-US" w:eastAsia="zh-CN"/>
          <w14:textFill>
            <w14:solidFill>
              <w14:schemeClr w14:val="tx1"/>
            </w14:solidFill>
          </w14:textFill>
        </w:rPr>
        <w:t>了相关</w:t>
      </w:r>
      <w:r>
        <w:rPr>
          <w:rFonts w:hint="eastAsia"/>
          <w:color w:val="000000" w:themeColor="text1"/>
          <w14:textFill>
            <w14:solidFill>
              <w14:schemeClr w14:val="tx1"/>
            </w14:solidFill>
          </w14:textFill>
        </w:rPr>
        <w:t>建设程序，</w:t>
      </w:r>
      <w:r>
        <w:rPr>
          <w:color w:val="000000" w:themeColor="text1"/>
          <w:spacing w:val="3"/>
          <w14:textFill>
            <w14:solidFill>
              <w14:schemeClr w14:val="tx1"/>
            </w14:solidFill>
          </w14:textFill>
        </w:rPr>
        <w:t>取得了营业执照、项目投资备案证</w:t>
      </w:r>
      <w:r>
        <w:rPr>
          <w:rFonts w:hint="eastAsia"/>
          <w:color w:val="000000" w:themeColor="text1"/>
          <w:spacing w:val="3"/>
          <w:lang w:eastAsia="zh-CN"/>
          <w14:textFill>
            <w14:solidFill>
              <w14:schemeClr w14:val="tx1"/>
            </w14:solidFill>
          </w14:textFill>
        </w:rPr>
        <w:t>，</w:t>
      </w:r>
      <w:r>
        <w:rPr>
          <w:rFonts w:hint="eastAsia"/>
          <w:color w:val="000000" w:themeColor="text1"/>
          <w14:textFill>
            <w14:solidFill>
              <w14:schemeClr w14:val="tx1"/>
            </w14:solidFill>
          </w14:textFill>
        </w:rPr>
        <w:t>编制了</w:t>
      </w:r>
      <w:r>
        <w:rPr>
          <w:rFonts w:hint="eastAsia"/>
          <w:color w:val="000000" w:themeColor="text1"/>
          <w:lang w:eastAsia="zh-CN"/>
          <w14:textFill>
            <w14:solidFill>
              <w14:schemeClr w14:val="tx1"/>
            </w14:solidFill>
          </w14:textFill>
        </w:rPr>
        <w:t>《安全</w:t>
      </w:r>
      <w:r>
        <w:rPr>
          <w:rFonts w:hint="eastAsia"/>
          <w:color w:val="000000" w:themeColor="text1"/>
          <w14:textFill>
            <w14:solidFill>
              <w14:schemeClr w14:val="tx1"/>
            </w14:solidFill>
          </w14:textFill>
        </w:rPr>
        <w:t>生产条件和设施进行综合分析</w:t>
      </w:r>
      <w:r>
        <w:rPr>
          <w:rFonts w:hint="eastAsia"/>
          <w:color w:val="000000" w:themeColor="text1"/>
          <w:lang w:val="en-US" w:eastAsia="zh-CN"/>
          <w14:textFill>
            <w14:solidFill>
              <w14:schemeClr w14:val="tx1"/>
            </w14:solidFill>
          </w14:textFill>
        </w:rPr>
        <w:t>报告</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spacing w:val="3"/>
          <w14:textFill>
            <w14:solidFill>
              <w14:schemeClr w14:val="tx1"/>
            </w14:solidFill>
          </w14:textFill>
        </w:rPr>
        <w:t>委托具有设计资质的单位编制</w:t>
      </w:r>
      <w:r>
        <w:rPr>
          <w:rFonts w:hint="eastAsia"/>
          <w:color w:val="000000" w:themeColor="text1"/>
          <w:spacing w:val="3"/>
          <w:lang w:eastAsia="zh-CN"/>
          <w14:textFill>
            <w14:solidFill>
              <w14:schemeClr w14:val="tx1"/>
            </w14:solidFill>
          </w14:textFill>
        </w:rPr>
        <w:t>《</w:t>
      </w:r>
      <w:r>
        <w:rPr>
          <w:rFonts w:hint="eastAsia"/>
          <w:color w:val="000000" w:themeColor="text1"/>
          <w14:textFill>
            <w14:solidFill>
              <w14:schemeClr w14:val="tx1"/>
            </w14:solidFill>
          </w14:textFill>
        </w:rPr>
        <w:t>安全设施设计</w:t>
      </w:r>
      <w:r>
        <w:rPr>
          <w:rFonts w:hint="eastAsia"/>
          <w:color w:val="000000" w:themeColor="text1"/>
          <w:spacing w:val="3"/>
          <w:lang w:eastAsia="zh-CN"/>
          <w14:textFill>
            <w14:solidFill>
              <w14:schemeClr w14:val="tx1"/>
            </w14:solidFill>
          </w14:textFill>
        </w:rPr>
        <w:t>》</w:t>
      </w:r>
      <w:r>
        <w:rPr>
          <w:rFonts w:hint="eastAsia"/>
          <w:color w:val="000000" w:themeColor="text1"/>
          <w14:textFill>
            <w14:solidFill>
              <w14:schemeClr w14:val="tx1"/>
            </w14:solidFill>
          </w14:textFill>
        </w:rPr>
        <w:t>，并通过了专家</w:t>
      </w:r>
      <w:r>
        <w:rPr>
          <w:rFonts w:hint="eastAsia"/>
          <w:color w:val="000000" w:themeColor="text1"/>
          <w:lang w:val="en-US" w:eastAsia="zh-CN"/>
          <w14:textFill>
            <w14:solidFill>
              <w14:schemeClr w14:val="tx1"/>
            </w14:solidFill>
          </w14:textFill>
        </w:rPr>
        <w:t>审查</w:t>
      </w:r>
      <w:r>
        <w:rPr>
          <w:rFonts w:hint="eastAsia"/>
          <w:color w:val="000000" w:themeColor="text1"/>
          <w14:textFill>
            <w14:solidFill>
              <w14:schemeClr w14:val="tx1"/>
            </w14:solidFill>
          </w14:textFill>
        </w:rPr>
        <w:t>，聘请</w:t>
      </w:r>
      <w:r>
        <w:rPr>
          <w:rFonts w:hint="eastAsia"/>
          <w:color w:val="000000" w:themeColor="text1"/>
          <w:lang w:val="en-US" w:eastAsia="zh-CN"/>
          <w14:textFill>
            <w14:solidFill>
              <w14:schemeClr w14:val="tx1"/>
            </w14:solidFill>
          </w14:textFill>
        </w:rPr>
        <w:t>具有</w:t>
      </w:r>
      <w:r>
        <w:rPr>
          <w:rFonts w:hint="eastAsia"/>
          <w:color w:val="000000" w:themeColor="text1"/>
          <w14:textFill>
            <w14:solidFill>
              <w14:schemeClr w14:val="tx1"/>
            </w14:solidFill>
          </w14:textFill>
        </w:rPr>
        <w:t>相应资质的</w:t>
      </w:r>
      <w:r>
        <w:rPr>
          <w:rFonts w:hint="eastAsia"/>
          <w:color w:val="000000" w:themeColor="text1"/>
          <w:lang w:val="en-US" w:eastAsia="zh-CN"/>
          <w14:textFill>
            <w14:solidFill>
              <w14:schemeClr w14:val="tx1"/>
            </w14:solidFill>
          </w14:textFill>
        </w:rPr>
        <w:t>施工、监理</w:t>
      </w:r>
      <w:r>
        <w:rPr>
          <w:rFonts w:hint="eastAsia"/>
          <w:color w:val="000000" w:themeColor="text1"/>
          <w14:textFill>
            <w14:solidFill>
              <w14:schemeClr w14:val="tx1"/>
            </w14:solidFill>
          </w14:textFill>
        </w:rPr>
        <w:t>单位</w:t>
      </w:r>
      <w:r>
        <w:rPr>
          <w:rFonts w:hint="eastAsia"/>
          <w:color w:val="000000" w:themeColor="text1"/>
          <w:lang w:val="en-US" w:eastAsia="zh-CN"/>
          <w14:textFill>
            <w14:solidFill>
              <w14:schemeClr w14:val="tx1"/>
            </w14:solidFill>
          </w14:textFill>
        </w:rPr>
        <w:t>进行施工，监理。</w:t>
      </w:r>
      <w:r>
        <w:rPr>
          <w:rFonts w:hint="eastAsia"/>
          <w:color w:val="000000" w:themeColor="text1"/>
          <w14:textFill>
            <w14:solidFill>
              <w14:schemeClr w14:val="tx1"/>
            </w14:solidFill>
          </w14:textFill>
        </w:rPr>
        <w:t>电站安全设施做到了与主体工程同时设计、同时施工、同时投入生产和使用。建设程序合法。</w:t>
      </w:r>
      <w:r>
        <w:rPr>
          <w:color w:val="000000" w:themeColor="text1"/>
          <w:spacing w:val="-1"/>
          <w14:textFill>
            <w14:solidFill>
              <w14:schemeClr w14:val="tx1"/>
            </w14:solidFill>
          </w14:textFill>
        </w:rPr>
        <w:t>本单元具备安全验收条件。</w:t>
      </w:r>
    </w:p>
    <w:p w14:paraId="531098DC">
      <w:pPr>
        <w:pStyle w:val="3"/>
        <w:bidi w:val="0"/>
        <w:rPr>
          <w:rFonts w:hint="eastAsia"/>
          <w:color w:val="000000" w:themeColor="text1"/>
          <w:lang w:val="en-US" w:eastAsia="zh-CN"/>
          <w14:textFill>
            <w14:solidFill>
              <w14:schemeClr w14:val="tx1"/>
            </w14:solidFill>
          </w14:textFill>
        </w:rPr>
      </w:pPr>
      <w:bookmarkStart w:id="301" w:name="_Toc15878"/>
      <w:bookmarkStart w:id="302" w:name="_Toc26215"/>
      <w:bookmarkStart w:id="303" w:name="_Toc23085"/>
      <w:r>
        <w:rPr>
          <w:rFonts w:hint="eastAsia"/>
          <w:color w:val="000000" w:themeColor="text1"/>
          <w:lang w:val="en-US" w:eastAsia="zh-CN"/>
          <w14:textFill>
            <w14:solidFill>
              <w14:schemeClr w14:val="tx1"/>
            </w14:solidFill>
          </w14:textFill>
        </w:rPr>
        <w:t>总平面布置单元</w:t>
      </w:r>
      <w:bookmarkEnd w:id="301"/>
      <w:bookmarkEnd w:id="302"/>
      <w:bookmarkEnd w:id="303"/>
    </w:p>
    <w:p w14:paraId="27248EB6">
      <w:pPr>
        <w:pStyle w:val="4"/>
        <w:bidi w:val="0"/>
        <w:rPr>
          <w:rFonts w:hint="eastAsia"/>
          <w:color w:val="000000" w:themeColor="text1"/>
          <w:lang w:val="en-US" w:eastAsia="zh-CN"/>
          <w14:textFill>
            <w14:solidFill>
              <w14:schemeClr w14:val="tx1"/>
            </w14:solidFill>
          </w14:textFill>
        </w:rPr>
      </w:pPr>
      <w:bookmarkStart w:id="304" w:name="_Toc30015"/>
      <w:bookmarkStart w:id="305" w:name="_Toc25659"/>
      <w:r>
        <w:rPr>
          <w:rFonts w:hint="eastAsia"/>
          <w:color w:val="000000" w:themeColor="text1"/>
          <w:lang w:val="en-US" w:eastAsia="zh-CN"/>
          <w14:textFill>
            <w14:solidFill>
              <w14:schemeClr w14:val="tx1"/>
            </w14:solidFill>
          </w14:textFill>
        </w:rPr>
        <w:t>总平面布置安全检查表</w:t>
      </w:r>
      <w:bookmarkEnd w:id="304"/>
      <w:bookmarkEnd w:id="305"/>
    </w:p>
    <w:p w14:paraId="163FAC4E">
      <w:pPr>
        <w:ind w:left="0" w:leftChars="0" w:firstLine="560" w:firstLineChars="20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本单元根据《光伏发电站设计规范》（GB50797-2012）、《工业企业总平面设计规范》（GB50187-2012）、《华能澜沧江(景洪)新能源有限公司基诺乡巴卡村洛科新寨光伏电站安全设施设计》等标准、规范的要求等相关内容采用安全检查表对项目场地符合性评价。</w:t>
      </w:r>
    </w:p>
    <w:p w14:paraId="0B3373C1">
      <w:pPr>
        <w:pStyle w:val="12"/>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光伏发电站总平面布置安全检查表</w:t>
      </w:r>
    </w:p>
    <w:tbl>
      <w:tblPr>
        <w:tblStyle w:val="28"/>
        <w:tblW w:w="49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3636"/>
        <w:gridCol w:w="2046"/>
        <w:gridCol w:w="1879"/>
        <w:gridCol w:w="747"/>
      </w:tblGrid>
      <w:tr w14:paraId="69AF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blHeader/>
          <w:jc w:val="center"/>
        </w:trPr>
        <w:tc>
          <w:tcPr>
            <w:tcW w:w="373" w:type="pct"/>
            <w:noWrap w:val="0"/>
            <w:vAlign w:val="center"/>
          </w:tcPr>
          <w:p w14:paraId="40A5CAE6">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序号</w:t>
            </w:r>
          </w:p>
        </w:tc>
        <w:tc>
          <w:tcPr>
            <w:tcW w:w="2024" w:type="pct"/>
            <w:noWrap w:val="0"/>
            <w:vAlign w:val="center"/>
          </w:tcPr>
          <w:p w14:paraId="3F1B546C">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检查项目与内容</w:t>
            </w:r>
          </w:p>
        </w:tc>
        <w:tc>
          <w:tcPr>
            <w:tcW w:w="1139" w:type="pct"/>
            <w:noWrap w:val="0"/>
            <w:vAlign w:val="center"/>
          </w:tcPr>
          <w:p w14:paraId="50F2843B">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依据标准条款</w:t>
            </w:r>
          </w:p>
        </w:tc>
        <w:tc>
          <w:tcPr>
            <w:tcW w:w="1046" w:type="pct"/>
            <w:noWrap w:val="0"/>
            <w:vAlign w:val="center"/>
          </w:tcPr>
          <w:p w14:paraId="4E46D05D">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lang w:eastAsia="zh-CN"/>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w:t>
            </w:r>
            <w:r>
              <w:rPr>
                <w:rFonts w:hint="eastAsia" w:cs="Times New Roman"/>
                <w:b/>
                <w:bCs/>
                <w:color w:val="000000" w:themeColor="text1"/>
                <w:lang w:val="en-US" w:eastAsia="zh-CN"/>
                <w14:textFill>
                  <w14:solidFill>
                    <w14:schemeClr w14:val="tx1"/>
                  </w14:solidFill>
                </w14:textFill>
              </w:rPr>
              <w:t>情况</w:t>
            </w:r>
          </w:p>
        </w:tc>
        <w:tc>
          <w:tcPr>
            <w:tcW w:w="416" w:type="pct"/>
            <w:noWrap w:val="0"/>
            <w:vAlign w:val="center"/>
          </w:tcPr>
          <w:p w14:paraId="69D3DE5C">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检查结果</w:t>
            </w:r>
          </w:p>
        </w:tc>
      </w:tr>
      <w:tr w14:paraId="7FEF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373" w:type="pct"/>
            <w:noWrap w:val="0"/>
            <w:vAlign w:val="center"/>
          </w:tcPr>
          <w:p w14:paraId="45731021">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7469DA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配套和服务工业企业的居住区、交通运输、动力公用设施、废料场及环境保护工程、施工基地等用地，应与厂区用地同时选择。</w:t>
            </w:r>
          </w:p>
        </w:tc>
        <w:tc>
          <w:tcPr>
            <w:tcW w:w="1139" w:type="pct"/>
            <w:noWrap w:val="0"/>
            <w:vAlign w:val="center"/>
          </w:tcPr>
          <w:p w14:paraId="143BE5B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75AF30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第3.0.2条</w:t>
            </w:r>
          </w:p>
        </w:tc>
        <w:tc>
          <w:tcPr>
            <w:tcW w:w="1046" w:type="pct"/>
            <w:noWrap w:val="0"/>
            <w:vAlign w:val="center"/>
          </w:tcPr>
          <w:p w14:paraId="4571A2B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交通运输等用地与厂区用地同时选择。</w:t>
            </w:r>
          </w:p>
        </w:tc>
        <w:tc>
          <w:tcPr>
            <w:tcW w:w="416" w:type="pct"/>
            <w:noWrap w:val="0"/>
            <w:vAlign w:val="center"/>
          </w:tcPr>
          <w:p w14:paraId="43A097B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ED4E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atLeast"/>
          <w:jc w:val="center"/>
        </w:trPr>
        <w:tc>
          <w:tcPr>
            <w:tcW w:w="373" w:type="pct"/>
            <w:noWrap w:val="0"/>
            <w:vAlign w:val="center"/>
          </w:tcPr>
          <w:p w14:paraId="0254958E">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36A773A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站址应有便利和经济的交通运输条件，与厂外铁路、公路的连接，应便捷、工程量小。临近江、河、湖、海的站址，通航条件满足企业运输要求时，应尽量利用水运，且站址宜靠近适合建设码头的地段。</w:t>
            </w:r>
          </w:p>
        </w:tc>
        <w:tc>
          <w:tcPr>
            <w:tcW w:w="1139" w:type="pct"/>
            <w:noWrap w:val="0"/>
            <w:vAlign w:val="center"/>
          </w:tcPr>
          <w:p w14:paraId="6ECE303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36A5ED4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第3.0.5条</w:t>
            </w:r>
          </w:p>
        </w:tc>
        <w:tc>
          <w:tcPr>
            <w:tcW w:w="1046" w:type="pct"/>
            <w:noWrap w:val="0"/>
            <w:vAlign w:val="center"/>
          </w:tcPr>
          <w:p w14:paraId="733696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站址有较便利的交通运输条件，站区修建了场区道路，交通条件较好。</w:t>
            </w:r>
          </w:p>
        </w:tc>
        <w:tc>
          <w:tcPr>
            <w:tcW w:w="416" w:type="pct"/>
            <w:noWrap w:val="0"/>
            <w:vAlign w:val="center"/>
          </w:tcPr>
          <w:p w14:paraId="778B79EE">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DE18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373" w:type="pct"/>
            <w:noWrap w:val="0"/>
            <w:vAlign w:val="center"/>
          </w:tcPr>
          <w:p w14:paraId="368863AE">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F64556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站址应位于不受洪水、潮水或内涝威胁的地带，并应符合下列规定：</w:t>
            </w:r>
          </w:p>
          <w:p w14:paraId="557700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(1)当站址不可避免不受洪水、潮水或内涝威胁的地带时，必须采取防洪、排涝措施；</w:t>
            </w:r>
          </w:p>
          <w:p w14:paraId="2FEA34A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(2)凡受江、河、潮、海洪水、潮水或山洪威胁的工业企业，防洪标准应符合现行国家标准《防洪标准》GB50201的有关规定。</w:t>
            </w:r>
          </w:p>
        </w:tc>
        <w:tc>
          <w:tcPr>
            <w:tcW w:w="1139" w:type="pct"/>
            <w:noWrap w:val="0"/>
            <w:vAlign w:val="center"/>
          </w:tcPr>
          <w:p w14:paraId="48FFDB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6EBC67A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第3.0.12条</w:t>
            </w:r>
          </w:p>
        </w:tc>
        <w:tc>
          <w:tcPr>
            <w:tcW w:w="1046" w:type="pct"/>
            <w:noWrap w:val="0"/>
            <w:vAlign w:val="center"/>
          </w:tcPr>
          <w:p w14:paraId="13A01F3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站址位于山区，站址内不受洪水、潮水或内涝威胁。</w:t>
            </w:r>
          </w:p>
        </w:tc>
        <w:tc>
          <w:tcPr>
            <w:tcW w:w="416" w:type="pct"/>
            <w:noWrap w:val="0"/>
            <w:vAlign w:val="center"/>
          </w:tcPr>
          <w:p w14:paraId="1B85C65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1C8A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373" w:type="pct"/>
            <w:noWrap w:val="0"/>
            <w:vAlign w:val="center"/>
          </w:tcPr>
          <w:p w14:paraId="4E1BD913">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3503C7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1139" w:type="pct"/>
            <w:noWrap w:val="0"/>
            <w:vAlign w:val="center"/>
          </w:tcPr>
          <w:p w14:paraId="34C5EB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4A6D4C6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第5.1.1条</w:t>
            </w:r>
          </w:p>
        </w:tc>
        <w:tc>
          <w:tcPr>
            <w:tcW w:w="1046" w:type="pct"/>
            <w:noWrap w:val="0"/>
            <w:vAlign w:val="center"/>
          </w:tcPr>
          <w:p w14:paraId="70F1B91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总平面布置在总体规划基础上，根据规模、工艺流程、交通运输、防火、安全、卫生等要求确定。</w:t>
            </w:r>
          </w:p>
        </w:tc>
        <w:tc>
          <w:tcPr>
            <w:tcW w:w="416" w:type="pct"/>
            <w:noWrap w:val="0"/>
            <w:vAlign w:val="center"/>
          </w:tcPr>
          <w:p w14:paraId="01F0F65E">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531BE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21C61862">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A6D91F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行政办公及生活服务设施的布置，应位于厂区全年最小频率风向的下风侧，并应符合下列要求：</w:t>
            </w:r>
          </w:p>
          <w:p w14:paraId="749B1DF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(1)应布置在便于行政办公、环境洁净、靠近主要人流出入口、与城镇和居住区联系方便的位置；</w:t>
            </w:r>
          </w:p>
          <w:p w14:paraId="0B8A111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(2)行政办公及生活服务设施的用地面积，不得超过工业项目总用地面积的7%。</w:t>
            </w:r>
          </w:p>
        </w:tc>
        <w:tc>
          <w:tcPr>
            <w:tcW w:w="1139" w:type="pct"/>
            <w:noWrap w:val="0"/>
            <w:vAlign w:val="center"/>
          </w:tcPr>
          <w:p w14:paraId="25A64B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《工业企业总平面设计规范》（GB50187-2012）</w:t>
            </w:r>
          </w:p>
          <w:p w14:paraId="296AAC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第5.7.1条</w:t>
            </w:r>
          </w:p>
        </w:tc>
        <w:tc>
          <w:tcPr>
            <w:tcW w:w="1046" w:type="pct"/>
            <w:noWrap w:val="0"/>
            <w:vAlign w:val="center"/>
          </w:tcPr>
          <w:p w14:paraId="5D6DFB3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电站位于山坡，无有毒、有害气体产生。办公及生活服务设施布置于综合楼，不受风向影响。</w:t>
            </w:r>
          </w:p>
        </w:tc>
        <w:tc>
          <w:tcPr>
            <w:tcW w:w="416" w:type="pct"/>
            <w:noWrap w:val="0"/>
            <w:vAlign w:val="center"/>
          </w:tcPr>
          <w:p w14:paraId="05215D4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276A2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224101ED">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0226FED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光伏发电站设计应综合考虑日照条件、土地和建筑条件、安装和运输条件等因素，满足适用、安全、经济、环保、美观，便于安装和维护的要求。</w:t>
            </w:r>
          </w:p>
        </w:tc>
        <w:tc>
          <w:tcPr>
            <w:tcW w:w="1139" w:type="pct"/>
            <w:noWrap w:val="0"/>
            <w:vAlign w:val="center"/>
          </w:tcPr>
          <w:p w14:paraId="3B8B468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274A0C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第3.0.1条</w:t>
            </w:r>
          </w:p>
        </w:tc>
        <w:tc>
          <w:tcPr>
            <w:tcW w:w="1046" w:type="pct"/>
            <w:noWrap w:val="0"/>
            <w:vAlign w:val="center"/>
          </w:tcPr>
          <w:p w14:paraId="73C347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电站设计综合考虑了日照条件、土地和建筑条件、安装和运输条件等因素，满足适用、安全、经济、环保、美观，便于安装和维护的要求。</w:t>
            </w:r>
          </w:p>
        </w:tc>
        <w:tc>
          <w:tcPr>
            <w:tcW w:w="416" w:type="pct"/>
            <w:noWrap w:val="0"/>
            <w:vAlign w:val="center"/>
          </w:tcPr>
          <w:p w14:paraId="3CDC3120">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340C8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5806372">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46D5B3E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选址时，应研究电网结构、电力负荷、交通、运输、环境保护要求、出线走廊、地质、地震、地形、水文、气象、占地拆迁、施工，以及周围工矿企业对电站的影响等条件，拟订初步方案，通过全面的技术经济比较和经济效益分析，提出论证和评价。当有多个候选站址时，应提出推荐站址的排序。</w:t>
            </w:r>
          </w:p>
        </w:tc>
        <w:tc>
          <w:tcPr>
            <w:tcW w:w="1139" w:type="pct"/>
            <w:noWrap w:val="0"/>
            <w:vAlign w:val="center"/>
          </w:tcPr>
          <w:p w14:paraId="6824D7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74C258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第4.0.2条</w:t>
            </w:r>
          </w:p>
        </w:tc>
        <w:tc>
          <w:tcPr>
            <w:tcW w:w="1046" w:type="pct"/>
            <w:noWrap w:val="0"/>
            <w:vAlign w:val="center"/>
          </w:tcPr>
          <w:p w14:paraId="3C28750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电站选址时，考虑了电网结构、电力负荷、交通、运输、环境保护要求、出线、地质、地震、地形、水文、气象、占地、施工等条件。</w:t>
            </w:r>
          </w:p>
        </w:tc>
        <w:tc>
          <w:tcPr>
            <w:tcW w:w="416" w:type="pct"/>
            <w:noWrap w:val="0"/>
            <w:vAlign w:val="center"/>
          </w:tcPr>
          <w:p w14:paraId="28582E90">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4E06A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74504D6">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406C6AC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站址场地标高应满足与光伏发电站等级相对应的防洪标准，见表4.0.3。对于站内地面低于上述高水位的区域，应有防洪设施。防排洪设施宜在首期工程中按规划容量统一规划，分期实施。</w:t>
            </w:r>
          </w:p>
          <w:p w14:paraId="2B69169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对位于山区的光伏发电站，应考虑防山洪和排山洪的措施，防排设施应按频率为1％的山洪设计。</w:t>
            </w:r>
          </w:p>
        </w:tc>
        <w:tc>
          <w:tcPr>
            <w:tcW w:w="1139" w:type="pct"/>
            <w:noWrap w:val="0"/>
            <w:vAlign w:val="center"/>
          </w:tcPr>
          <w:p w14:paraId="2316750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23DB18B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第4.0.3条</w:t>
            </w:r>
          </w:p>
        </w:tc>
        <w:tc>
          <w:tcPr>
            <w:tcW w:w="1046" w:type="pct"/>
            <w:noWrap w:val="0"/>
            <w:vAlign w:val="center"/>
          </w:tcPr>
          <w:p w14:paraId="05DCC52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站址位于山坡上，避开山沟，站内未发现有水区域。</w:t>
            </w:r>
          </w:p>
        </w:tc>
        <w:tc>
          <w:tcPr>
            <w:tcW w:w="416" w:type="pct"/>
            <w:noWrap w:val="0"/>
            <w:vAlign w:val="center"/>
          </w:tcPr>
          <w:p w14:paraId="49AF7BE7">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14:paraId="0BBBB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3" w:type="pct"/>
            <w:noWrap w:val="0"/>
            <w:vAlign w:val="center"/>
          </w:tcPr>
          <w:p w14:paraId="669DF50F">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1CB5BCD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选择站址时应避开地质灾害易发区，如有危岩、泥石流、岩溶发育、滑坡的地段和发震断裂地带等。</w:t>
            </w:r>
          </w:p>
        </w:tc>
        <w:tc>
          <w:tcPr>
            <w:tcW w:w="1139" w:type="pct"/>
            <w:noWrap w:val="0"/>
            <w:vAlign w:val="center"/>
          </w:tcPr>
          <w:p w14:paraId="51F059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《光伏发电站设计规范》（GB50797-2012）</w:t>
            </w:r>
          </w:p>
          <w:p w14:paraId="3300403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第4.0.6条</w:t>
            </w:r>
          </w:p>
        </w:tc>
        <w:tc>
          <w:tcPr>
            <w:tcW w:w="1046" w:type="pct"/>
            <w:noWrap w:val="0"/>
            <w:vAlign w:val="center"/>
          </w:tcPr>
          <w:p w14:paraId="23C6A7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站址时避开地质灾害易发区，如岩溶、断裂地带等。</w:t>
            </w:r>
          </w:p>
        </w:tc>
        <w:tc>
          <w:tcPr>
            <w:tcW w:w="416" w:type="pct"/>
            <w:noWrap w:val="0"/>
            <w:vAlign w:val="center"/>
          </w:tcPr>
          <w:p w14:paraId="0ACA2D19">
            <w:pPr>
              <w:pStyle w:val="23"/>
              <w:keepNext w:val="0"/>
              <w:keepLines w:val="0"/>
              <w:pageBreakBefore w:val="0"/>
              <w:widowControl w:val="0"/>
              <w:kinsoku/>
              <w:bidi w:val="0"/>
              <w:spacing w:line="240" w:lineRule="exact"/>
              <w:ind w:firstLine="0" w:firstLineChars="0"/>
              <w:rPr>
                <w:rFonts w:hint="eastAsia" w:ascii="宋体" w:hAnsi="宋体"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53F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AB5B3F1">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0E01B74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应根据电力系统规划设计的网络结构、负荷分布，结合城乡规划、征地拆迁等要求进行全面综合考虑。应通过技术经济比较和经济效益分析，择优选择站址。</w:t>
            </w:r>
          </w:p>
        </w:tc>
        <w:tc>
          <w:tcPr>
            <w:tcW w:w="1139" w:type="pct"/>
            <w:noWrap w:val="0"/>
            <w:vAlign w:val="center"/>
          </w:tcPr>
          <w:p w14:paraId="6E2887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《35kV～220kV无人值班变电站设计技术规程》（DL/T5103-2012）第3.1.1条</w:t>
            </w:r>
          </w:p>
        </w:tc>
        <w:tc>
          <w:tcPr>
            <w:tcW w:w="1046" w:type="pct"/>
            <w:noWrap w:val="0"/>
            <w:vAlign w:val="center"/>
          </w:tcPr>
          <w:p w14:paraId="68BB259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选址时根据电力系统规划布置开关站。</w:t>
            </w:r>
          </w:p>
        </w:tc>
        <w:tc>
          <w:tcPr>
            <w:tcW w:w="416" w:type="pct"/>
            <w:noWrap w:val="0"/>
            <w:vAlign w:val="center"/>
          </w:tcPr>
          <w:p w14:paraId="2A80624C">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7A435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6D5499EA">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7EEA138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总平面布置应结合站址自然地形地貌、周围环境等，因地制宜进行规划和布置。</w:t>
            </w:r>
          </w:p>
        </w:tc>
        <w:tc>
          <w:tcPr>
            <w:tcW w:w="1139" w:type="pct"/>
            <w:noWrap w:val="0"/>
            <w:vAlign w:val="center"/>
          </w:tcPr>
          <w:p w14:paraId="530A290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《35kV～220kV无人值班变电站设计技术规程》（DL/T5103-2012）第3.2.1条</w:t>
            </w:r>
          </w:p>
        </w:tc>
        <w:tc>
          <w:tcPr>
            <w:tcW w:w="1046" w:type="pct"/>
            <w:noWrap w:val="0"/>
            <w:vAlign w:val="center"/>
          </w:tcPr>
          <w:p w14:paraId="68E37A1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总平面布置结合选址自然地形地貌、周围环境进行布置。</w:t>
            </w:r>
          </w:p>
        </w:tc>
        <w:tc>
          <w:tcPr>
            <w:tcW w:w="416" w:type="pct"/>
            <w:noWrap w:val="0"/>
            <w:vAlign w:val="center"/>
          </w:tcPr>
          <w:p w14:paraId="49FFD9C7">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6603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6395E268">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noWrap w:val="0"/>
            <w:vAlign w:val="center"/>
          </w:tcPr>
          <w:p w14:paraId="3124C0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总平面布置应注重保护周边自然植被，自然水域、水系，自然景观等。</w:t>
            </w:r>
          </w:p>
        </w:tc>
        <w:tc>
          <w:tcPr>
            <w:tcW w:w="1139" w:type="pct"/>
            <w:noWrap w:val="0"/>
            <w:vAlign w:val="center"/>
          </w:tcPr>
          <w:p w14:paraId="66FA2BA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《35kV～220kV无人值班变电站设计技术规程》（DL/T5103-2012）第3.2.2条</w:t>
            </w:r>
          </w:p>
        </w:tc>
        <w:tc>
          <w:tcPr>
            <w:tcW w:w="1046" w:type="pct"/>
            <w:noWrap w:val="0"/>
            <w:vAlign w:val="center"/>
          </w:tcPr>
          <w:p w14:paraId="5BBA85F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总平面布置注重保护周边自然植被、自然景观等。</w:t>
            </w:r>
          </w:p>
        </w:tc>
        <w:tc>
          <w:tcPr>
            <w:tcW w:w="416" w:type="pct"/>
            <w:noWrap w:val="0"/>
            <w:vAlign w:val="center"/>
          </w:tcPr>
          <w:p w14:paraId="3D957696">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B2DC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85C6789">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bookmarkStart w:id="306" w:name="_Toc23225"/>
            <w:bookmarkStart w:id="307" w:name="_Toc14131"/>
          </w:p>
        </w:tc>
        <w:tc>
          <w:tcPr>
            <w:tcW w:w="2024" w:type="pct"/>
            <w:shd w:val="clear" w:color="auto" w:fill="auto"/>
            <w:noWrap w:val="0"/>
            <w:vAlign w:val="top"/>
          </w:tcPr>
          <w:p w14:paraId="3FCBD993">
            <w:pPr>
              <w:pStyle w:val="42"/>
              <w:spacing w:before="49" w:line="226" w:lineRule="auto"/>
              <w:ind w:left="102" w:leftChars="0" w:right="102" w:rightChars="0" w:firstLine="0" w:firstLineChars="0"/>
              <w:rPr>
                <w:rFonts w:hint="eastAsia" w:ascii="宋体" w:hAnsi="宋体" w:eastAsia="宋体" w:cs="宋体"/>
                <w:color w:val="000000" w:themeColor="text1"/>
                <w:spacing w:val="7"/>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场区处在宽缓斜坡上，需考虑场区截、 排水措施。地基防冲措施。</w:t>
            </w:r>
          </w:p>
        </w:tc>
        <w:tc>
          <w:tcPr>
            <w:tcW w:w="1139" w:type="pct"/>
            <w:shd w:val="clear" w:color="auto" w:fill="auto"/>
            <w:noWrap w:val="0"/>
            <w:vAlign w:val="center"/>
          </w:tcPr>
          <w:p w14:paraId="558217A4">
            <w:pPr>
              <w:pStyle w:val="42"/>
              <w:spacing w:before="49" w:line="226" w:lineRule="auto"/>
              <w:ind w:left="112" w:leftChars="0" w:right="101" w:rightChars="0" w:firstLine="5"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31"/>
                <w:sz w:val="21"/>
                <w:szCs w:val="21"/>
                <w14:textFill>
                  <w14:solidFill>
                    <w14:schemeClr w14:val="tx1"/>
                  </w14:solidFill>
                </w14:textFill>
              </w:rPr>
              <w:t>《</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pacing w:val="31"/>
                <w:sz w:val="21"/>
                <w:szCs w:val="21"/>
                <w14:textFill>
                  <w14:solidFill>
                    <w14:schemeClr w14:val="tx1"/>
                  </w14:solidFill>
                </w14:textFill>
              </w:rPr>
              <w:t>项目安全设施设</w:t>
            </w:r>
            <w:r>
              <w:rPr>
                <w:rFonts w:hint="eastAsia" w:ascii="宋体" w:hAnsi="宋体" w:eastAsia="宋体" w:cs="宋体"/>
                <w:color w:val="000000" w:themeColor="text1"/>
                <w:sz w:val="21"/>
                <w:szCs w:val="21"/>
                <w14:textFill>
                  <w14:solidFill>
                    <w14:schemeClr w14:val="tx1"/>
                  </w14:solidFill>
                </w14:textFill>
              </w:rPr>
              <w:t>计》</w:t>
            </w:r>
          </w:p>
        </w:tc>
        <w:tc>
          <w:tcPr>
            <w:tcW w:w="1046" w:type="pct"/>
            <w:shd w:val="clear" w:color="auto" w:fill="auto"/>
            <w:noWrap w:val="0"/>
            <w:vAlign w:val="center"/>
          </w:tcPr>
          <w:p w14:paraId="39ADBA5A">
            <w:pPr>
              <w:pStyle w:val="42"/>
              <w:spacing w:before="49" w:line="226" w:lineRule="auto"/>
              <w:ind w:left="120" w:leftChars="0" w:right="96" w:rightChars="0" w:firstLine="2"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项目建设现场符合设计要求。</w:t>
            </w:r>
          </w:p>
        </w:tc>
        <w:tc>
          <w:tcPr>
            <w:tcW w:w="416" w:type="pct"/>
            <w:shd w:val="clear" w:color="auto" w:fill="auto"/>
            <w:noWrap w:val="0"/>
            <w:vAlign w:val="top"/>
          </w:tcPr>
          <w:p w14:paraId="056A9E59">
            <w:pPr>
              <w:pStyle w:val="42"/>
              <w:spacing w:before="182"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34E82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5A43F581">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shd w:val="clear" w:color="auto" w:fill="auto"/>
            <w:noWrap w:val="0"/>
            <w:vAlign w:val="top"/>
          </w:tcPr>
          <w:p w14:paraId="05A8FC34">
            <w:pPr>
              <w:pStyle w:val="42"/>
              <w:keepNext w:val="0"/>
              <w:keepLines w:val="0"/>
              <w:pageBreakBefore w:val="0"/>
              <w:widowControl w:val="0"/>
              <w:kinsoku/>
              <w:wordWrap/>
              <w:overflowPunct/>
              <w:topLinePunct w:val="0"/>
              <w:autoSpaceDE/>
              <w:autoSpaceDN/>
              <w:bidi w:val="0"/>
              <w:adjustRightInd/>
              <w:snapToGrid/>
              <w:spacing w:before="49" w:line="226" w:lineRule="auto"/>
              <w:ind w:left="102" w:leftChars="0" w:right="102" w:rightChars="0" w:firstLine="0" w:firstLineChars="0"/>
              <w:textAlignment w:val="auto"/>
              <w:rPr>
                <w:rFonts w:hint="eastAsia" w:ascii="宋体" w:hAnsi="宋体" w:eastAsia="宋体" w:cs="宋体"/>
                <w:color w:val="000000" w:themeColor="text1"/>
                <w:spacing w:val="7"/>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场区地下水埋藏较深，位于各建筑物基础之下，对地基稳定基木 无影响。鉴于光伏板多布置于山体半坡或相对宽缓的山顶，雨季受雨水冲 刷，可能影响地基稳定性，需进行防冲刷措施，在坡面汇流区结合道路排 水设置浆砌石排水沟，排水沟尺寸30cm×30cm。</w:t>
            </w:r>
          </w:p>
        </w:tc>
        <w:tc>
          <w:tcPr>
            <w:tcW w:w="1139" w:type="pct"/>
            <w:shd w:val="clear" w:color="auto" w:fill="auto"/>
            <w:noWrap w:val="0"/>
            <w:vAlign w:val="center"/>
          </w:tcPr>
          <w:p w14:paraId="64665AA4">
            <w:pPr>
              <w:pStyle w:val="42"/>
              <w:spacing w:before="49" w:line="226" w:lineRule="auto"/>
              <w:ind w:left="112" w:leftChars="0" w:right="101" w:rightChars="0" w:firstLine="5"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31"/>
                <w:sz w:val="21"/>
                <w:szCs w:val="21"/>
                <w14:textFill>
                  <w14:solidFill>
                    <w14:schemeClr w14:val="tx1"/>
                  </w14:solidFill>
                </w14:textFill>
              </w:rPr>
              <w:t>《</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pacing w:val="31"/>
                <w:sz w:val="21"/>
                <w:szCs w:val="21"/>
                <w14:textFill>
                  <w14:solidFill>
                    <w14:schemeClr w14:val="tx1"/>
                  </w14:solidFill>
                </w14:textFill>
              </w:rPr>
              <w:t>项目安全设施设</w:t>
            </w:r>
            <w:r>
              <w:rPr>
                <w:rFonts w:hint="eastAsia" w:ascii="宋体" w:hAnsi="宋体" w:eastAsia="宋体" w:cs="宋体"/>
                <w:color w:val="000000" w:themeColor="text1"/>
                <w:sz w:val="21"/>
                <w:szCs w:val="21"/>
                <w14:textFill>
                  <w14:solidFill>
                    <w14:schemeClr w14:val="tx1"/>
                  </w14:solidFill>
                </w14:textFill>
              </w:rPr>
              <w:t xml:space="preserve"> 计》</w:t>
            </w:r>
          </w:p>
        </w:tc>
        <w:tc>
          <w:tcPr>
            <w:tcW w:w="1046" w:type="pct"/>
            <w:shd w:val="clear" w:color="auto" w:fill="auto"/>
            <w:noWrap w:val="0"/>
            <w:vAlign w:val="center"/>
          </w:tcPr>
          <w:p w14:paraId="166FDFFB">
            <w:pPr>
              <w:pStyle w:val="42"/>
              <w:spacing w:before="49" w:line="226" w:lineRule="auto"/>
              <w:ind w:left="120" w:leftChars="0" w:right="96" w:rightChars="0" w:firstLine="2"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项目建设现场符合设计要求。</w:t>
            </w:r>
          </w:p>
        </w:tc>
        <w:tc>
          <w:tcPr>
            <w:tcW w:w="416" w:type="pct"/>
            <w:shd w:val="clear" w:color="auto" w:fill="auto"/>
            <w:noWrap w:val="0"/>
            <w:vAlign w:val="top"/>
          </w:tcPr>
          <w:p w14:paraId="0EA5DB5F">
            <w:pPr>
              <w:pStyle w:val="42"/>
              <w:spacing w:before="182" w:line="228" w:lineRule="auto"/>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7AD2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D3080CD">
            <w:pPr>
              <w:keepNext w:val="0"/>
              <w:keepLines w:val="0"/>
              <w:pageBreakBefore w:val="0"/>
              <w:widowControl w:val="0"/>
              <w:numPr>
                <w:ilvl w:val="0"/>
                <w:numId w:val="38"/>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2024" w:type="pct"/>
            <w:shd w:val="clear" w:color="auto" w:fill="auto"/>
            <w:noWrap w:val="0"/>
            <w:vAlign w:val="top"/>
          </w:tcPr>
          <w:p w14:paraId="7D202A39">
            <w:pPr>
              <w:keepNext w:val="0"/>
              <w:keepLines w:val="0"/>
              <w:pageBreakBefore w:val="0"/>
              <w:widowControl w:val="0"/>
              <w:kinsoku/>
              <w:wordWrap/>
              <w:overflowPunct/>
              <w:topLinePunct w:val="0"/>
              <w:autoSpaceDE/>
              <w:autoSpaceDN/>
              <w:bidi w:val="0"/>
              <w:adjustRightInd/>
              <w:snapToGrid/>
              <w:spacing w:line="360" w:lineRule="exact"/>
              <w:ind w:left="0" w:leftChars="0" w:right="0" w:firstLine="0" w:firstLineChars="0"/>
              <w:jc w:val="both"/>
              <w:textAlignment w:val="auto"/>
              <w:rPr>
                <w:rFonts w:hint="default" w:ascii="宋体" w:hAnsi="宋体" w:eastAsia="宋体" w:cs="宋体"/>
                <w:color w:val="000000" w:themeColor="text1"/>
                <w:spacing w:val="7"/>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围栏布置：</w:t>
            </w:r>
            <w:r>
              <w:rPr>
                <w:rFonts w:hint="eastAsia" w:ascii="宋体" w:hAnsi="宋体" w:eastAsia="宋体" w:cs="宋体"/>
                <w:color w:val="000000" w:themeColor="text1"/>
                <w:sz w:val="21"/>
                <w:szCs w:val="21"/>
                <w:lang w:val="en-US" w:eastAsia="en-US"/>
                <w14:textFill>
                  <w14:solidFill>
                    <w14:schemeClr w14:val="tx1"/>
                  </w14:solidFill>
                </w14:textFill>
              </w:rPr>
              <w:t>采用浸塑式简易围栏，高度1.8m, 共计围栏长度13.57km。大门选用 4m 平开大门。围栏基础采用C20 素混凝土独立基础，基础尺寸为0300× 500mm,  基础埋深500mm, 基础间距3 .0m。围栏每隔100m 在立柱两侧设 置一组斜撑，每隔200m 或改变方向处在立柱三个方向设置斜撑。</w:t>
            </w:r>
          </w:p>
        </w:tc>
        <w:tc>
          <w:tcPr>
            <w:tcW w:w="1139" w:type="pct"/>
            <w:shd w:val="clear" w:color="auto" w:fill="auto"/>
            <w:noWrap w:val="0"/>
            <w:vAlign w:val="center"/>
          </w:tcPr>
          <w:p w14:paraId="61F491CD">
            <w:pPr>
              <w:pStyle w:val="42"/>
              <w:spacing w:before="49" w:line="226" w:lineRule="auto"/>
              <w:ind w:left="112" w:leftChars="0" w:right="101" w:rightChars="0" w:firstLine="5"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31"/>
                <w:sz w:val="21"/>
                <w:szCs w:val="21"/>
                <w14:textFill>
                  <w14:solidFill>
                    <w14:schemeClr w14:val="tx1"/>
                  </w14:solidFill>
                </w14:textFill>
              </w:rPr>
              <w:t>《</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pacing w:val="31"/>
                <w:sz w:val="21"/>
                <w:szCs w:val="21"/>
                <w14:textFill>
                  <w14:solidFill>
                    <w14:schemeClr w14:val="tx1"/>
                  </w14:solidFill>
                </w14:textFill>
              </w:rPr>
              <w:t>项目安全设施设</w:t>
            </w:r>
            <w:r>
              <w:rPr>
                <w:rFonts w:hint="eastAsia" w:ascii="宋体" w:hAnsi="宋体" w:eastAsia="宋体" w:cs="宋体"/>
                <w:color w:val="000000" w:themeColor="text1"/>
                <w:sz w:val="21"/>
                <w:szCs w:val="21"/>
                <w14:textFill>
                  <w14:solidFill>
                    <w14:schemeClr w14:val="tx1"/>
                  </w14:solidFill>
                </w14:textFill>
              </w:rPr>
              <w:t xml:space="preserve"> 计》</w:t>
            </w:r>
          </w:p>
        </w:tc>
        <w:tc>
          <w:tcPr>
            <w:tcW w:w="1046" w:type="pct"/>
            <w:shd w:val="clear" w:color="auto" w:fill="auto"/>
            <w:noWrap w:val="0"/>
            <w:vAlign w:val="top"/>
          </w:tcPr>
          <w:p w14:paraId="6757FDB0">
            <w:pPr>
              <w:pStyle w:val="42"/>
              <w:spacing w:before="49" w:line="226" w:lineRule="auto"/>
              <w:ind w:left="120" w:leftChars="0" w:right="96" w:rightChars="0" w:firstLine="2"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项目建设现场符</w:t>
            </w:r>
            <w:r>
              <w:rPr>
                <w:rFonts w:hint="eastAsia" w:ascii="宋体" w:hAnsi="宋体" w:eastAsia="宋体" w:cs="宋体"/>
                <w:color w:val="000000" w:themeColor="text1"/>
                <w:spacing w:val="6"/>
                <w:sz w:val="21"/>
                <w:szCs w:val="21"/>
                <w14:textFill>
                  <w14:solidFill>
                    <w14:schemeClr w14:val="tx1"/>
                  </w14:solidFill>
                </w14:textFill>
              </w:rPr>
              <w:t>合设计要求。</w:t>
            </w:r>
          </w:p>
        </w:tc>
        <w:tc>
          <w:tcPr>
            <w:tcW w:w="416" w:type="pct"/>
            <w:shd w:val="clear" w:color="auto" w:fill="auto"/>
            <w:noWrap w:val="0"/>
            <w:vAlign w:val="top"/>
          </w:tcPr>
          <w:p w14:paraId="74A76042">
            <w:pPr>
              <w:pStyle w:val="42"/>
              <w:spacing w:before="182" w:line="228" w:lineRule="auto"/>
              <w:ind w:firstLine="0"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bookmarkEnd w:id="306"/>
      <w:bookmarkEnd w:id="307"/>
    </w:tbl>
    <w:p w14:paraId="43831388">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0"/>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评价分析：针对项目场地符合性安全检查表内的 1</w:t>
      </w:r>
      <w:r>
        <w:rPr>
          <w:rFonts w:hint="eastAsia" w:ascii="宋体" w:hAnsi="宋体" w:cs="宋体"/>
          <w:color w:val="000000" w:themeColor="text1"/>
          <w:kern w:val="2"/>
          <w:sz w:val="28"/>
          <w:szCs w:val="24"/>
          <w:lang w:val="en-US" w:eastAsia="zh-CN" w:bidi="ar-SA"/>
          <w14:textFill>
            <w14:solidFill>
              <w14:schemeClr w14:val="tx1"/>
            </w14:solidFill>
          </w14:textFill>
        </w:rPr>
        <w:t>5</w:t>
      </w:r>
      <w:r>
        <w:rPr>
          <w:rFonts w:hint="eastAsia" w:ascii="宋体" w:hAnsi="宋体" w:eastAsia="宋体" w:cs="宋体"/>
          <w:color w:val="000000" w:themeColor="text1"/>
          <w:kern w:val="2"/>
          <w:sz w:val="28"/>
          <w:szCs w:val="24"/>
          <w:lang w:val="en-US" w:eastAsia="zh-CN" w:bidi="ar-SA"/>
          <w14:textFill>
            <w14:solidFill>
              <w14:schemeClr w14:val="tx1"/>
            </w14:solidFill>
          </w14:textFill>
        </w:rPr>
        <w:t xml:space="preserve"> 项内容，其中1</w:t>
      </w:r>
      <w:r>
        <w:rPr>
          <w:rFonts w:hint="eastAsia" w:ascii="宋体" w:hAnsi="宋体" w:cs="宋体"/>
          <w:color w:val="000000" w:themeColor="text1"/>
          <w:kern w:val="2"/>
          <w:sz w:val="28"/>
          <w:szCs w:val="24"/>
          <w:lang w:val="en-US" w:eastAsia="zh-CN" w:bidi="ar-SA"/>
          <w14:textFill>
            <w14:solidFill>
              <w14:schemeClr w14:val="tx1"/>
            </w14:solidFill>
          </w14:textFill>
        </w:rPr>
        <w:t>5</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项合格。</w:t>
      </w:r>
    </w:p>
    <w:p w14:paraId="49D833B5">
      <w:pPr>
        <w:pStyle w:val="4"/>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道路运输符合性评价</w:t>
      </w:r>
    </w:p>
    <w:p w14:paraId="3245F89E">
      <w:pPr>
        <w:pStyle w:val="14"/>
        <w:keepNext w:val="0"/>
        <w:keepLines w:val="0"/>
        <w:pageBreakBefore w:val="0"/>
        <w:widowControl w:val="0"/>
        <w:kinsoku/>
        <w:wordWrap/>
        <w:overflowPunct/>
        <w:topLinePunct w:val="0"/>
        <w:autoSpaceDE/>
        <w:autoSpaceDN/>
        <w:bidi w:val="0"/>
        <w:adjustRightInd/>
        <w:snapToGrid/>
        <w:spacing w:after="0" w:line="500" w:lineRule="exact"/>
        <w:ind w:left="0" w:right="0" w:firstLine="560"/>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道路运输符合性评价采用安全检查表法，按评价项目内容，依据《工业企业总平面设计规范》（GB50187-2012）、《项目安全设施设计》对相关项目进行检查评价。</w:t>
      </w:r>
    </w:p>
    <w:p w14:paraId="3A77D138">
      <w:pPr>
        <w:pStyle w:val="14"/>
        <w:spacing w:before="38" w:line="219" w:lineRule="auto"/>
        <w:ind w:left="3261"/>
        <w:rPr>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表</w:t>
      </w:r>
      <w:r>
        <w:rPr>
          <w:rFonts w:hint="eastAsia" w:ascii="宋体" w:hAnsi="宋体" w:eastAsia="宋体" w:cs="宋体"/>
          <w:color w:val="000000" w:themeColor="text1"/>
          <w:spacing w:val="-40"/>
          <w:sz w:val="24"/>
          <w:szCs w:val="24"/>
          <w14:textFill>
            <w14:solidFill>
              <w14:schemeClr w14:val="tx1"/>
            </w14:solidFill>
          </w14:textFill>
        </w:rPr>
        <w:t xml:space="preserve"> </w:t>
      </w:r>
      <w:r>
        <w:rPr>
          <w:rFonts w:hint="eastAsia" w:ascii="宋体" w:hAnsi="宋体" w:eastAsia="宋体" w:cs="宋体"/>
          <w:b/>
          <w:bCs/>
          <w:color w:val="000000" w:themeColor="text1"/>
          <w:spacing w:val="-4"/>
          <w:sz w:val="24"/>
          <w:szCs w:val="24"/>
          <w14:textFill>
            <w14:solidFill>
              <w14:schemeClr w14:val="tx1"/>
            </w14:solidFill>
          </w14:textFill>
        </w:rPr>
        <w:t>5</w:t>
      </w:r>
      <w:r>
        <w:rPr>
          <w:rFonts w:hint="eastAsia" w:ascii="宋体" w:hAnsi="宋体" w:eastAsia="宋体" w:cs="宋体"/>
          <w:b/>
          <w:bCs/>
          <w:color w:val="000000" w:themeColor="text1"/>
          <w:spacing w:val="-4"/>
          <w:sz w:val="24"/>
          <w:szCs w:val="24"/>
          <w:lang w:val="en-US" w:eastAsia="zh-CN"/>
          <w14:textFill>
            <w14:solidFill>
              <w14:schemeClr w14:val="tx1"/>
            </w14:solidFill>
          </w14:textFill>
        </w:rPr>
        <w:t xml:space="preserve">-3 </w:t>
      </w:r>
      <w:r>
        <w:rPr>
          <w:rFonts w:hint="eastAsia" w:ascii="宋体" w:hAnsi="宋体" w:eastAsia="宋体" w:cs="宋体"/>
          <w:color w:val="000000" w:themeColor="text1"/>
          <w:spacing w:val="-49"/>
          <w:sz w:val="24"/>
          <w:szCs w:val="24"/>
          <w14:textFill>
            <w14:solidFill>
              <w14:schemeClr w14:val="tx1"/>
            </w14:solidFill>
          </w14:textFill>
        </w:rPr>
        <w:t xml:space="preserve"> </w:t>
      </w:r>
      <w:r>
        <w:rPr>
          <w:rFonts w:hint="eastAsia" w:ascii="宋体" w:hAnsi="宋体" w:eastAsia="宋体" w:cs="宋体"/>
          <w:b/>
          <w:bCs/>
          <w:color w:val="000000" w:themeColor="text1"/>
          <w:spacing w:val="-4"/>
          <w:sz w:val="24"/>
          <w:szCs w:val="24"/>
          <w14:textFill>
            <w14:solidFill>
              <w14:schemeClr w14:val="tx1"/>
            </w14:solidFill>
          </w14:textFill>
        </w:rPr>
        <w:t>道路运输符合性检查表</w:t>
      </w:r>
    </w:p>
    <w:tbl>
      <w:tblPr>
        <w:tblStyle w:val="49"/>
        <w:tblW w:w="8878" w:type="dxa"/>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53"/>
        <w:gridCol w:w="3610"/>
        <w:gridCol w:w="2066"/>
        <w:gridCol w:w="1644"/>
        <w:gridCol w:w="905"/>
      </w:tblGrid>
      <w:tr w14:paraId="26B13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653" w:type="dxa"/>
            <w:noWrap w:val="0"/>
            <w:vAlign w:val="top"/>
          </w:tcPr>
          <w:p w14:paraId="2137F31C">
            <w:pPr>
              <w:pStyle w:val="42"/>
              <w:keepNext w:val="0"/>
              <w:keepLines w:val="0"/>
              <w:pageBreakBefore w:val="0"/>
              <w:widowControl w:val="0"/>
              <w:kinsoku/>
              <w:wordWrap/>
              <w:overflowPunct/>
              <w:topLinePunct w:val="0"/>
              <w:autoSpaceDE/>
              <w:autoSpaceDN/>
              <w:bidi w:val="0"/>
              <w:adjustRightInd/>
              <w:snapToGrid/>
              <w:spacing w:before="110" w:line="360" w:lineRule="exact"/>
              <w:ind w:left="122"/>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4"/>
                <w:sz w:val="21"/>
                <w:szCs w:val="21"/>
                <w14:textFill>
                  <w14:solidFill>
                    <w14:schemeClr w14:val="tx1"/>
                  </w14:solidFill>
                </w14:textFill>
              </w:rPr>
              <w:t>序号</w:t>
            </w:r>
          </w:p>
        </w:tc>
        <w:tc>
          <w:tcPr>
            <w:tcW w:w="3610" w:type="dxa"/>
            <w:noWrap w:val="0"/>
            <w:vAlign w:val="top"/>
          </w:tcPr>
          <w:p w14:paraId="05626FAD">
            <w:pPr>
              <w:pStyle w:val="42"/>
              <w:keepNext w:val="0"/>
              <w:keepLines w:val="0"/>
              <w:pageBreakBefore w:val="0"/>
              <w:widowControl w:val="0"/>
              <w:kinsoku/>
              <w:wordWrap/>
              <w:overflowPunct/>
              <w:topLinePunct w:val="0"/>
              <w:autoSpaceDE/>
              <w:autoSpaceDN/>
              <w:bidi w:val="0"/>
              <w:adjustRightInd/>
              <w:snapToGrid/>
              <w:spacing w:before="109" w:line="360" w:lineRule="exact"/>
              <w:ind w:left="1845"/>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检查内容</w:t>
            </w:r>
          </w:p>
        </w:tc>
        <w:tc>
          <w:tcPr>
            <w:tcW w:w="2066" w:type="dxa"/>
            <w:noWrap w:val="0"/>
            <w:vAlign w:val="top"/>
          </w:tcPr>
          <w:p w14:paraId="15ECA437">
            <w:pPr>
              <w:pStyle w:val="42"/>
              <w:keepNext w:val="0"/>
              <w:keepLines w:val="0"/>
              <w:pageBreakBefore w:val="0"/>
              <w:widowControl w:val="0"/>
              <w:kinsoku/>
              <w:wordWrap/>
              <w:overflowPunct/>
              <w:topLinePunct w:val="0"/>
              <w:autoSpaceDE/>
              <w:autoSpaceDN/>
              <w:bidi w:val="0"/>
              <w:adjustRightInd/>
              <w:snapToGrid/>
              <w:spacing w:before="110" w:line="360" w:lineRule="exact"/>
              <w:ind w:left="496"/>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检查依据</w:t>
            </w:r>
          </w:p>
        </w:tc>
        <w:tc>
          <w:tcPr>
            <w:tcW w:w="1644" w:type="dxa"/>
            <w:noWrap w:val="0"/>
            <w:vAlign w:val="top"/>
          </w:tcPr>
          <w:p w14:paraId="3D0F9800">
            <w:pPr>
              <w:pStyle w:val="42"/>
              <w:keepNext w:val="0"/>
              <w:keepLines w:val="0"/>
              <w:pageBreakBefore w:val="0"/>
              <w:widowControl w:val="0"/>
              <w:kinsoku/>
              <w:wordWrap/>
              <w:overflowPunct/>
              <w:topLinePunct w:val="0"/>
              <w:autoSpaceDE/>
              <w:autoSpaceDN/>
              <w:bidi w:val="0"/>
              <w:adjustRightInd/>
              <w:snapToGrid/>
              <w:spacing w:before="110" w:line="360" w:lineRule="exact"/>
              <w:ind w:left="287"/>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现场实际情况</w:t>
            </w:r>
          </w:p>
        </w:tc>
        <w:tc>
          <w:tcPr>
            <w:tcW w:w="905" w:type="dxa"/>
            <w:noWrap w:val="0"/>
            <w:vAlign w:val="top"/>
          </w:tcPr>
          <w:p w14:paraId="230783AF">
            <w:pPr>
              <w:pStyle w:val="42"/>
              <w:keepNext w:val="0"/>
              <w:keepLines w:val="0"/>
              <w:pageBreakBefore w:val="0"/>
              <w:widowControl w:val="0"/>
              <w:kinsoku/>
              <w:wordWrap/>
              <w:overflowPunct/>
              <w:topLinePunct w:val="0"/>
              <w:autoSpaceDE/>
              <w:autoSpaceDN/>
              <w:bidi w:val="0"/>
              <w:adjustRightInd/>
              <w:snapToGrid/>
              <w:spacing w:before="109" w:line="360" w:lineRule="exact"/>
              <w:ind w:left="184"/>
              <w:jc w:val="left"/>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5"/>
                <w:sz w:val="21"/>
                <w:szCs w:val="21"/>
                <w14:textFill>
                  <w14:solidFill>
                    <w14:schemeClr w14:val="tx1"/>
                  </w14:solidFill>
                </w14:textFill>
              </w:rPr>
              <w:t>符合性</w:t>
            </w:r>
          </w:p>
        </w:tc>
      </w:tr>
      <w:tr w14:paraId="7AD1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3" w:hRule="atLeast"/>
        </w:trPr>
        <w:tc>
          <w:tcPr>
            <w:tcW w:w="653" w:type="dxa"/>
            <w:noWrap w:val="0"/>
            <w:vAlign w:val="center"/>
          </w:tcPr>
          <w:p w14:paraId="1B20A72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E4B66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88061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02BAFA2">
            <w:pPr>
              <w:pStyle w:val="42"/>
              <w:keepNext w:val="0"/>
              <w:keepLines w:val="0"/>
              <w:pageBreakBefore w:val="0"/>
              <w:widowControl w:val="0"/>
              <w:kinsoku/>
              <w:wordWrap/>
              <w:overflowPunct/>
              <w:topLinePunct w:val="0"/>
              <w:autoSpaceDE/>
              <w:autoSpaceDN/>
              <w:bidi w:val="0"/>
              <w:adjustRightInd/>
              <w:snapToGrid/>
              <w:spacing w:before="65"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3610" w:type="dxa"/>
            <w:noWrap w:val="0"/>
            <w:vAlign w:val="top"/>
          </w:tcPr>
          <w:p w14:paraId="0CD64FE4">
            <w:pPr>
              <w:pStyle w:val="42"/>
              <w:keepNext w:val="0"/>
              <w:keepLines w:val="0"/>
              <w:pageBreakBefore w:val="0"/>
              <w:widowControl w:val="0"/>
              <w:kinsoku/>
              <w:wordWrap/>
              <w:overflowPunct/>
              <w:topLinePunct w:val="0"/>
              <w:autoSpaceDE/>
              <w:autoSpaceDN/>
              <w:bidi w:val="0"/>
              <w:adjustRightInd/>
              <w:snapToGrid/>
              <w:spacing w:before="33" w:line="360" w:lineRule="exact"/>
              <w:ind w:left="105"/>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厂区的通道宽度应符合下列规定：</w:t>
            </w:r>
          </w:p>
          <w:p w14:paraId="31BDF1BE">
            <w:pPr>
              <w:pStyle w:val="42"/>
              <w:keepNext w:val="0"/>
              <w:keepLines w:val="0"/>
              <w:pageBreakBefore w:val="0"/>
              <w:widowControl w:val="0"/>
              <w:kinsoku/>
              <w:wordWrap/>
              <w:overflowPunct/>
              <w:topLinePunct w:val="0"/>
              <w:autoSpaceDE/>
              <w:autoSpaceDN/>
              <w:bidi w:val="0"/>
              <w:adjustRightInd/>
              <w:snapToGrid/>
              <w:spacing w:before="24" w:line="360" w:lineRule="exact"/>
              <w:ind w:left="102" w:right="106" w:firstLine="16"/>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1）应符合通道两侧建筑物、构筑物及露天设施</w:t>
            </w:r>
            <w:r>
              <w:rPr>
                <w:rFonts w:hint="eastAsia" w:ascii="宋体" w:hAnsi="宋体" w:eastAsia="宋体" w:cs="宋体"/>
                <w:color w:val="000000" w:themeColor="text1"/>
                <w:spacing w:val="15"/>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对防火、安全与卫生间距的要求。</w:t>
            </w:r>
          </w:p>
          <w:p w14:paraId="395A7954">
            <w:pPr>
              <w:pStyle w:val="42"/>
              <w:keepNext w:val="0"/>
              <w:keepLines w:val="0"/>
              <w:pageBreakBefore w:val="0"/>
              <w:widowControl w:val="0"/>
              <w:kinsoku/>
              <w:wordWrap/>
              <w:overflowPunct/>
              <w:topLinePunct w:val="0"/>
              <w:autoSpaceDE/>
              <w:autoSpaceDN/>
              <w:bidi w:val="0"/>
              <w:adjustRightInd/>
              <w:snapToGrid/>
              <w:spacing w:before="24" w:line="360" w:lineRule="exact"/>
              <w:ind w:left="105"/>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2）应符合各种工程管线的布置要求。</w:t>
            </w:r>
          </w:p>
          <w:p w14:paraId="104155BE">
            <w:pPr>
              <w:pStyle w:val="42"/>
              <w:keepNext w:val="0"/>
              <w:keepLines w:val="0"/>
              <w:pageBreakBefore w:val="0"/>
              <w:widowControl w:val="0"/>
              <w:kinsoku/>
              <w:wordWrap/>
              <w:overflowPunct/>
              <w:topLinePunct w:val="0"/>
              <w:autoSpaceDE/>
              <w:autoSpaceDN/>
              <w:bidi w:val="0"/>
              <w:adjustRightInd/>
              <w:snapToGrid/>
              <w:spacing w:before="27" w:line="360" w:lineRule="exact"/>
              <w:ind w:left="107"/>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3）应符合绿化布置的要求。</w:t>
            </w:r>
          </w:p>
          <w:p w14:paraId="6543C4C3">
            <w:pPr>
              <w:pStyle w:val="42"/>
              <w:keepNext w:val="0"/>
              <w:keepLines w:val="0"/>
              <w:pageBreakBefore w:val="0"/>
              <w:widowControl w:val="0"/>
              <w:kinsoku/>
              <w:wordWrap/>
              <w:overflowPunct/>
              <w:topLinePunct w:val="0"/>
              <w:autoSpaceDE/>
              <w:autoSpaceDN/>
              <w:bidi w:val="0"/>
              <w:adjustRightInd/>
              <w:snapToGrid/>
              <w:spacing w:before="25" w:line="360" w:lineRule="exact"/>
              <w:ind w:left="10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4）应符合施工、安装与检修的要求。</w:t>
            </w:r>
          </w:p>
          <w:p w14:paraId="50C1825F">
            <w:pPr>
              <w:pStyle w:val="42"/>
              <w:keepNext w:val="0"/>
              <w:keepLines w:val="0"/>
              <w:pageBreakBefore w:val="0"/>
              <w:widowControl w:val="0"/>
              <w:kinsoku/>
              <w:wordWrap/>
              <w:overflowPunct/>
              <w:topLinePunct w:val="0"/>
              <w:autoSpaceDE/>
              <w:autoSpaceDN/>
              <w:bidi w:val="0"/>
              <w:adjustRightInd/>
              <w:snapToGrid/>
              <w:spacing w:before="27" w:line="360" w:lineRule="exact"/>
              <w:ind w:left="107"/>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5）应符合竖向设计的要求。</w:t>
            </w:r>
          </w:p>
          <w:p w14:paraId="786A446A">
            <w:pPr>
              <w:pStyle w:val="42"/>
              <w:keepNext w:val="0"/>
              <w:keepLines w:val="0"/>
              <w:pageBreakBefore w:val="0"/>
              <w:widowControl w:val="0"/>
              <w:kinsoku/>
              <w:wordWrap/>
              <w:overflowPunct/>
              <w:topLinePunct w:val="0"/>
              <w:autoSpaceDE/>
              <w:autoSpaceDN/>
              <w:bidi w:val="0"/>
              <w:adjustRightInd/>
              <w:snapToGrid/>
              <w:spacing w:before="24" w:line="360" w:lineRule="exact"/>
              <w:ind w:left="104"/>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6）应符合预留发展用地的要求。</w:t>
            </w:r>
          </w:p>
        </w:tc>
        <w:tc>
          <w:tcPr>
            <w:tcW w:w="2066" w:type="dxa"/>
            <w:noWrap w:val="0"/>
            <w:vAlign w:val="top"/>
          </w:tcPr>
          <w:p w14:paraId="6FED1040">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7D8E353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1D172393">
            <w:pPr>
              <w:pStyle w:val="42"/>
              <w:keepNext w:val="0"/>
              <w:keepLines w:val="0"/>
              <w:pageBreakBefore w:val="0"/>
              <w:widowControl w:val="0"/>
              <w:kinsoku/>
              <w:wordWrap/>
              <w:overflowPunct/>
              <w:topLinePunct w:val="0"/>
              <w:autoSpaceDE/>
              <w:autoSpaceDN/>
              <w:bidi w:val="0"/>
              <w:adjustRightInd/>
              <w:snapToGrid/>
              <w:spacing w:before="65" w:line="360" w:lineRule="exact"/>
              <w:ind w:left="114" w:right="47" w:firstLine="5"/>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7"/>
                <w:sz w:val="21"/>
                <w:szCs w:val="21"/>
                <w14:textFill>
                  <w14:solidFill>
                    <w14:schemeClr w14:val="tx1"/>
                  </w14:solidFill>
                </w14:textFill>
              </w:rPr>
              <w:t>《工业企业总平</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面</w:t>
            </w:r>
            <w:r>
              <w:rPr>
                <w:rFonts w:hint="eastAsia" w:ascii="宋体" w:hAnsi="宋体" w:eastAsia="宋体" w:cs="宋体"/>
                <w:color w:val="000000" w:themeColor="text1"/>
                <w:spacing w:val="-16"/>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设</w:t>
            </w:r>
            <w:r>
              <w:rPr>
                <w:rFonts w:hint="eastAsia" w:ascii="宋体" w:hAnsi="宋体" w:eastAsia="宋体" w:cs="宋体"/>
                <w:color w:val="000000" w:themeColor="text1"/>
                <w:spacing w:val="-20"/>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计</w:t>
            </w:r>
            <w:r>
              <w:rPr>
                <w:rFonts w:hint="eastAsia" w:ascii="宋体" w:hAnsi="宋体" w:eastAsia="宋体" w:cs="宋体"/>
                <w:color w:val="000000" w:themeColor="text1"/>
                <w:spacing w:val="-21"/>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规</w:t>
            </w:r>
            <w:r>
              <w:rPr>
                <w:rFonts w:hint="eastAsia" w:ascii="宋体" w:hAnsi="宋体" w:eastAsia="宋体" w:cs="宋体"/>
                <w:color w:val="000000" w:themeColor="text1"/>
                <w:spacing w:val="-15"/>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范 》</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GB</w:t>
            </w:r>
            <w:r>
              <w:rPr>
                <w:rFonts w:hint="eastAsia" w:ascii="宋体" w:hAnsi="宋体" w:eastAsia="宋体" w:cs="宋体"/>
                <w:color w:val="000000" w:themeColor="text1"/>
                <w:spacing w:val="4"/>
                <w:sz w:val="21"/>
                <w:szCs w:val="21"/>
                <w14:textFill>
                  <w14:solidFill>
                    <w14:schemeClr w14:val="tx1"/>
                  </w14:solidFill>
                </w14:textFill>
              </w:rPr>
              <w:t>50187-2012）</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第</w:t>
            </w:r>
            <w:r>
              <w:rPr>
                <w:rFonts w:hint="eastAsia" w:ascii="宋体" w:hAnsi="宋体" w:eastAsia="宋体" w:cs="宋体"/>
                <w:color w:val="000000" w:themeColor="text1"/>
                <w:spacing w:val="-31"/>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5.1.4</w:t>
            </w:r>
            <w:r>
              <w:rPr>
                <w:rFonts w:hint="eastAsia" w:ascii="宋体" w:hAnsi="宋体" w:eastAsia="宋体" w:cs="宋体"/>
                <w:color w:val="000000" w:themeColor="text1"/>
                <w:spacing w:val="-36"/>
                <w:sz w:val="21"/>
                <w:szCs w:val="21"/>
                <w14:textFill>
                  <w14:solidFill>
                    <w14:schemeClr w14:val="tx1"/>
                  </w14:solidFill>
                </w14:textFill>
              </w:rPr>
              <w:t xml:space="preserve"> </w:t>
            </w:r>
            <w:r>
              <w:rPr>
                <w:rFonts w:hint="eastAsia" w:ascii="宋体" w:hAnsi="宋体" w:eastAsia="宋体" w:cs="宋体"/>
                <w:color w:val="000000" w:themeColor="text1"/>
                <w:spacing w:val="1"/>
                <w:sz w:val="21"/>
                <w:szCs w:val="21"/>
                <w14:textFill>
                  <w14:solidFill>
                    <w14:schemeClr w14:val="tx1"/>
                  </w14:solidFill>
                </w14:textFill>
              </w:rPr>
              <w:t>条</w:t>
            </w:r>
          </w:p>
        </w:tc>
        <w:tc>
          <w:tcPr>
            <w:tcW w:w="1644" w:type="dxa"/>
            <w:noWrap w:val="0"/>
            <w:vAlign w:val="top"/>
          </w:tcPr>
          <w:p w14:paraId="68996DE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58FF715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6A3B5B8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377313B8">
            <w:pPr>
              <w:pStyle w:val="42"/>
              <w:keepNext w:val="0"/>
              <w:keepLines w:val="0"/>
              <w:pageBreakBefore w:val="0"/>
              <w:widowControl w:val="0"/>
              <w:kinsoku/>
              <w:wordWrap/>
              <w:overflowPunct/>
              <w:topLinePunct w:val="0"/>
              <w:autoSpaceDE/>
              <w:autoSpaceDN/>
              <w:bidi w:val="0"/>
              <w:adjustRightInd/>
              <w:snapToGrid/>
              <w:spacing w:before="65" w:line="360" w:lineRule="exact"/>
              <w:ind w:left="120" w:right="96" w:firstLine="2"/>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16"/>
                <w:sz w:val="21"/>
                <w:szCs w:val="21"/>
                <w14:textFill>
                  <w14:solidFill>
                    <w14:schemeClr w14:val="tx1"/>
                  </w14:solidFill>
                </w14:textFill>
              </w:rPr>
              <w:t>项</w:t>
            </w:r>
            <w:r>
              <w:rPr>
                <w:rFonts w:hint="eastAsia" w:ascii="宋体" w:hAnsi="宋体" w:eastAsia="宋体" w:cs="宋体"/>
                <w:color w:val="000000" w:themeColor="text1"/>
                <w:spacing w:val="-31"/>
                <w:sz w:val="21"/>
                <w:szCs w:val="21"/>
                <w14:textFill>
                  <w14:solidFill>
                    <w14:schemeClr w14:val="tx1"/>
                  </w14:solidFill>
                </w14:textFill>
              </w:rPr>
              <w:t xml:space="preserve"> </w:t>
            </w:r>
            <w:r>
              <w:rPr>
                <w:rFonts w:hint="eastAsia" w:ascii="宋体" w:hAnsi="宋体" w:eastAsia="宋体" w:cs="宋体"/>
                <w:color w:val="000000" w:themeColor="text1"/>
                <w:spacing w:val="16"/>
                <w:sz w:val="21"/>
                <w:szCs w:val="21"/>
                <w14:textFill>
                  <w14:solidFill>
                    <w14:schemeClr w14:val="tx1"/>
                  </w14:solidFill>
                </w14:textFill>
              </w:rPr>
              <w:t>目建设现场符</w:t>
            </w:r>
            <w:r>
              <w:rPr>
                <w:rFonts w:hint="eastAsia" w:ascii="宋体" w:hAnsi="宋体" w:eastAsia="宋体" w:cs="宋体"/>
                <w:color w:val="000000" w:themeColor="text1"/>
                <w:spacing w:val="6"/>
                <w:sz w:val="21"/>
                <w:szCs w:val="21"/>
                <w14:textFill>
                  <w14:solidFill>
                    <w14:schemeClr w14:val="tx1"/>
                  </w14:solidFill>
                </w14:textFill>
              </w:rPr>
              <w:t>合设计要求。</w:t>
            </w:r>
          </w:p>
        </w:tc>
        <w:tc>
          <w:tcPr>
            <w:tcW w:w="905" w:type="dxa"/>
            <w:noWrap w:val="0"/>
            <w:vAlign w:val="top"/>
          </w:tcPr>
          <w:p w14:paraId="40DE523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2FCBE09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0E2D490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color w:val="000000" w:themeColor="text1"/>
                <w:sz w:val="21"/>
                <w:szCs w:val="21"/>
                <w14:textFill>
                  <w14:solidFill>
                    <w14:schemeClr w14:val="tx1"/>
                  </w14:solidFill>
                </w14:textFill>
              </w:rPr>
            </w:pPr>
          </w:p>
          <w:p w14:paraId="60D2DD66">
            <w:pPr>
              <w:pStyle w:val="42"/>
              <w:keepNext w:val="0"/>
              <w:keepLines w:val="0"/>
              <w:pageBreakBefore w:val="0"/>
              <w:widowControl w:val="0"/>
              <w:kinsoku/>
              <w:wordWrap/>
              <w:overflowPunct/>
              <w:topLinePunct w:val="0"/>
              <w:autoSpaceDE/>
              <w:autoSpaceDN/>
              <w:bidi w:val="0"/>
              <w:adjustRightInd/>
              <w:snapToGrid/>
              <w:spacing w:before="65" w:line="360" w:lineRule="exact"/>
              <w:ind w:left="289"/>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0D17F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2" w:hRule="atLeast"/>
        </w:trPr>
        <w:tc>
          <w:tcPr>
            <w:tcW w:w="653" w:type="dxa"/>
            <w:noWrap w:val="0"/>
            <w:vAlign w:val="center"/>
          </w:tcPr>
          <w:p w14:paraId="3E2C99DB">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center"/>
              <w:textAlignment w:val="auto"/>
              <w:rPr>
                <w:rFonts w:hint="default" w:ascii="宋体" w:hAnsi="宋体" w:eastAsia="宋体" w:cs="宋体"/>
                <w:color w:val="000000" w:themeColor="text1"/>
                <w:spacing w:val="7"/>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2</w:t>
            </w:r>
          </w:p>
        </w:tc>
        <w:tc>
          <w:tcPr>
            <w:tcW w:w="3610" w:type="dxa"/>
            <w:noWrap w:val="0"/>
            <w:vAlign w:val="top"/>
          </w:tcPr>
          <w:p w14:paraId="021CF584">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场内道路路面全部采用15cm 碎石面层。道路边沟采用M10 浆砌石排 水沟，排水沟为矩形断面，尺寸为40cm×40cm, 采用砂浆抹面。在地形较 陡地段，为防止路面被雨水冲刷而产生的破坏，在运维期加强路面维护。</w:t>
            </w:r>
          </w:p>
        </w:tc>
        <w:tc>
          <w:tcPr>
            <w:tcW w:w="2066" w:type="dxa"/>
            <w:shd w:val="clear" w:color="auto" w:fill="auto"/>
            <w:noWrap w:val="0"/>
            <w:vAlign w:val="top"/>
          </w:tcPr>
          <w:p w14:paraId="786CE69D">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lang w:val="en-US" w:eastAsia="en-US"/>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《项目安全设施 设计》</w:t>
            </w:r>
          </w:p>
        </w:tc>
        <w:tc>
          <w:tcPr>
            <w:tcW w:w="1644" w:type="dxa"/>
            <w:shd w:val="clear" w:color="auto" w:fill="auto"/>
            <w:noWrap w:val="0"/>
            <w:vAlign w:val="top"/>
          </w:tcPr>
          <w:p w14:paraId="12163F08">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lang w:val="en-US" w:eastAsia="en-US"/>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项目建设现场道路符合设计要求。</w:t>
            </w:r>
          </w:p>
        </w:tc>
        <w:tc>
          <w:tcPr>
            <w:tcW w:w="905" w:type="dxa"/>
            <w:shd w:val="clear" w:color="auto" w:fill="auto"/>
            <w:noWrap w:val="0"/>
            <w:vAlign w:val="top"/>
          </w:tcPr>
          <w:p w14:paraId="62CB7D26">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p>
          <w:p w14:paraId="4E37C670">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lang w:val="en-US" w:eastAsia="en-US"/>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符合</w:t>
            </w:r>
          </w:p>
        </w:tc>
      </w:tr>
      <w:tr w14:paraId="497FF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2" w:hRule="atLeast"/>
        </w:trPr>
        <w:tc>
          <w:tcPr>
            <w:tcW w:w="653" w:type="dxa"/>
            <w:noWrap w:val="0"/>
            <w:vAlign w:val="center"/>
          </w:tcPr>
          <w:p w14:paraId="7D93B5D1">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center"/>
              <w:textAlignment w:val="auto"/>
              <w:rPr>
                <w:rFonts w:hint="eastAsia" w:ascii="宋体" w:hAnsi="宋体" w:eastAsia="宋体" w:cs="宋体"/>
                <w:color w:val="000000" w:themeColor="text1"/>
                <w:spacing w:val="7"/>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3</w:t>
            </w:r>
          </w:p>
        </w:tc>
        <w:tc>
          <w:tcPr>
            <w:tcW w:w="3610" w:type="dxa"/>
            <w:noWrap w:val="0"/>
            <w:vAlign w:val="top"/>
          </w:tcPr>
          <w:p w14:paraId="607CADC9">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在视距不良的急弯路段根据需要设置线形诱导标志、警告、减速等安 全警示标志，在平面交叉口，设置道口标志等安全警示标志，在受限路段在起终点处设置减速、限载、限高等安全警告标志。</w:t>
            </w:r>
          </w:p>
        </w:tc>
        <w:tc>
          <w:tcPr>
            <w:tcW w:w="2066" w:type="dxa"/>
            <w:shd w:val="clear" w:color="auto" w:fill="auto"/>
            <w:noWrap w:val="0"/>
            <w:vAlign w:val="top"/>
          </w:tcPr>
          <w:p w14:paraId="1D47D5FB">
            <w:pPr>
              <w:pStyle w:val="42"/>
              <w:keepNext w:val="0"/>
              <w:keepLines w:val="0"/>
              <w:pageBreakBefore w:val="0"/>
              <w:widowControl w:val="0"/>
              <w:kinsoku/>
              <w:wordWrap/>
              <w:overflowPunct/>
              <w:topLinePunct w:val="0"/>
              <w:autoSpaceDE/>
              <w:autoSpaceDN/>
              <w:bidi w:val="0"/>
              <w:adjustRightInd/>
              <w:snapToGrid/>
              <w:spacing w:before="52" w:line="360" w:lineRule="exact"/>
              <w:ind w:left="107" w:leftChars="0" w:right="78" w:rightChars="0" w:hanging="5" w:firstLineChars="0"/>
              <w:jc w:val="both"/>
              <w:textAlignment w:val="auto"/>
              <w:rPr>
                <w:rFonts w:hint="eastAsia" w:ascii="宋体" w:hAnsi="宋体" w:eastAsia="宋体" w:cs="宋体"/>
                <w:color w:val="000000" w:themeColor="text1"/>
                <w:spacing w:val="7"/>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《项目安全设施 设计》</w:t>
            </w:r>
          </w:p>
        </w:tc>
        <w:tc>
          <w:tcPr>
            <w:tcW w:w="1644" w:type="dxa"/>
            <w:shd w:val="clear" w:color="auto" w:fill="auto"/>
            <w:noWrap w:val="0"/>
            <w:vAlign w:val="top"/>
          </w:tcPr>
          <w:p w14:paraId="264345BD">
            <w:pPr>
              <w:pStyle w:val="42"/>
              <w:keepNext w:val="0"/>
              <w:keepLines w:val="0"/>
              <w:pageBreakBefore w:val="0"/>
              <w:widowControl w:val="0"/>
              <w:kinsoku/>
              <w:wordWrap/>
              <w:overflowPunct/>
              <w:topLinePunct w:val="0"/>
              <w:autoSpaceDE/>
              <w:autoSpaceDN/>
              <w:bidi w:val="0"/>
              <w:adjustRightInd/>
              <w:snapToGrid/>
              <w:spacing w:before="52" w:line="360" w:lineRule="exact"/>
              <w:ind w:left="107" w:leftChars="0" w:right="78" w:rightChars="0" w:hanging="5" w:firstLineChars="0"/>
              <w:jc w:val="both"/>
              <w:textAlignment w:val="auto"/>
              <w:rPr>
                <w:rFonts w:hint="eastAsia" w:ascii="宋体" w:hAnsi="宋体" w:eastAsia="宋体" w:cs="宋体"/>
                <w:color w:val="000000" w:themeColor="text1"/>
                <w:spacing w:val="7"/>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急弯路段</w:t>
            </w:r>
            <w:r>
              <w:rPr>
                <w:rFonts w:hint="eastAsia" w:cs="宋体"/>
                <w:color w:val="000000" w:themeColor="text1"/>
                <w:spacing w:val="7"/>
                <w:sz w:val="21"/>
                <w:szCs w:val="21"/>
                <w:lang w:val="en-US" w:eastAsia="zh-CN"/>
                <w14:textFill>
                  <w14:solidFill>
                    <w14:schemeClr w14:val="tx1"/>
                  </w14:solidFill>
                </w14:textFill>
              </w:rPr>
              <w:t>未</w:t>
            </w:r>
            <w:r>
              <w:rPr>
                <w:rFonts w:hint="eastAsia" w:ascii="宋体" w:hAnsi="宋体" w:eastAsia="宋体" w:cs="宋体"/>
                <w:color w:val="000000" w:themeColor="text1"/>
                <w:spacing w:val="7"/>
                <w:sz w:val="21"/>
                <w:szCs w:val="21"/>
                <w14:textFill>
                  <w14:solidFill>
                    <w14:schemeClr w14:val="tx1"/>
                  </w14:solidFill>
                </w14:textFill>
              </w:rPr>
              <w:t>根据需要警告、减速等安 全警示标志，</w:t>
            </w:r>
          </w:p>
        </w:tc>
        <w:tc>
          <w:tcPr>
            <w:tcW w:w="905" w:type="dxa"/>
            <w:shd w:val="clear" w:color="auto" w:fill="auto"/>
            <w:noWrap w:val="0"/>
            <w:vAlign w:val="top"/>
          </w:tcPr>
          <w:p w14:paraId="414FBCA4">
            <w:pPr>
              <w:pStyle w:val="42"/>
              <w:keepNext w:val="0"/>
              <w:keepLines w:val="0"/>
              <w:pageBreakBefore w:val="0"/>
              <w:widowControl w:val="0"/>
              <w:kinsoku/>
              <w:wordWrap/>
              <w:overflowPunct/>
              <w:topLinePunct w:val="0"/>
              <w:autoSpaceDE/>
              <w:autoSpaceDN/>
              <w:bidi w:val="0"/>
              <w:adjustRightInd/>
              <w:snapToGrid/>
              <w:spacing w:before="52" w:line="360" w:lineRule="exact"/>
              <w:ind w:left="107" w:right="78" w:hanging="5"/>
              <w:jc w:val="both"/>
              <w:textAlignment w:val="auto"/>
              <w:rPr>
                <w:rFonts w:hint="eastAsia" w:ascii="宋体" w:hAnsi="宋体" w:eastAsia="宋体" w:cs="宋体"/>
                <w:color w:val="000000" w:themeColor="text1"/>
                <w:spacing w:val="7"/>
                <w:sz w:val="21"/>
                <w:szCs w:val="21"/>
                <w14:textFill>
                  <w14:solidFill>
                    <w14:schemeClr w14:val="tx1"/>
                  </w14:solidFill>
                </w14:textFill>
              </w:rPr>
            </w:pPr>
          </w:p>
          <w:p w14:paraId="151806D3">
            <w:pPr>
              <w:pStyle w:val="42"/>
              <w:keepNext w:val="0"/>
              <w:keepLines w:val="0"/>
              <w:pageBreakBefore w:val="0"/>
              <w:widowControl w:val="0"/>
              <w:kinsoku/>
              <w:wordWrap/>
              <w:overflowPunct/>
              <w:topLinePunct w:val="0"/>
              <w:autoSpaceDE/>
              <w:autoSpaceDN/>
              <w:bidi w:val="0"/>
              <w:adjustRightInd/>
              <w:snapToGrid/>
              <w:spacing w:before="52" w:line="360" w:lineRule="exact"/>
              <w:ind w:left="107" w:leftChars="0" w:right="78" w:rightChars="0" w:hanging="5" w:firstLineChars="0"/>
              <w:jc w:val="both"/>
              <w:textAlignment w:val="auto"/>
              <w:rPr>
                <w:rFonts w:hint="eastAsia" w:ascii="宋体" w:hAnsi="宋体" w:eastAsia="宋体" w:cs="宋体"/>
                <w:color w:val="000000" w:themeColor="text1"/>
                <w:spacing w:val="7"/>
                <w:kern w:val="2"/>
                <w:sz w:val="21"/>
                <w:szCs w:val="21"/>
                <w:lang w:val="en-US" w:eastAsia="en-US" w:bidi="ar-SA"/>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不</w:t>
            </w:r>
            <w:r>
              <w:rPr>
                <w:rFonts w:hint="eastAsia" w:ascii="宋体" w:hAnsi="宋体" w:eastAsia="宋体" w:cs="宋体"/>
                <w:color w:val="000000" w:themeColor="text1"/>
                <w:spacing w:val="7"/>
                <w:sz w:val="21"/>
                <w:szCs w:val="21"/>
                <w14:textFill>
                  <w14:solidFill>
                    <w14:schemeClr w14:val="tx1"/>
                  </w14:solidFill>
                </w14:textFill>
              </w:rPr>
              <w:t>符合</w:t>
            </w:r>
          </w:p>
        </w:tc>
      </w:tr>
    </w:tbl>
    <w:p w14:paraId="28E28313">
      <w:pPr>
        <w:pStyle w:val="14"/>
        <w:keepNext w:val="0"/>
        <w:keepLines w:val="0"/>
        <w:pageBreakBefore w:val="0"/>
        <w:widowControl w:val="0"/>
        <w:kinsoku/>
        <w:wordWrap/>
        <w:overflowPunct/>
        <w:topLinePunct w:val="0"/>
        <w:autoSpaceDE/>
        <w:autoSpaceDN/>
        <w:bidi w:val="0"/>
        <w:adjustRightInd/>
        <w:snapToGrid/>
        <w:spacing w:after="0" w:line="500" w:lineRule="exact"/>
        <w:ind w:left="130" w:right="102" w:firstLine="559"/>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spacing w:val="-5"/>
          <w14:textFill>
            <w14:solidFill>
              <w14:schemeClr w14:val="tx1"/>
            </w14:solidFill>
          </w14:textFill>
        </w:rPr>
        <w:t>评价分析：针对道路运输安全检查表内的</w:t>
      </w:r>
      <w:r>
        <w:rPr>
          <w:rFonts w:hint="eastAsia" w:ascii="宋体" w:hAnsi="宋体" w:eastAsia="宋体" w:cs="宋体"/>
          <w:color w:val="000000" w:themeColor="text1"/>
          <w:spacing w:val="-61"/>
          <w:lang w:val="en-US" w:eastAsia="zh-CN"/>
          <w14:textFill>
            <w14:solidFill>
              <w14:schemeClr w14:val="tx1"/>
            </w14:solidFill>
          </w14:textFill>
        </w:rPr>
        <w:t>3</w:t>
      </w:r>
      <w:r>
        <w:rPr>
          <w:rFonts w:hint="eastAsia" w:ascii="宋体" w:hAnsi="宋体" w:eastAsia="宋体" w:cs="宋体"/>
          <w:color w:val="000000" w:themeColor="text1"/>
          <w:spacing w:val="-5"/>
          <w14:textFill>
            <w14:solidFill>
              <w14:schemeClr w14:val="tx1"/>
            </w14:solidFill>
          </w14:textFill>
        </w:rPr>
        <w:t>项内容，其中</w:t>
      </w:r>
      <w:r>
        <w:rPr>
          <w:rFonts w:hint="eastAsia" w:ascii="宋体" w:hAnsi="宋体" w:eastAsia="宋体" w:cs="宋体"/>
          <w:color w:val="000000" w:themeColor="text1"/>
          <w:spacing w:val="-57"/>
          <w14:textFill>
            <w14:solidFill>
              <w14:schemeClr w14:val="tx1"/>
            </w14:solidFill>
          </w14:textFill>
        </w:rPr>
        <w:t xml:space="preserve"> </w:t>
      </w:r>
      <w:r>
        <w:rPr>
          <w:rFonts w:hint="eastAsia" w:ascii="宋体" w:hAnsi="宋体" w:eastAsia="宋体" w:cs="宋体"/>
          <w:color w:val="000000" w:themeColor="text1"/>
          <w:spacing w:val="-5"/>
          <w:lang w:val="en-US" w:eastAsia="zh-CN"/>
          <w14:textFill>
            <w14:solidFill>
              <w14:schemeClr w14:val="tx1"/>
            </w14:solidFill>
          </w14:textFill>
        </w:rPr>
        <w:t>2</w:t>
      </w:r>
      <w:r>
        <w:rPr>
          <w:rFonts w:hint="eastAsia" w:ascii="宋体" w:hAnsi="宋体" w:eastAsia="宋体" w:cs="宋体"/>
          <w:color w:val="000000" w:themeColor="text1"/>
          <w:spacing w:val="-5"/>
          <w14:textFill>
            <w14:solidFill>
              <w14:schemeClr w14:val="tx1"/>
            </w14:solidFill>
          </w14:textFill>
        </w:rPr>
        <w:t>项</w:t>
      </w:r>
      <w:r>
        <w:rPr>
          <w:rFonts w:hint="eastAsia" w:ascii="宋体" w:hAnsi="宋体" w:eastAsia="宋体" w:cs="宋体"/>
          <w:color w:val="000000" w:themeColor="text1"/>
          <w:spacing w:val="-6"/>
          <w14:textFill>
            <w14:solidFill>
              <w14:schemeClr w14:val="tx1"/>
            </w14:solidFill>
          </w14:textFill>
        </w:rPr>
        <w:t>合格，1</w:t>
      </w:r>
      <w:r>
        <w:rPr>
          <w:rFonts w:hint="eastAsia" w:ascii="宋体" w:hAnsi="宋体" w:eastAsia="宋体" w:cs="宋体"/>
          <w:color w:val="000000" w:themeColor="text1"/>
          <w:spacing w:val="-56"/>
          <w14:textFill>
            <w14:solidFill>
              <w14:schemeClr w14:val="tx1"/>
            </w14:solidFill>
          </w14:textFill>
        </w:rPr>
        <w:t xml:space="preserve"> </w:t>
      </w:r>
      <w:r>
        <w:rPr>
          <w:rFonts w:hint="eastAsia" w:ascii="宋体" w:hAnsi="宋体" w:eastAsia="宋体" w:cs="宋体"/>
          <w:color w:val="000000" w:themeColor="text1"/>
          <w:spacing w:val="-6"/>
          <w14:textFill>
            <w14:solidFill>
              <w14:schemeClr w14:val="tx1"/>
            </w14:solidFill>
          </w14:textFill>
        </w:rPr>
        <w:t>项不</w:t>
      </w:r>
      <w:r>
        <w:rPr>
          <w:rFonts w:hint="eastAsia" w:ascii="宋体" w:hAnsi="宋体" w:eastAsia="宋体" w:cs="宋体"/>
          <w:color w:val="000000" w:themeColor="text1"/>
          <w:spacing w:val="-4"/>
          <w14:textFill>
            <w14:solidFill>
              <w14:schemeClr w14:val="tx1"/>
            </w14:solidFill>
          </w14:textFill>
        </w:rPr>
        <w:t>合格。</w:t>
      </w:r>
    </w:p>
    <w:p w14:paraId="3F9B17F1">
      <w:pPr>
        <w:pStyle w:val="4"/>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单元小结</w:t>
      </w:r>
    </w:p>
    <w:p w14:paraId="6DCC9552">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根据“光伏发电站总平面布置安全检查表”检查结果：电站总平面布置较全面考虑了自然地理条件、工作环境、交通道路、环境绿化等因素，进行统一规划、合理安排。总平面布置符合《工业企业总平面设计规范》（GB50187-2012）、《光伏发电站设计规范》（</w:t>
      </w:r>
      <w:r>
        <w:rPr>
          <w:rFonts w:hint="eastAsia" w:ascii="宋体" w:hAnsi="宋体" w:eastAsia="宋体" w:cs="宋体"/>
          <w:color w:val="000000" w:themeColor="text1"/>
          <w:lang w:eastAsia="zh-CN"/>
          <w14:textFill>
            <w14:solidFill>
              <w14:schemeClr w14:val="tx1"/>
            </w14:solidFill>
          </w14:textFill>
        </w:rPr>
        <w:t>GB 50797-2012</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eastAsia="zh-CN"/>
          <w14:textFill>
            <w14:solidFill>
              <w14:schemeClr w14:val="tx1"/>
            </w14:solidFill>
          </w14:textFill>
        </w:rPr>
        <w:t>35kV～220kV无人值班变电站设计技术规程</w:t>
      </w:r>
      <w:r>
        <w:rPr>
          <w:rFonts w:hint="eastAsia" w:ascii="宋体" w:hAnsi="宋体" w:eastAsia="宋体" w:cs="宋体"/>
          <w:color w:val="000000" w:themeColor="text1"/>
          <w14:textFill>
            <w14:solidFill>
              <w14:schemeClr w14:val="tx1"/>
            </w14:solidFill>
          </w14:textFill>
        </w:rPr>
        <w:t>》（DL/T5103-201</w:t>
      </w:r>
      <w:r>
        <w:rPr>
          <w:rFonts w:hint="eastAsia" w:ascii="宋体" w:hAnsi="宋体" w:eastAsia="宋体" w:cs="宋体"/>
          <w:color w:val="000000" w:themeColor="text1"/>
          <w:lang w:val="en-US" w:eastAsia="zh-CN"/>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安全设施设计</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等的要求。</w:t>
      </w:r>
    </w:p>
    <w:p w14:paraId="13256757">
      <w:pPr>
        <w:pStyle w:val="3"/>
        <w:bidi w:val="0"/>
        <w:rPr>
          <w:rFonts w:hint="eastAsia"/>
          <w:color w:val="000000" w:themeColor="text1"/>
          <w:lang w:val="en-US" w:eastAsia="zh-CN"/>
          <w14:textFill>
            <w14:solidFill>
              <w14:schemeClr w14:val="tx1"/>
            </w14:solidFill>
          </w14:textFill>
        </w:rPr>
      </w:pPr>
      <w:bookmarkStart w:id="308" w:name="_Toc13886"/>
      <w:bookmarkStart w:id="309" w:name="_Toc28650"/>
      <w:bookmarkStart w:id="310" w:name="_Toc12079"/>
      <w:r>
        <w:rPr>
          <w:rFonts w:hint="eastAsia"/>
          <w:color w:val="000000" w:themeColor="text1"/>
          <w:lang w:val="en-US" w:eastAsia="zh-CN"/>
          <w14:textFill>
            <w14:solidFill>
              <w14:schemeClr w14:val="tx1"/>
            </w14:solidFill>
          </w14:textFill>
        </w:rPr>
        <w:t>建（构）筑物等土建工程单元</w:t>
      </w:r>
      <w:bookmarkEnd w:id="308"/>
      <w:bookmarkEnd w:id="309"/>
      <w:bookmarkEnd w:id="310"/>
    </w:p>
    <w:p w14:paraId="4D80B5C5">
      <w:pPr>
        <w:pStyle w:val="4"/>
        <w:bidi w:val="0"/>
        <w:rPr>
          <w:rFonts w:hint="eastAsia"/>
          <w:color w:val="000000" w:themeColor="text1"/>
          <w:lang w:val="en-US" w:eastAsia="zh-CN"/>
          <w14:textFill>
            <w14:solidFill>
              <w14:schemeClr w14:val="tx1"/>
            </w14:solidFill>
          </w14:textFill>
        </w:rPr>
      </w:pPr>
      <w:bookmarkStart w:id="311" w:name="_Toc15311"/>
      <w:bookmarkStart w:id="312" w:name="_Toc17010"/>
      <w:r>
        <w:rPr>
          <w:rFonts w:hint="eastAsia"/>
          <w:color w:val="000000" w:themeColor="text1"/>
          <w:lang w:val="en-US" w:eastAsia="zh-CN"/>
          <w14:textFill>
            <w14:solidFill>
              <w14:schemeClr w14:val="tx1"/>
            </w14:solidFill>
          </w14:textFill>
        </w:rPr>
        <w:t>建（构）筑物安全检查表</w:t>
      </w:r>
      <w:bookmarkEnd w:id="311"/>
      <w:bookmarkEnd w:id="312"/>
    </w:p>
    <w:p w14:paraId="740FC766">
      <w:pPr>
        <w:pStyle w:val="12"/>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建（构）筑物安全检查</w:t>
      </w:r>
      <w:r>
        <w:rPr>
          <w:color w:val="000000" w:themeColor="text1"/>
          <w14:textFill>
            <w14:solidFill>
              <w14:schemeClr w14:val="tx1"/>
            </w14:solidFill>
          </w14:textFill>
        </w:rPr>
        <w:t>表</w:t>
      </w:r>
    </w:p>
    <w:tbl>
      <w:tblPr>
        <w:tblStyle w:val="28"/>
        <w:tblW w:w="48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958"/>
        <w:gridCol w:w="2064"/>
        <w:gridCol w:w="2532"/>
        <w:gridCol w:w="707"/>
      </w:tblGrid>
      <w:tr w14:paraId="5D358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367" w:type="pct"/>
            <w:noWrap w:val="0"/>
            <w:vAlign w:val="center"/>
          </w:tcPr>
          <w:p w14:paraId="11F99C93">
            <w:pPr>
              <w:pStyle w:val="23"/>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序号</w:t>
            </w:r>
          </w:p>
        </w:tc>
        <w:tc>
          <w:tcPr>
            <w:tcW w:w="1658" w:type="pct"/>
            <w:noWrap w:val="0"/>
            <w:vAlign w:val="center"/>
          </w:tcPr>
          <w:p w14:paraId="6CB7E5F1">
            <w:pPr>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检查项目与内容</w:t>
            </w:r>
          </w:p>
        </w:tc>
        <w:tc>
          <w:tcPr>
            <w:tcW w:w="1157" w:type="pct"/>
            <w:noWrap w:val="0"/>
            <w:vAlign w:val="center"/>
          </w:tcPr>
          <w:p w14:paraId="39923F4E">
            <w:pPr>
              <w:pStyle w:val="23"/>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依据标准条款</w:t>
            </w:r>
          </w:p>
        </w:tc>
        <w:tc>
          <w:tcPr>
            <w:tcW w:w="1419" w:type="pct"/>
            <w:noWrap w:val="0"/>
            <w:vAlign w:val="center"/>
          </w:tcPr>
          <w:p w14:paraId="404BD0AB">
            <w:pPr>
              <w:pStyle w:val="23"/>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检查记录</w:t>
            </w:r>
          </w:p>
        </w:tc>
        <w:tc>
          <w:tcPr>
            <w:tcW w:w="396" w:type="pct"/>
            <w:noWrap w:val="0"/>
            <w:vAlign w:val="center"/>
          </w:tcPr>
          <w:p w14:paraId="0BF4B16C">
            <w:pPr>
              <w:keepNext w:val="0"/>
              <w:keepLines w:val="0"/>
              <w:pageBreakBefore w:val="0"/>
              <w:widowControl w:val="0"/>
              <w:kinsoku/>
              <w:bidi w:val="0"/>
              <w:spacing w:line="240" w:lineRule="auto"/>
              <w:ind w:left="0" w:leftChars="0" w:right="0" w:rightChars="0" w:firstLine="0" w:firstLineChars="0"/>
              <w:jc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检查结果</w:t>
            </w:r>
          </w:p>
        </w:tc>
      </w:tr>
      <w:tr w14:paraId="06204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367" w:type="pct"/>
            <w:noWrap w:val="0"/>
            <w:vAlign w:val="center"/>
          </w:tcPr>
          <w:p w14:paraId="18EBC6E1">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1777DAAB">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光伏发电站建（构）筑物的布置应根据总体布置要求、站址地质条件、设备型号、电源进线方向、对外交通以及有利于站房施工、设备安装与检修和工程管理等条件，经技术经济比较确定。</w:t>
            </w:r>
          </w:p>
        </w:tc>
        <w:tc>
          <w:tcPr>
            <w:tcW w:w="1157" w:type="pct"/>
            <w:noWrap w:val="0"/>
            <w:vAlign w:val="center"/>
          </w:tcPr>
          <w:p w14:paraId="062C32EA">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203A2E4B">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第10.1.1条</w:t>
            </w:r>
          </w:p>
        </w:tc>
        <w:tc>
          <w:tcPr>
            <w:tcW w:w="1419" w:type="pct"/>
            <w:noWrap w:val="0"/>
            <w:vAlign w:val="top"/>
          </w:tcPr>
          <w:p w14:paraId="69C4D8D6">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电站建（构）筑物的布置</w:t>
            </w:r>
            <w:r>
              <w:rPr>
                <w:rFonts w:hint="eastAsia" w:ascii="宋体" w:hAnsi="宋体" w:cs="宋体"/>
                <w:color w:val="000000" w:themeColor="text1"/>
                <w:sz w:val="21"/>
                <w:szCs w:val="21"/>
                <w:lang w:val="en-US" w:eastAsia="zh-CN"/>
                <w14:textFill>
                  <w14:solidFill>
                    <w14:schemeClr w14:val="tx1"/>
                  </w14:solidFill>
                </w14:textFill>
              </w:rPr>
              <w:t>根</w:t>
            </w:r>
            <w:r>
              <w:rPr>
                <w:rFonts w:hint="eastAsia" w:ascii="宋体" w:hAnsi="宋体" w:eastAsia="宋体" w:cs="宋体"/>
                <w:color w:val="000000" w:themeColor="text1"/>
                <w:sz w:val="21"/>
                <w:szCs w:val="21"/>
                <w14:textFill>
                  <w14:solidFill>
                    <w14:schemeClr w14:val="tx1"/>
                  </w14:solidFill>
                </w14:textFill>
              </w:rPr>
              <w:t>据总体布置要求、站址地质条件、设备型号、电源进线方向、对外交通以及有利于站房施工、设备安装与检修和工程管理等条件，经技术经济比较确定。</w:t>
            </w:r>
          </w:p>
        </w:tc>
        <w:tc>
          <w:tcPr>
            <w:tcW w:w="396" w:type="pct"/>
            <w:noWrap w:val="0"/>
            <w:vAlign w:val="center"/>
          </w:tcPr>
          <w:p w14:paraId="37026547">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30BC4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586EF67C">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6BEAB8B0">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建筑设计应根据规划留有扩建的空间。</w:t>
            </w:r>
          </w:p>
        </w:tc>
        <w:tc>
          <w:tcPr>
            <w:tcW w:w="1157" w:type="pct"/>
            <w:noWrap w:val="0"/>
            <w:vAlign w:val="center"/>
          </w:tcPr>
          <w:p w14:paraId="472F0D2F">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3335A8B8">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第10.1.2条</w:t>
            </w:r>
          </w:p>
        </w:tc>
        <w:tc>
          <w:tcPr>
            <w:tcW w:w="1419" w:type="pct"/>
            <w:noWrap w:val="0"/>
            <w:vAlign w:val="center"/>
          </w:tcPr>
          <w:p w14:paraId="771FA6F2">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无规划</w:t>
            </w:r>
            <w:r>
              <w:rPr>
                <w:rFonts w:hint="eastAsia" w:ascii="宋体" w:hAnsi="宋体" w:cs="宋体"/>
                <w:color w:val="000000" w:themeColor="text1"/>
                <w:sz w:val="21"/>
                <w:szCs w:val="21"/>
                <w:lang w:eastAsia="zh-CN"/>
                <w14:textFill>
                  <w14:solidFill>
                    <w14:schemeClr w14:val="tx1"/>
                  </w14:solidFill>
                </w14:textFill>
              </w:rPr>
              <w:t>扩建</w:t>
            </w:r>
            <w:r>
              <w:rPr>
                <w:rFonts w:hint="eastAsia" w:ascii="宋体" w:hAnsi="宋体" w:eastAsia="宋体" w:cs="宋体"/>
                <w:color w:val="000000" w:themeColor="text1"/>
                <w:sz w:val="21"/>
                <w:szCs w:val="21"/>
                <w14:textFill>
                  <w14:solidFill>
                    <w14:schemeClr w14:val="tx1"/>
                  </w14:solidFill>
                </w14:textFill>
              </w:rPr>
              <w:t>，一次建成。</w:t>
            </w:r>
          </w:p>
        </w:tc>
        <w:tc>
          <w:tcPr>
            <w:tcW w:w="396" w:type="pct"/>
            <w:noWrap w:val="0"/>
            <w:vAlign w:val="center"/>
          </w:tcPr>
          <w:p w14:paraId="0C2A9BE7">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05B86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1D8EB08B">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1361083">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电气间应设防止蛇、鼠类等小动物危害的措施。</w:t>
            </w:r>
          </w:p>
        </w:tc>
        <w:tc>
          <w:tcPr>
            <w:tcW w:w="1157" w:type="pct"/>
            <w:noWrap w:val="0"/>
            <w:vAlign w:val="center"/>
          </w:tcPr>
          <w:p w14:paraId="54645708">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30C4C465">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第10.1.5</w:t>
            </w:r>
            <w:r>
              <w:rPr>
                <w:rFonts w:hint="eastAsia" w:ascii="宋体" w:hAnsi="宋体" w:eastAsia="宋体" w:cs="宋体"/>
                <w:color w:val="000000" w:themeColor="text1"/>
                <w:sz w:val="21"/>
                <w:szCs w:val="21"/>
                <w14:textFill>
                  <w14:solidFill>
                    <w14:schemeClr w14:val="tx1"/>
                  </w14:solidFill>
                </w14:textFill>
              </w:rPr>
              <w:tab/>
            </w:r>
            <w:r>
              <w:rPr>
                <w:rFonts w:hint="eastAsia" w:ascii="宋体" w:hAnsi="宋体" w:eastAsia="宋体" w:cs="宋体"/>
                <w:color w:val="000000" w:themeColor="text1"/>
                <w:sz w:val="21"/>
                <w:szCs w:val="21"/>
                <w14:textFill>
                  <w14:solidFill>
                    <w14:schemeClr w14:val="tx1"/>
                  </w14:solidFill>
                </w14:textFill>
              </w:rPr>
              <w:t>条</w:t>
            </w:r>
          </w:p>
        </w:tc>
        <w:tc>
          <w:tcPr>
            <w:tcW w:w="1419" w:type="pct"/>
            <w:noWrap w:val="0"/>
            <w:vAlign w:val="center"/>
          </w:tcPr>
          <w:p w14:paraId="014F09D4">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配电室等入口处设置了防小动物进入的挡板。</w:t>
            </w:r>
          </w:p>
        </w:tc>
        <w:tc>
          <w:tcPr>
            <w:tcW w:w="396" w:type="pct"/>
            <w:noWrap w:val="0"/>
            <w:vAlign w:val="center"/>
          </w:tcPr>
          <w:p w14:paraId="17991C7C">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EC67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jc w:val="center"/>
        </w:trPr>
        <w:tc>
          <w:tcPr>
            <w:tcW w:w="367" w:type="pct"/>
            <w:noWrap w:val="0"/>
            <w:vAlign w:val="center"/>
          </w:tcPr>
          <w:p w14:paraId="734EDBA2">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60754A3">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地面光伏发电站的建筑物设计应符合下列要求：1、满足设备布置、安装、运行和检修的要求。2、满足内外交通运输的要求。3、满足站房结构布置的要求。4、满足站房内采暖、通风和采光要求。5、满足防水、防潮、防尘、防噪声要求。6、建筑造型与场地协调，布置合理，</w:t>
            </w:r>
            <w:r>
              <w:rPr>
                <w:rFonts w:hint="eastAsia" w:ascii="宋体" w:hAnsi="宋体" w:cs="宋体"/>
                <w:color w:val="000000" w:themeColor="text1"/>
                <w:sz w:val="21"/>
                <w:szCs w:val="21"/>
                <w:lang w:eastAsia="zh-CN"/>
                <w14:textFill>
                  <w14:solidFill>
                    <w14:schemeClr w14:val="tx1"/>
                  </w14:solidFill>
                </w14:textFill>
              </w:rPr>
              <w:t>实用</w:t>
            </w:r>
            <w:r>
              <w:rPr>
                <w:rFonts w:hint="eastAsia" w:ascii="宋体" w:hAnsi="宋体" w:eastAsia="宋体" w:cs="宋体"/>
                <w:color w:val="000000" w:themeColor="text1"/>
                <w:sz w:val="21"/>
                <w:szCs w:val="21"/>
                <w14:textFill>
                  <w14:solidFill>
                    <w14:schemeClr w14:val="tx1"/>
                  </w14:solidFill>
                </w14:textFill>
              </w:rPr>
              <w:t>美观。</w:t>
            </w:r>
          </w:p>
        </w:tc>
        <w:tc>
          <w:tcPr>
            <w:tcW w:w="1157" w:type="pct"/>
            <w:noWrap w:val="0"/>
            <w:vAlign w:val="center"/>
          </w:tcPr>
          <w:p w14:paraId="4C21CCF4">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w:t>
            </w:r>
          </w:p>
          <w:p w14:paraId="26777E1C">
            <w:pPr>
              <w:pStyle w:val="23"/>
              <w:keepNext w:val="0"/>
              <w:keepLines w:val="0"/>
              <w:pageBreakBefore w:val="0"/>
              <w:widowControl w:val="0"/>
              <w:kinsoku/>
              <w:bidi w:val="0"/>
              <w:spacing w:line="240" w:lineRule="auto"/>
              <w:ind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第10.2.1条</w:t>
            </w:r>
          </w:p>
        </w:tc>
        <w:tc>
          <w:tcPr>
            <w:tcW w:w="1419" w:type="pct"/>
            <w:noWrap w:val="0"/>
            <w:vAlign w:val="center"/>
          </w:tcPr>
          <w:p w14:paraId="65707A35">
            <w:pPr>
              <w:pStyle w:val="23"/>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建筑物满足设备布置、安装、运行、检修、交通运输、结构、采暖通风、采光等要求。建筑造型与场地协调，布置合理，</w:t>
            </w:r>
            <w:r>
              <w:rPr>
                <w:rFonts w:hint="eastAsia" w:ascii="宋体" w:hAnsi="宋体" w:cs="宋体"/>
                <w:color w:val="000000" w:themeColor="text1"/>
                <w:sz w:val="21"/>
                <w:szCs w:val="21"/>
                <w:lang w:eastAsia="zh-CN"/>
                <w14:textFill>
                  <w14:solidFill>
                    <w14:schemeClr w14:val="tx1"/>
                  </w14:solidFill>
                </w14:textFill>
              </w:rPr>
              <w:t>实用</w:t>
            </w:r>
            <w:r>
              <w:rPr>
                <w:rFonts w:hint="eastAsia" w:ascii="宋体" w:hAnsi="宋体" w:eastAsia="宋体" w:cs="宋体"/>
                <w:color w:val="000000" w:themeColor="text1"/>
                <w:sz w:val="21"/>
                <w:szCs w:val="21"/>
                <w14:textFill>
                  <w14:solidFill>
                    <w14:schemeClr w14:val="tx1"/>
                  </w14:solidFill>
                </w14:textFill>
              </w:rPr>
              <w:t>美观</w:t>
            </w:r>
          </w:p>
        </w:tc>
        <w:tc>
          <w:tcPr>
            <w:tcW w:w="396" w:type="pct"/>
            <w:noWrap w:val="0"/>
            <w:vAlign w:val="center"/>
          </w:tcPr>
          <w:p w14:paraId="21ECBD5F">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C684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314C81E1">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72FEFFB">
            <w:pPr>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建筑物门窗应根据建筑物内通风、采暖和采光的需要合理布置，必要时可采用双层玻璃窗。</w:t>
            </w:r>
          </w:p>
        </w:tc>
        <w:tc>
          <w:tcPr>
            <w:tcW w:w="1157" w:type="pct"/>
            <w:noWrap w:val="0"/>
            <w:vAlign w:val="top"/>
          </w:tcPr>
          <w:p w14:paraId="5F2C4D9C">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《光伏发电站设计规范》（GB50797-2012）第10.2.3条</w:t>
            </w:r>
          </w:p>
        </w:tc>
        <w:tc>
          <w:tcPr>
            <w:tcW w:w="1419" w:type="pct"/>
            <w:noWrap w:val="0"/>
            <w:vAlign w:val="center"/>
          </w:tcPr>
          <w:p w14:paraId="131926A1">
            <w:pPr>
              <w:pStyle w:val="23"/>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门窗采用自然通风、采光、采暖。</w:t>
            </w:r>
          </w:p>
        </w:tc>
        <w:tc>
          <w:tcPr>
            <w:tcW w:w="396" w:type="pct"/>
            <w:noWrap w:val="0"/>
            <w:vAlign w:val="center"/>
          </w:tcPr>
          <w:p w14:paraId="6DB76E7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25DF5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67" w:type="pct"/>
            <w:noWrap w:val="0"/>
            <w:vAlign w:val="center"/>
          </w:tcPr>
          <w:p w14:paraId="72EDD091">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34A1C65C">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光伏发电站中，除光伏支架外的建（构）筑物的结构设计使用年限应为50年。</w:t>
            </w:r>
          </w:p>
        </w:tc>
        <w:tc>
          <w:tcPr>
            <w:tcW w:w="1157" w:type="pct"/>
            <w:noWrap w:val="0"/>
            <w:vAlign w:val="top"/>
          </w:tcPr>
          <w:p w14:paraId="7FC2E2E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《光伏发电站设计规范》（GB50797-2012）第10.4.1条</w:t>
            </w:r>
          </w:p>
        </w:tc>
        <w:tc>
          <w:tcPr>
            <w:tcW w:w="1419" w:type="pct"/>
            <w:noWrap w:val="0"/>
            <w:vAlign w:val="center"/>
          </w:tcPr>
          <w:p w14:paraId="2205EE18">
            <w:pPr>
              <w:pStyle w:val="23"/>
              <w:keepNext w:val="0"/>
              <w:keepLines w:val="0"/>
              <w:pageBreakBefore w:val="0"/>
              <w:widowControl w:val="0"/>
              <w:kinsoku/>
              <w:bidi w:val="0"/>
              <w:spacing w:line="240" w:lineRule="auto"/>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建（构）筑物的结构设计使用年限为50年。</w:t>
            </w:r>
          </w:p>
        </w:tc>
        <w:tc>
          <w:tcPr>
            <w:tcW w:w="396" w:type="pct"/>
            <w:noWrap w:val="0"/>
            <w:vAlign w:val="center"/>
          </w:tcPr>
          <w:p w14:paraId="4BC1B96B">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46ACE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367" w:type="pct"/>
            <w:noWrap w:val="0"/>
            <w:vAlign w:val="center"/>
          </w:tcPr>
          <w:p w14:paraId="39F6B44B">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4D6FCD49">
            <w:pPr>
              <w:keepNext w:val="0"/>
              <w:keepLines w:val="0"/>
              <w:pageBreakBefore w:val="0"/>
              <w:widowControl w:val="0"/>
              <w:tabs>
                <w:tab w:val="left" w:pos="1246"/>
              </w:tabs>
              <w:kinsoku/>
              <w:bidi w:val="0"/>
              <w:adjustRightInd w:val="0"/>
              <w:snapToGrid w:val="0"/>
              <w:spacing w:line="240" w:lineRule="exact"/>
              <w:ind w:firstLine="7"/>
              <w:jc w:val="both"/>
              <w:rPr>
                <w:rFonts w:hint="eastAsia" w:ascii="宋体" w:hAnsi="宋体" w:eastAsia="宋体" w:cs="宋体"/>
                <w:snapToGrid/>
                <w:color w:val="000000" w:themeColor="text1"/>
                <w:kern w:val="2"/>
                <w:sz w:val="21"/>
                <w:szCs w:val="21"/>
                <w:lang w:val="en-US" w:eastAsia="zh-CN" w:bidi="ar-SA"/>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t>建（构）筑物结构型式、地基处理方案应根据地基土质、建（构）筑物结构特点、施工条件和运行要求等因素，经技术经济比较后确定。</w:t>
            </w:r>
          </w:p>
        </w:tc>
        <w:tc>
          <w:tcPr>
            <w:tcW w:w="1157" w:type="pct"/>
            <w:noWrap w:val="0"/>
            <w:vAlign w:val="top"/>
          </w:tcPr>
          <w:p w14:paraId="728C2FD0">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《光伏发电站设计规范》（GB50797-2012）第10.4.2条</w:t>
            </w:r>
          </w:p>
        </w:tc>
        <w:tc>
          <w:tcPr>
            <w:tcW w:w="1419" w:type="pct"/>
            <w:noWrap w:val="0"/>
            <w:vAlign w:val="center"/>
          </w:tcPr>
          <w:p w14:paraId="767DECD9">
            <w:pPr>
              <w:keepNext w:val="0"/>
              <w:keepLines w:val="0"/>
              <w:pageBreakBefore w:val="0"/>
              <w:widowControl w:val="0"/>
              <w:tabs>
                <w:tab w:val="left" w:pos="1246"/>
              </w:tabs>
              <w:kinsoku/>
              <w:bidi w:val="0"/>
              <w:adjustRightInd w:val="0"/>
              <w:snapToGrid w:val="0"/>
              <w:spacing w:line="240" w:lineRule="auto"/>
              <w:ind w:firstLine="7"/>
              <w:jc w:val="both"/>
              <w:rPr>
                <w:rFonts w:hint="eastAsia" w:ascii="宋体" w:hAnsi="宋体" w:eastAsia="宋体" w:cs="宋体"/>
                <w:snapToGrid/>
                <w:color w:val="000000" w:themeColor="text1"/>
                <w:kern w:val="2"/>
                <w:sz w:val="21"/>
                <w:szCs w:val="21"/>
                <w:lang w:val="en-US" w:eastAsia="zh-CN" w:bidi="ar-SA"/>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t>建（构）筑物结构型式、地基处理方案根据地基土质、结构特点等因素，经技术经济比较后确定。</w:t>
            </w:r>
          </w:p>
        </w:tc>
        <w:tc>
          <w:tcPr>
            <w:tcW w:w="396" w:type="pct"/>
            <w:noWrap w:val="0"/>
            <w:vAlign w:val="center"/>
          </w:tcPr>
          <w:p w14:paraId="24814B14">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7C0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31A041D1">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2A2A87C">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ab/>
            </w:r>
            <w:r>
              <w:rPr>
                <w:rFonts w:hint="eastAsia" w:ascii="宋体" w:hAnsi="宋体" w:eastAsia="宋体" w:cs="宋体"/>
                <w:color w:val="000000" w:themeColor="text1"/>
                <w:sz w:val="21"/>
                <w:szCs w:val="21"/>
                <w14:textFill>
                  <w14:solidFill>
                    <w14:schemeClr w14:val="tx1"/>
                  </w14:solidFill>
                </w14:textFill>
              </w:rPr>
              <w:t>光伏发电站建（构）筑物的抗震设防烈度应按国家对该地区的要求确定。地震烈度6度及以上地区建筑物、结构物的抗震设防要求，应符合现行国家标准《建筑抗震设计规范》GB50011的规定。</w:t>
            </w:r>
          </w:p>
        </w:tc>
        <w:tc>
          <w:tcPr>
            <w:tcW w:w="1157" w:type="pct"/>
            <w:noWrap w:val="0"/>
            <w:vAlign w:val="top"/>
          </w:tcPr>
          <w:p w14:paraId="57F88E36">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《光伏发电站设计规范》（GB50797-2012）第10.4.3条</w:t>
            </w:r>
          </w:p>
        </w:tc>
        <w:tc>
          <w:tcPr>
            <w:tcW w:w="1419" w:type="pct"/>
            <w:noWrap w:val="0"/>
            <w:vAlign w:val="center"/>
          </w:tcPr>
          <w:p w14:paraId="768699BB">
            <w:pPr>
              <w:keepNext w:val="0"/>
              <w:keepLines w:val="0"/>
              <w:pageBreakBefore w:val="0"/>
              <w:widowControl w:val="0"/>
              <w:tabs>
                <w:tab w:val="left" w:pos="1246"/>
              </w:tabs>
              <w:kinsoku/>
              <w:bidi w:val="0"/>
              <w:adjustRightInd w:val="0"/>
              <w:snapToGrid w:val="0"/>
              <w:spacing w:line="240" w:lineRule="auto"/>
              <w:ind w:firstLine="7"/>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t>场地地震基本烈度8度，建（构）筑物按8度设防。</w:t>
            </w:r>
          </w:p>
        </w:tc>
        <w:tc>
          <w:tcPr>
            <w:tcW w:w="396" w:type="pct"/>
            <w:noWrap w:val="0"/>
            <w:vAlign w:val="center"/>
          </w:tcPr>
          <w:p w14:paraId="17E30321">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CD43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40D8F8C4">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6C3602E1">
            <w:pPr>
              <w:keepNext w:val="0"/>
              <w:keepLines w:val="0"/>
              <w:pageBreakBefore w:val="0"/>
              <w:widowControl w:val="0"/>
              <w:kinsoku/>
              <w:bidi w:val="0"/>
              <w:spacing w:line="240" w:lineRule="exact"/>
              <w:ind w:firstLine="0" w:firstLineChars="0"/>
              <w:jc w:val="both"/>
              <w:rPr>
                <w:rFonts w:hint="eastAsia" w:ascii="宋体" w:hAnsi="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光伏阵列设计参数：</w:t>
            </w:r>
          </w:p>
          <w:p w14:paraId="0CA1A12D">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光伏组件规格</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2278mm×1134mm×30mm</w:t>
            </w:r>
          </w:p>
          <w:p w14:paraId="06FCD57B">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光伏组件重量：31.3 kg</w:t>
            </w:r>
          </w:p>
          <w:p w14:paraId="7EA6605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支架倾角：   22°</w:t>
            </w:r>
          </w:p>
          <w:p w14:paraId="550CBF5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电池组件排列方式：2×14 </w:t>
            </w:r>
          </w:p>
        </w:tc>
        <w:tc>
          <w:tcPr>
            <w:tcW w:w="1157" w:type="pct"/>
            <w:noWrap w:val="0"/>
            <w:vAlign w:val="center"/>
          </w:tcPr>
          <w:p w14:paraId="7787DCBD">
            <w:pPr>
              <w:keepNext w:val="0"/>
              <w:keepLines w:val="0"/>
              <w:pageBreakBefore w:val="0"/>
              <w:widowControl w:val="0"/>
              <w:kinsoku/>
              <w:bidi w:val="0"/>
              <w:spacing w:line="240" w:lineRule="auto"/>
              <w:ind w:firstLine="0" w:firstLineChars="0"/>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4.2.2</w:t>
            </w:r>
          </w:p>
        </w:tc>
        <w:tc>
          <w:tcPr>
            <w:tcW w:w="1419" w:type="pct"/>
            <w:noWrap w:val="0"/>
            <w:vAlign w:val="center"/>
          </w:tcPr>
          <w:p w14:paraId="7009E0D7">
            <w:pPr>
              <w:keepNext w:val="0"/>
              <w:keepLines w:val="0"/>
              <w:pageBreakBefore w:val="0"/>
              <w:widowControl w:val="0"/>
              <w:tabs>
                <w:tab w:val="left" w:pos="1246"/>
              </w:tabs>
              <w:kinsoku/>
              <w:bidi w:val="0"/>
              <w:adjustRightInd w:val="0"/>
              <w:snapToGrid w:val="0"/>
              <w:spacing w:line="240" w:lineRule="auto"/>
              <w:ind w:firstLine="7"/>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noWrap w:val="0"/>
            <w:vAlign w:val="center"/>
          </w:tcPr>
          <w:p w14:paraId="50999C85">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E210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3273EA2E">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6BC5998">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支架结构布置</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光伏支架选用固定式钢支架方案，组件采用纵向双排、倾角22°、方 向正南布置，光伏支架分单立柱方案。固定支架采用横向棕条，纵向支架布置方案，一个结构单元内有4榀支架，支架由立柱、横梁及斜撑(或拉 梁)组成，支架杆件间以及支架与檩条之问的连接均采用螺栓连接。</w:t>
            </w:r>
          </w:p>
          <w:p w14:paraId="21156F61">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一个光伏支架单元由28块2278mm×1134mm×30mm 的575/580Wp 光伏组件按采用2行14列排布组成。光伏组件采用固定倾角22°安装方式， 组件最低点离地高度≥2.5m, 满足云南省复合型光伏项目用地要求。单立柱方案立柱采用C 型钢，每组支架共4个立柱，上立柱与下立柱连接采用 搭接并螺栓连接方式。组串式逆变器直接固定在支架立柱上，安装高度离 地距离≥1.0m。</w:t>
            </w:r>
          </w:p>
          <w:p w14:paraId="07F1A9B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lang w:eastAsia="zh-CN"/>
                <w14:textFill>
                  <w14:solidFill>
                    <w14:schemeClr w14:val="tx1"/>
                  </w14:solidFill>
                </w14:textFill>
              </w:rPr>
            </w:pPr>
          </w:p>
        </w:tc>
        <w:tc>
          <w:tcPr>
            <w:tcW w:w="1157" w:type="pct"/>
            <w:noWrap w:val="0"/>
            <w:vAlign w:val="center"/>
          </w:tcPr>
          <w:p w14:paraId="6D2895EA">
            <w:pPr>
              <w:keepNext w:val="0"/>
              <w:keepLines w:val="0"/>
              <w:pageBreakBefore w:val="0"/>
              <w:widowControl w:val="0"/>
              <w:kinsoku/>
              <w:bidi w:val="0"/>
              <w:spacing w:line="240" w:lineRule="auto"/>
              <w:ind w:firstLine="0" w:firstLineChars="0"/>
              <w:jc w:val="center"/>
              <w:rPr>
                <w:rFonts w:hint="eastAsia" w:ascii="宋体" w:hAnsi="宋体" w:cs="宋体"/>
                <w:color w:val="000000" w:themeColor="text1"/>
                <w:sz w:val="21"/>
                <w:szCs w:val="21"/>
                <w:lang w:eastAsia="zh-CN"/>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4.2.2</w:t>
            </w:r>
          </w:p>
        </w:tc>
        <w:tc>
          <w:tcPr>
            <w:tcW w:w="1419" w:type="pct"/>
            <w:noWrap w:val="0"/>
            <w:vAlign w:val="center"/>
          </w:tcPr>
          <w:p w14:paraId="4C91FAD7">
            <w:pPr>
              <w:keepNext w:val="0"/>
              <w:keepLines w:val="0"/>
              <w:pageBreakBefore w:val="0"/>
              <w:widowControl w:val="0"/>
              <w:tabs>
                <w:tab w:val="left" w:pos="1246"/>
              </w:tabs>
              <w:kinsoku/>
              <w:bidi w:val="0"/>
              <w:adjustRightInd w:val="0"/>
              <w:snapToGrid w:val="0"/>
              <w:spacing w:line="240" w:lineRule="auto"/>
              <w:ind w:firstLine="43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noWrap w:val="0"/>
            <w:vAlign w:val="center"/>
          </w:tcPr>
          <w:p w14:paraId="62BE1254">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7BE04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04FD1604">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107DAE03">
            <w:pPr>
              <w:keepNext w:val="0"/>
              <w:keepLines w:val="0"/>
              <w:pageBreakBefore w:val="0"/>
              <w:widowControl w:val="0"/>
              <w:kinsoku/>
              <w:bidi w:val="0"/>
              <w:spacing w:line="240" w:lineRule="exact"/>
              <w:ind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光伏支架基础设计：</w:t>
            </w:r>
            <w:r>
              <w:rPr>
                <w:rFonts w:hint="eastAsia" w:ascii="宋体" w:hAnsi="宋体" w:eastAsia="宋体" w:cs="宋体"/>
                <w:color w:val="000000" w:themeColor="text1"/>
                <w:sz w:val="21"/>
                <w:szCs w:val="21"/>
                <w14:textFill>
                  <w14:solidFill>
                    <w14:schemeClr w14:val="tx1"/>
                  </w14:solidFill>
                </w14:textFill>
              </w:rPr>
              <w:t>光伏支架采用灌注桩基础。电池组件采用单晶硅组件，每个组串单元由28块2278mm×1134mm 单晶硅组件组成，2行14列，电池板竖向布置，每个组串组成一个支架。</w:t>
            </w:r>
          </w:p>
        </w:tc>
        <w:tc>
          <w:tcPr>
            <w:tcW w:w="1157" w:type="pct"/>
            <w:shd w:val="clear" w:color="auto" w:fill="auto"/>
            <w:noWrap w:val="0"/>
            <w:vAlign w:val="center"/>
          </w:tcPr>
          <w:p w14:paraId="208392C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4.2.2</w:t>
            </w:r>
          </w:p>
        </w:tc>
        <w:tc>
          <w:tcPr>
            <w:tcW w:w="1419" w:type="pct"/>
            <w:shd w:val="clear" w:color="auto" w:fill="auto"/>
            <w:noWrap w:val="0"/>
            <w:vAlign w:val="center"/>
          </w:tcPr>
          <w:p w14:paraId="0D9A3815">
            <w:pPr>
              <w:keepNext w:val="0"/>
              <w:keepLines w:val="0"/>
              <w:pageBreakBefore w:val="0"/>
              <w:widowControl w:val="0"/>
              <w:tabs>
                <w:tab w:val="left" w:pos="1246"/>
              </w:tabs>
              <w:kinsoku/>
              <w:bidi w:val="0"/>
              <w:adjustRightInd w:val="0"/>
              <w:snapToGrid w:val="0"/>
              <w:spacing w:line="240" w:lineRule="auto"/>
              <w:ind w:firstLine="45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1"/>
                <w:szCs w:val="21"/>
                <w14:textFill>
                  <w14:solidFill>
                    <w14:schemeClr w14:val="tx1"/>
                  </w14:solidFill>
                </w14:textFill>
              </w:rPr>
              <w:t>项目建设现场符</w:t>
            </w:r>
            <w:r>
              <w:rPr>
                <w:color w:val="000000" w:themeColor="text1"/>
                <w:spacing w:val="6"/>
                <w:sz w:val="21"/>
                <w:szCs w:val="21"/>
                <w14:textFill>
                  <w14:solidFill>
                    <w14:schemeClr w14:val="tx1"/>
                  </w14:solidFill>
                </w14:textFill>
              </w:rPr>
              <w:t>合</w:t>
            </w:r>
            <w:r>
              <w:rPr>
                <w:rFonts w:hint="eastAsia"/>
                <w:color w:val="000000" w:themeColor="text1"/>
                <w:spacing w:val="6"/>
                <w:sz w:val="21"/>
                <w:szCs w:val="21"/>
                <w:lang w:val="en-US" w:eastAsia="zh-CN"/>
                <w14:textFill>
                  <w14:solidFill>
                    <w14:schemeClr w14:val="tx1"/>
                  </w14:solidFill>
                </w14:textFill>
              </w:rPr>
              <w:t>安全设施</w:t>
            </w:r>
            <w:r>
              <w:rPr>
                <w:color w:val="000000" w:themeColor="text1"/>
                <w:spacing w:val="6"/>
                <w:sz w:val="21"/>
                <w:szCs w:val="21"/>
                <w14:textFill>
                  <w14:solidFill>
                    <w14:schemeClr w14:val="tx1"/>
                  </w14:solidFill>
                </w14:textFill>
              </w:rPr>
              <w:t>设计要求。</w:t>
            </w:r>
          </w:p>
        </w:tc>
        <w:tc>
          <w:tcPr>
            <w:tcW w:w="396" w:type="pct"/>
            <w:shd w:val="clear" w:color="auto" w:fill="auto"/>
            <w:noWrap w:val="0"/>
            <w:vAlign w:val="center"/>
          </w:tcPr>
          <w:p w14:paraId="7A60231E">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1E0A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3960A7DE">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5C3F2CB1">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逆变器基础设计：</w:t>
            </w:r>
            <w:r>
              <w:rPr>
                <w:rFonts w:hint="eastAsia" w:ascii="宋体" w:hAnsi="宋体" w:eastAsia="宋体" w:cs="宋体"/>
                <w:color w:val="000000" w:themeColor="text1"/>
                <w:sz w:val="21"/>
                <w:szCs w:val="21"/>
                <w14:textFill>
                  <w14:solidFill>
                    <w14:schemeClr w14:val="tx1"/>
                  </w14:solidFill>
                </w14:textFill>
              </w:rPr>
              <w:t>逆变器采用两根C60×50×20×2.0和d12U 型抱箍固定于支架上，为 保证放热性能，逆变器距离地面应不小于1000mm。</w:t>
            </w:r>
          </w:p>
          <w:p w14:paraId="31DF65AF">
            <w:pPr>
              <w:keepNext w:val="0"/>
              <w:keepLines w:val="0"/>
              <w:pageBreakBefore w:val="0"/>
              <w:widowControl w:val="0"/>
              <w:kinsoku/>
              <w:bidi w:val="0"/>
              <w:spacing w:line="240" w:lineRule="exact"/>
              <w:ind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p>
        </w:tc>
        <w:tc>
          <w:tcPr>
            <w:tcW w:w="1157" w:type="pct"/>
            <w:shd w:val="clear" w:color="auto" w:fill="auto"/>
            <w:noWrap w:val="0"/>
            <w:vAlign w:val="center"/>
          </w:tcPr>
          <w:p w14:paraId="51522C9D">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4.2.3</w:t>
            </w:r>
          </w:p>
        </w:tc>
        <w:tc>
          <w:tcPr>
            <w:tcW w:w="1419" w:type="pct"/>
            <w:shd w:val="clear" w:color="auto" w:fill="auto"/>
            <w:noWrap w:val="0"/>
            <w:vAlign w:val="center"/>
          </w:tcPr>
          <w:p w14:paraId="1AECF373">
            <w:pPr>
              <w:keepNext w:val="0"/>
              <w:keepLines w:val="0"/>
              <w:pageBreakBefore w:val="0"/>
              <w:widowControl w:val="0"/>
              <w:tabs>
                <w:tab w:val="left" w:pos="1246"/>
              </w:tabs>
              <w:kinsoku/>
              <w:bidi w:val="0"/>
              <w:adjustRightInd w:val="0"/>
              <w:snapToGrid w:val="0"/>
              <w:spacing w:line="240" w:lineRule="auto"/>
              <w:ind w:firstLine="45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1"/>
                <w:szCs w:val="21"/>
                <w14:textFill>
                  <w14:solidFill>
                    <w14:schemeClr w14:val="tx1"/>
                  </w14:solidFill>
                </w14:textFill>
              </w:rPr>
              <w:t>项目建设现场符</w:t>
            </w:r>
            <w:r>
              <w:rPr>
                <w:color w:val="000000" w:themeColor="text1"/>
                <w:spacing w:val="6"/>
                <w:sz w:val="21"/>
                <w:szCs w:val="21"/>
                <w14:textFill>
                  <w14:solidFill>
                    <w14:schemeClr w14:val="tx1"/>
                  </w14:solidFill>
                </w14:textFill>
              </w:rPr>
              <w:t>合</w:t>
            </w:r>
            <w:r>
              <w:rPr>
                <w:rFonts w:hint="eastAsia"/>
                <w:color w:val="000000" w:themeColor="text1"/>
                <w:spacing w:val="6"/>
                <w:sz w:val="21"/>
                <w:szCs w:val="21"/>
                <w:lang w:val="en-US" w:eastAsia="zh-CN"/>
                <w14:textFill>
                  <w14:solidFill>
                    <w14:schemeClr w14:val="tx1"/>
                  </w14:solidFill>
                </w14:textFill>
              </w:rPr>
              <w:t>安全设施</w:t>
            </w:r>
            <w:r>
              <w:rPr>
                <w:color w:val="000000" w:themeColor="text1"/>
                <w:spacing w:val="6"/>
                <w:sz w:val="21"/>
                <w:szCs w:val="21"/>
                <w14:textFill>
                  <w14:solidFill>
                    <w14:schemeClr w14:val="tx1"/>
                  </w14:solidFill>
                </w14:textFill>
              </w:rPr>
              <w:t>设计要求。</w:t>
            </w:r>
          </w:p>
        </w:tc>
        <w:tc>
          <w:tcPr>
            <w:tcW w:w="396" w:type="pct"/>
            <w:shd w:val="clear" w:color="auto" w:fill="auto"/>
            <w:noWrap w:val="0"/>
            <w:vAlign w:val="center"/>
          </w:tcPr>
          <w:p w14:paraId="45D7A97E">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8CA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7096E6C5">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9817187">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箱变基础设计：</w:t>
            </w:r>
            <w:r>
              <w:rPr>
                <w:rFonts w:hint="eastAsia" w:ascii="宋体" w:hAnsi="宋体" w:eastAsia="宋体" w:cs="宋体"/>
                <w:color w:val="000000" w:themeColor="text1"/>
                <w:sz w:val="21"/>
                <w:szCs w:val="21"/>
                <w14:textFill>
                  <w14:solidFill>
                    <w14:schemeClr w14:val="tx1"/>
                  </w14:solidFill>
                </w14:textFill>
              </w:rPr>
              <w:t>本工程光伏场区内共设置箱变15座，基础采用钻孔灌注桩基础，基础 上采用钢筋泥凝土平台，箱变置于钢筋混凝土平台上，立于光伏场区道路 周边，靠近运输道路侧。</w:t>
            </w:r>
          </w:p>
        </w:tc>
        <w:tc>
          <w:tcPr>
            <w:tcW w:w="1157" w:type="pct"/>
            <w:shd w:val="clear" w:color="auto" w:fill="auto"/>
            <w:noWrap w:val="0"/>
            <w:vAlign w:val="center"/>
          </w:tcPr>
          <w:p w14:paraId="10940BF3">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4.2.3</w:t>
            </w:r>
          </w:p>
        </w:tc>
        <w:tc>
          <w:tcPr>
            <w:tcW w:w="1419" w:type="pct"/>
            <w:shd w:val="clear" w:color="auto" w:fill="auto"/>
            <w:noWrap w:val="0"/>
            <w:vAlign w:val="center"/>
          </w:tcPr>
          <w:p w14:paraId="74DD7796">
            <w:pPr>
              <w:keepNext w:val="0"/>
              <w:keepLines w:val="0"/>
              <w:pageBreakBefore w:val="0"/>
              <w:widowControl w:val="0"/>
              <w:tabs>
                <w:tab w:val="left" w:pos="1246"/>
              </w:tabs>
              <w:kinsoku/>
              <w:bidi w:val="0"/>
              <w:adjustRightInd w:val="0"/>
              <w:snapToGrid w:val="0"/>
              <w:spacing w:line="240" w:lineRule="auto"/>
              <w:ind w:firstLine="43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shd w:val="clear" w:color="auto" w:fill="auto"/>
            <w:noWrap w:val="0"/>
            <w:vAlign w:val="center"/>
          </w:tcPr>
          <w:p w14:paraId="6746ADC4">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A02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367" w:type="pct"/>
            <w:noWrap w:val="0"/>
            <w:vAlign w:val="center"/>
          </w:tcPr>
          <w:p w14:paraId="465D3CD6">
            <w:pPr>
              <w:keepNext w:val="0"/>
              <w:keepLines w:val="0"/>
              <w:pageBreakBefore w:val="0"/>
              <w:widowControl w:val="0"/>
              <w:numPr>
                <w:ilvl w:val="0"/>
                <w:numId w:val="39"/>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58" w:type="pct"/>
            <w:noWrap w:val="0"/>
            <w:vAlign w:val="center"/>
          </w:tcPr>
          <w:p w14:paraId="097AF335">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场地集电线路设计：</w:t>
            </w:r>
            <w:r>
              <w:rPr>
                <w:rFonts w:hint="eastAsia" w:ascii="宋体" w:hAnsi="宋体" w:eastAsia="宋体" w:cs="宋体"/>
                <w:color w:val="000000" w:themeColor="text1"/>
                <w:sz w:val="21"/>
                <w:szCs w:val="21"/>
                <w14:textFill>
                  <w14:solidFill>
                    <w14:schemeClr w14:val="tx1"/>
                  </w14:solidFill>
                </w14:textFill>
              </w:rPr>
              <w:t>电缆直埋</w:t>
            </w:r>
            <w:r>
              <w:rPr>
                <w:rFonts w:hint="eastAsia" w:ascii="宋体" w:hAnsi="宋体" w:cs="宋体"/>
                <w:color w:val="000000" w:themeColor="text1"/>
                <w:sz w:val="21"/>
                <w:szCs w:val="21"/>
                <w:lang w:val="en-US" w:eastAsia="zh-CN"/>
                <w14:textFill>
                  <w14:solidFill>
                    <w14:schemeClr w14:val="tx1"/>
                  </w14:solidFill>
                </w14:textFill>
              </w:rPr>
              <w:t>敷</w:t>
            </w:r>
            <w:r>
              <w:rPr>
                <w:rFonts w:hint="eastAsia" w:ascii="宋体" w:hAnsi="宋体" w:eastAsia="宋体" w:cs="宋体"/>
                <w:color w:val="000000" w:themeColor="text1"/>
                <w:sz w:val="21"/>
                <w:szCs w:val="21"/>
                <w14:textFill>
                  <w14:solidFill>
                    <w14:schemeClr w14:val="tx1"/>
                  </w14:solidFill>
                </w14:textFill>
              </w:rPr>
              <w:t>设时距地面不小于700mm,  电缆上下均钏设细砂或细土，</w:t>
            </w:r>
          </w:p>
          <w:p w14:paraId="733F3C64">
            <w:pPr>
              <w:keepNext w:val="0"/>
              <w:keepLines w:val="0"/>
              <w:pageBreakBefore w:val="0"/>
              <w:widowControl w:val="0"/>
              <w:kinsoku/>
              <w:bidi w:val="0"/>
              <w:spacing w:line="240" w:lineRule="exact"/>
              <w:ind w:firstLine="0" w:firstLineChars="0"/>
              <w:jc w:val="both"/>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并设置电缆警示带，过路时设保护套管。</w:t>
            </w:r>
          </w:p>
        </w:tc>
        <w:tc>
          <w:tcPr>
            <w:tcW w:w="1157" w:type="pct"/>
            <w:shd w:val="clear" w:color="auto" w:fill="auto"/>
            <w:noWrap w:val="0"/>
            <w:vAlign w:val="center"/>
          </w:tcPr>
          <w:p w14:paraId="27419446">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项目安全设施设计</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4.2.3</w:t>
            </w:r>
          </w:p>
        </w:tc>
        <w:tc>
          <w:tcPr>
            <w:tcW w:w="1419" w:type="pct"/>
            <w:shd w:val="clear" w:color="auto" w:fill="auto"/>
            <w:noWrap w:val="0"/>
            <w:vAlign w:val="center"/>
          </w:tcPr>
          <w:p w14:paraId="0B0979FC">
            <w:pPr>
              <w:keepNext w:val="0"/>
              <w:keepLines w:val="0"/>
              <w:pageBreakBefore w:val="0"/>
              <w:widowControl w:val="0"/>
              <w:tabs>
                <w:tab w:val="left" w:pos="1246"/>
              </w:tabs>
              <w:kinsoku/>
              <w:bidi w:val="0"/>
              <w:adjustRightInd w:val="0"/>
              <w:snapToGrid w:val="0"/>
              <w:spacing w:line="240" w:lineRule="auto"/>
              <w:ind w:firstLine="436" w:firstLineChars="200"/>
              <w:jc w:val="both"/>
              <w:rPr>
                <w:rFonts w:hint="eastAsia" w:ascii="宋体" w:hAnsi="宋体" w:eastAsia="宋体" w:cs="宋体"/>
                <w:snapToGrid w:val="0"/>
                <w:color w:val="000000" w:themeColor="text1"/>
                <w:kern w:val="0"/>
                <w:sz w:val="21"/>
                <w:szCs w:val="21"/>
                <w:lang w:val="en-US" w:eastAsia="zh-CN" w:bidi="ar-SA"/>
                <w14:textFill>
                  <w14:solidFill>
                    <w14:schemeClr w14:val="tx1"/>
                  </w14:solidFill>
                </w14:textFill>
              </w:rPr>
            </w:pPr>
            <w:r>
              <w:rPr>
                <w:color w:val="000000" w:themeColor="text1"/>
                <w:spacing w:val="9"/>
                <w:sz w:val="20"/>
                <w:szCs w:val="20"/>
                <w14:textFill>
                  <w14:solidFill>
                    <w14:schemeClr w14:val="tx1"/>
                  </w14:solidFill>
                </w14:textFill>
              </w:rPr>
              <w:t>项目建设现场符</w:t>
            </w:r>
            <w:r>
              <w:rPr>
                <w:color w:val="000000" w:themeColor="text1"/>
                <w:spacing w:val="6"/>
                <w:sz w:val="20"/>
                <w:szCs w:val="20"/>
                <w14:textFill>
                  <w14:solidFill>
                    <w14:schemeClr w14:val="tx1"/>
                  </w14:solidFill>
                </w14:textFill>
              </w:rPr>
              <w:t>合</w:t>
            </w:r>
            <w:r>
              <w:rPr>
                <w:rFonts w:hint="eastAsia"/>
                <w:color w:val="000000" w:themeColor="text1"/>
                <w:spacing w:val="6"/>
                <w:sz w:val="20"/>
                <w:szCs w:val="20"/>
                <w:lang w:val="en-US" w:eastAsia="zh-CN"/>
                <w14:textFill>
                  <w14:solidFill>
                    <w14:schemeClr w14:val="tx1"/>
                  </w14:solidFill>
                </w14:textFill>
              </w:rPr>
              <w:t>安全设施</w:t>
            </w:r>
            <w:r>
              <w:rPr>
                <w:color w:val="000000" w:themeColor="text1"/>
                <w:spacing w:val="6"/>
                <w:sz w:val="20"/>
                <w:szCs w:val="20"/>
                <w14:textFill>
                  <w14:solidFill>
                    <w14:schemeClr w14:val="tx1"/>
                  </w14:solidFill>
                </w14:textFill>
              </w:rPr>
              <w:t>设计要求。</w:t>
            </w:r>
          </w:p>
        </w:tc>
        <w:tc>
          <w:tcPr>
            <w:tcW w:w="396" w:type="pct"/>
            <w:shd w:val="clear" w:color="auto" w:fill="auto"/>
            <w:noWrap w:val="0"/>
            <w:vAlign w:val="center"/>
          </w:tcPr>
          <w:p w14:paraId="5856487B">
            <w:pPr>
              <w:keepNext w:val="0"/>
              <w:keepLines w:val="0"/>
              <w:pageBreakBefore w:val="0"/>
              <w:widowControl w:val="0"/>
              <w:kinsoku/>
              <w:bidi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34B499A5">
      <w:pPr>
        <w:pStyle w:val="14"/>
        <w:keepNext w:val="0"/>
        <w:keepLines w:val="0"/>
        <w:pageBreakBefore w:val="0"/>
        <w:widowControl w:val="0"/>
        <w:kinsoku/>
        <w:wordWrap/>
        <w:overflowPunct/>
        <w:topLinePunct w:val="0"/>
        <w:autoSpaceDE/>
        <w:autoSpaceDN/>
        <w:bidi w:val="0"/>
        <w:adjustRightInd/>
        <w:snapToGrid/>
        <w:spacing w:after="0" w:line="500" w:lineRule="exact"/>
        <w:jc w:val="right"/>
        <w:textAlignment w:val="auto"/>
        <w:rPr>
          <w:rFonts w:hint="eastAsia" w:ascii="宋体" w:hAnsi="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评价分析：针对建（构）筑物安全检查表内的 1</w:t>
      </w:r>
      <w:r>
        <w:rPr>
          <w:rFonts w:hint="eastAsia" w:ascii="宋体" w:hAnsi="宋体" w:cs="宋体"/>
          <w:color w:val="000000" w:themeColor="text1"/>
          <w:kern w:val="2"/>
          <w:sz w:val="28"/>
          <w:szCs w:val="24"/>
          <w:lang w:val="en-US" w:eastAsia="zh-CN" w:bidi="ar-SA"/>
          <w14:textFill>
            <w14:solidFill>
              <w14:schemeClr w14:val="tx1"/>
            </w14:solidFill>
          </w14:textFill>
        </w:rPr>
        <w:t>4</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项内容，其中 1</w:t>
      </w:r>
      <w:r>
        <w:rPr>
          <w:rFonts w:hint="eastAsia" w:ascii="宋体" w:hAnsi="宋体" w:cs="宋体"/>
          <w:color w:val="000000" w:themeColor="text1"/>
          <w:kern w:val="2"/>
          <w:sz w:val="28"/>
          <w:szCs w:val="24"/>
          <w:lang w:val="en-US" w:eastAsia="zh-CN" w:bidi="ar-SA"/>
          <w14:textFill>
            <w14:solidFill>
              <w14:schemeClr w14:val="tx1"/>
            </w14:solidFill>
          </w14:textFill>
        </w:rPr>
        <w:t>4</w:t>
      </w:r>
    </w:p>
    <w:p w14:paraId="380F2000">
      <w:pPr>
        <w:pStyle w:val="14"/>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jc w:val="both"/>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项合格，0 项不合格。</w:t>
      </w:r>
    </w:p>
    <w:p w14:paraId="6748DCBF">
      <w:pPr>
        <w:pStyle w:val="4"/>
        <w:bidi w:val="0"/>
        <w:rPr>
          <w:rFonts w:hint="eastAsia"/>
          <w:color w:val="000000" w:themeColor="text1"/>
          <w14:textFill>
            <w14:solidFill>
              <w14:schemeClr w14:val="tx1"/>
            </w14:solidFill>
          </w14:textFill>
        </w:rPr>
      </w:pPr>
      <w:bookmarkStart w:id="313" w:name="_Toc1015"/>
      <w:bookmarkStart w:id="314" w:name="_Toc499"/>
      <w:r>
        <w:rPr>
          <w:rFonts w:hint="eastAsia"/>
          <w:color w:val="000000" w:themeColor="text1"/>
          <w:lang w:val="en-US" w:eastAsia="zh-CN"/>
          <w14:textFill>
            <w14:solidFill>
              <w14:schemeClr w14:val="tx1"/>
            </w14:solidFill>
          </w14:textFill>
        </w:rPr>
        <w:t>单元小结</w:t>
      </w:r>
      <w:bookmarkEnd w:id="313"/>
      <w:bookmarkEnd w:id="314"/>
    </w:p>
    <w:p w14:paraId="10519376">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本单元依据</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光伏发电站设计规范</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华能澜沧江(景洪)新能源有限公司</w:t>
      </w:r>
      <w:r>
        <w:rPr>
          <w:rFonts w:hint="eastAsia"/>
          <w:color w:val="000000" w:themeColor="text1"/>
          <w:lang w:eastAsia="zh-CN"/>
          <w14:textFill>
            <w14:solidFill>
              <w14:schemeClr w14:val="tx1"/>
            </w14:solidFill>
          </w14:textFill>
        </w:rPr>
        <w:t>基诺乡巴卡村洛科新寨光伏电站</w:t>
      </w:r>
      <w:r>
        <w:rPr>
          <w:rFonts w:hint="eastAsia" w:ascii="宋体" w:hAnsi="宋体" w:eastAsia="宋体" w:cs="宋体"/>
          <w:color w:val="000000" w:themeColor="text1"/>
          <w:szCs w:val="28"/>
          <w:lang w:val="en-US" w:eastAsia="zh-CN"/>
          <w14:textFill>
            <w14:solidFill>
              <w14:schemeClr w14:val="tx1"/>
            </w14:solidFill>
          </w14:textFill>
        </w:rPr>
        <w:t>安全设施设计</w:t>
      </w:r>
      <w:r>
        <w:rPr>
          <w:rFonts w:hint="eastAsia" w:ascii="宋体" w:hAnsi="宋体" w:eastAsia="宋体" w:cs="宋体"/>
          <w:color w:val="000000" w:themeColor="text1"/>
          <w14:textFill>
            <w14:solidFill>
              <w14:schemeClr w14:val="tx1"/>
            </w14:solidFill>
          </w14:textFill>
        </w:rPr>
        <w:t>》等共检查1</w:t>
      </w:r>
      <w:r>
        <w:rPr>
          <w:rFonts w:hint="eastAsia" w:ascii="宋体" w:hAnsi="宋体" w:eastAsia="宋体" w:cs="宋体"/>
          <w:color w:val="000000" w:themeColor="text1"/>
          <w:lang w:val="en-US" w:eastAsia="zh-CN"/>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项，均符合要求。后期运行期</w:t>
      </w:r>
      <w:r>
        <w:rPr>
          <w:rFonts w:hint="eastAsia"/>
          <w:color w:val="000000" w:themeColor="text1"/>
          <w14:textFill>
            <w14:solidFill>
              <w14:schemeClr w14:val="tx1"/>
            </w14:solidFill>
          </w14:textFill>
        </w:rPr>
        <w:t>间应定期对建（构）筑物监测、巡查，发现问题及时处理。</w:t>
      </w:r>
    </w:p>
    <w:p w14:paraId="3736BE1B">
      <w:pPr>
        <w:pStyle w:val="3"/>
        <w:bidi w:val="0"/>
        <w:rPr>
          <w:rFonts w:hint="eastAsia"/>
          <w:color w:val="000000" w:themeColor="text1"/>
          <w:lang w:val="en-US" w:eastAsia="zh-CN"/>
          <w14:textFill>
            <w14:solidFill>
              <w14:schemeClr w14:val="tx1"/>
            </w14:solidFill>
          </w14:textFill>
        </w:rPr>
      </w:pPr>
      <w:bookmarkStart w:id="315" w:name="_Toc3445"/>
      <w:bookmarkStart w:id="316" w:name="_Toc32005"/>
      <w:bookmarkStart w:id="317" w:name="_Toc18097"/>
      <w:r>
        <w:rPr>
          <w:rFonts w:hint="eastAsia"/>
          <w:color w:val="000000" w:themeColor="text1"/>
          <w:lang w:val="en-US" w:eastAsia="zh-CN"/>
          <w14:textFill>
            <w14:solidFill>
              <w14:schemeClr w14:val="tx1"/>
            </w14:solidFill>
          </w14:textFill>
        </w:rPr>
        <w:t>光伏发电系统单元</w:t>
      </w:r>
      <w:bookmarkEnd w:id="315"/>
      <w:bookmarkEnd w:id="316"/>
      <w:bookmarkEnd w:id="317"/>
    </w:p>
    <w:p w14:paraId="78A41736">
      <w:pPr>
        <w:pStyle w:val="4"/>
        <w:bidi w:val="0"/>
        <w:rPr>
          <w:rFonts w:hint="eastAsia"/>
          <w:color w:val="000000" w:themeColor="text1"/>
          <w:lang w:val="en-US" w:eastAsia="zh-CN"/>
          <w14:textFill>
            <w14:solidFill>
              <w14:schemeClr w14:val="tx1"/>
            </w14:solidFill>
          </w14:textFill>
        </w:rPr>
      </w:pPr>
      <w:bookmarkStart w:id="318" w:name="_Toc15634"/>
      <w:bookmarkStart w:id="319" w:name="_Toc27090"/>
      <w:bookmarkStart w:id="320" w:name="_Toc195424866"/>
      <w:bookmarkStart w:id="321" w:name="_Toc242850426"/>
      <w:bookmarkStart w:id="322" w:name="_Toc164155942"/>
      <w:bookmarkStart w:id="323" w:name="_Toc194127757"/>
      <w:r>
        <w:rPr>
          <w:rFonts w:hint="eastAsia"/>
          <w:color w:val="000000" w:themeColor="text1"/>
          <w:lang w:val="en-US" w:eastAsia="zh-CN"/>
          <w14:textFill>
            <w14:solidFill>
              <w14:schemeClr w14:val="tx1"/>
            </w14:solidFill>
          </w14:textFill>
        </w:rPr>
        <w:t>光伏发电系统安全检查表</w:t>
      </w:r>
      <w:bookmarkEnd w:id="318"/>
      <w:bookmarkEnd w:id="319"/>
    </w:p>
    <w:p w14:paraId="1E401B66">
      <w:pPr>
        <w:pStyle w:val="12"/>
        <w:keepNext w:val="0"/>
        <w:keepLines w:val="0"/>
        <w:pageBreakBefore w:val="0"/>
        <w:widowControl w:val="0"/>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光伏发电系统安全检查</w:t>
      </w:r>
      <w:r>
        <w:rPr>
          <w:color w:val="000000" w:themeColor="text1"/>
          <w14:textFill>
            <w14:solidFill>
              <w14:schemeClr w14:val="tx1"/>
            </w14:solidFill>
          </w14:textFill>
        </w:rPr>
        <w:t>表</w:t>
      </w:r>
    </w:p>
    <w:tbl>
      <w:tblPr>
        <w:tblStyle w:val="28"/>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
        <w:gridCol w:w="2915"/>
        <w:gridCol w:w="1943"/>
        <w:gridCol w:w="2806"/>
        <w:gridCol w:w="747"/>
      </w:tblGrid>
      <w:tr w14:paraId="025B2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blHeader/>
          <w:jc w:val="center"/>
        </w:trPr>
        <w:tc>
          <w:tcPr>
            <w:tcW w:w="294" w:type="pct"/>
            <w:noWrap w:val="0"/>
            <w:vAlign w:val="center"/>
          </w:tcPr>
          <w:p w14:paraId="766A8EE0">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序号</w:t>
            </w:r>
          </w:p>
        </w:tc>
        <w:tc>
          <w:tcPr>
            <w:tcW w:w="1631" w:type="pct"/>
            <w:noWrap w:val="0"/>
            <w:vAlign w:val="center"/>
          </w:tcPr>
          <w:p w14:paraId="57C5AAA5">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检查项目与内容</w:t>
            </w:r>
          </w:p>
        </w:tc>
        <w:tc>
          <w:tcPr>
            <w:tcW w:w="1087" w:type="pct"/>
            <w:noWrap w:val="0"/>
            <w:vAlign w:val="center"/>
          </w:tcPr>
          <w:p w14:paraId="0ECD907F">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检查依据</w:t>
            </w:r>
          </w:p>
        </w:tc>
        <w:tc>
          <w:tcPr>
            <w:tcW w:w="1570" w:type="pct"/>
            <w:noWrap w:val="0"/>
            <w:vAlign w:val="center"/>
          </w:tcPr>
          <w:p w14:paraId="051F8CBD">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检查记录</w:t>
            </w:r>
          </w:p>
        </w:tc>
        <w:tc>
          <w:tcPr>
            <w:tcW w:w="416" w:type="pct"/>
            <w:noWrap w:val="0"/>
            <w:vAlign w:val="center"/>
          </w:tcPr>
          <w:p w14:paraId="3DCE847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 w:val="21"/>
                <w:szCs w:val="21"/>
                <w14:textFill>
                  <w14:solidFill>
                    <w14:schemeClr w14:val="tx1"/>
                  </w14:solidFill>
                </w14:textFill>
              </w:rPr>
              <w:t>检查结果</w:t>
            </w:r>
          </w:p>
        </w:tc>
      </w:tr>
      <w:tr w14:paraId="38DF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5000" w:type="pct"/>
            <w:gridSpan w:val="5"/>
            <w:noWrap w:val="0"/>
            <w:vAlign w:val="center"/>
          </w:tcPr>
          <w:p w14:paraId="633D0E1A">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一、一般规定</w:t>
            </w:r>
          </w:p>
        </w:tc>
      </w:tr>
      <w:tr w14:paraId="40961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94" w:type="pct"/>
            <w:noWrap w:val="0"/>
            <w:vAlign w:val="center"/>
          </w:tcPr>
          <w:p w14:paraId="0946245B">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494CF0D2">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光伏发电系统中，同一个逆变器接入的光伏组件串的电压、方阵朝向、安装倾角宜一致。</w:t>
            </w:r>
          </w:p>
        </w:tc>
        <w:tc>
          <w:tcPr>
            <w:tcW w:w="1087" w:type="pct"/>
            <w:noWrap w:val="0"/>
            <w:vAlign w:val="center"/>
          </w:tcPr>
          <w:p w14:paraId="572E96B0">
            <w:pPr>
              <w:pStyle w:val="23"/>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《光伏发电站设计规范》（GB50797-2012）第6.1.2条</w:t>
            </w:r>
          </w:p>
        </w:tc>
        <w:tc>
          <w:tcPr>
            <w:tcW w:w="1570" w:type="pct"/>
            <w:noWrap w:val="0"/>
            <w:vAlign w:val="center"/>
          </w:tcPr>
          <w:p w14:paraId="01E74400">
            <w:pPr>
              <w:keepNext w:val="0"/>
              <w:keepLines w:val="0"/>
              <w:pageBreakBefore w:val="0"/>
              <w:widowControl w:val="0"/>
              <w:kinsoku/>
              <w:bidi w:val="0"/>
              <w:spacing w:line="240" w:lineRule="exact"/>
              <w:ind w:firstLine="0" w:firstLine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同一个逆变器接入的光伏组件串的电压、方阵朝向</w:t>
            </w:r>
            <w:r>
              <w:rPr>
                <w:rFonts w:hint="eastAsia" w:ascii="宋体" w:hAnsi="宋体" w:eastAsia="宋体" w:cs="宋体"/>
                <w:color w:val="000000" w:themeColor="text1"/>
                <w:sz w:val="21"/>
                <w:szCs w:val="21"/>
                <w:lang w:val="en-US" w:eastAsia="zh-CN"/>
                <w14:textFill>
                  <w14:solidFill>
                    <w14:schemeClr w14:val="tx1"/>
                  </w14:solidFill>
                </w14:textFill>
              </w:rPr>
              <w:t>都一致</w:t>
            </w:r>
            <w:r>
              <w:rPr>
                <w:rFonts w:hint="eastAsia" w:ascii="宋体" w:hAnsi="宋体" w:eastAsia="宋体" w:cs="宋体"/>
                <w:color w:val="000000" w:themeColor="text1"/>
                <w:sz w:val="21"/>
                <w:szCs w:val="21"/>
                <w14:textFill>
                  <w14:solidFill>
                    <w14:schemeClr w14:val="tx1"/>
                  </w14:solidFill>
                </w14:textFill>
              </w:rPr>
              <w:t>，安装倾角都为2</w:t>
            </w:r>
            <w:r>
              <w:rPr>
                <w:rFonts w:hint="eastAsia" w:ascii="宋体" w:hAnsi="宋体" w:eastAsia="宋体"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z w:val="21"/>
                <w:szCs w:val="21"/>
                <w14:textFill>
                  <w14:solidFill>
                    <w14:schemeClr w14:val="tx1"/>
                  </w14:solidFill>
                </w14:textFill>
              </w:rPr>
              <w:t>度。</w:t>
            </w:r>
          </w:p>
        </w:tc>
        <w:tc>
          <w:tcPr>
            <w:tcW w:w="416" w:type="pct"/>
            <w:noWrap w:val="0"/>
            <w:vAlign w:val="center"/>
          </w:tcPr>
          <w:p w14:paraId="2148E6EB">
            <w:pPr>
              <w:keepNext w:val="0"/>
              <w:keepLines w:val="0"/>
              <w:pageBreakBefore w:val="0"/>
              <w:widowControl w:val="0"/>
              <w:kinsoku/>
              <w:bidi w:val="0"/>
              <w:spacing w:line="240" w:lineRule="exact"/>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7FA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94" w:type="pct"/>
            <w:noWrap w:val="0"/>
            <w:vAlign w:val="center"/>
          </w:tcPr>
          <w:p w14:paraId="4E5D0B50">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320B70D3">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光伏发电系统直流侧的设计电压应高于光伏组件串在当地昼间极端气温下的最大开路电压，系统中所采用的设备和材料的最高允许电压应不低于该设计电压。</w:t>
            </w:r>
          </w:p>
        </w:tc>
        <w:tc>
          <w:tcPr>
            <w:tcW w:w="1087" w:type="pct"/>
            <w:noWrap w:val="0"/>
            <w:vAlign w:val="center"/>
          </w:tcPr>
          <w:p w14:paraId="051C8FC8">
            <w:pPr>
              <w:pStyle w:val="23"/>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eastAsia="zh-CN"/>
                <w14:textFill>
                  <w14:solidFill>
                    <w14:schemeClr w14:val="tx1"/>
                  </w14:solidFill>
                </w14:textFill>
              </w:rPr>
              <w:t>光伏发电站设计规范</w:t>
            </w:r>
            <w:r>
              <w:rPr>
                <w:rFonts w:hint="eastAsia" w:ascii="宋体" w:hAnsi="宋体" w:eastAsia="宋体" w:cs="宋体"/>
                <w:color w:val="000000" w:themeColor="text1"/>
                <w14:textFill>
                  <w14:solidFill>
                    <w14:schemeClr w14:val="tx1"/>
                  </w14:solidFill>
                </w14:textFill>
              </w:rPr>
              <w:t>》（GB50797-2012）第6.1.3条</w:t>
            </w:r>
          </w:p>
        </w:tc>
        <w:tc>
          <w:tcPr>
            <w:tcW w:w="1570" w:type="pct"/>
            <w:noWrap w:val="0"/>
            <w:vAlign w:val="center"/>
          </w:tcPr>
          <w:p w14:paraId="55F2AEF4">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光伏发电系统直流侧的设计电压</w:t>
            </w:r>
            <w:r>
              <w:rPr>
                <w:rFonts w:hint="eastAsia" w:ascii="宋体" w:hAnsi="宋体" w:eastAsia="宋体" w:cs="宋体"/>
                <w:color w:val="000000" w:themeColor="text1"/>
                <w:sz w:val="21"/>
                <w:szCs w:val="21"/>
                <w:lang w:val="en-US" w:eastAsia="zh-CN"/>
                <w14:textFill>
                  <w14:solidFill>
                    <w14:schemeClr w14:val="tx1"/>
                  </w14:solidFill>
                </w14:textFill>
              </w:rPr>
              <w:t>高于</w:t>
            </w:r>
            <w:r>
              <w:rPr>
                <w:rFonts w:hint="eastAsia" w:ascii="宋体" w:hAnsi="宋体" w:eastAsia="宋体" w:cs="宋体"/>
                <w:color w:val="000000" w:themeColor="text1"/>
                <w:sz w:val="21"/>
                <w:szCs w:val="21"/>
                <w14:textFill>
                  <w14:solidFill>
                    <w14:schemeClr w14:val="tx1"/>
                  </w14:solidFill>
                </w14:textFill>
              </w:rPr>
              <w:t>光伏组件串在当地昼间极端气温下的最大开路电压。</w:t>
            </w:r>
          </w:p>
        </w:tc>
        <w:tc>
          <w:tcPr>
            <w:tcW w:w="416" w:type="pct"/>
            <w:noWrap w:val="0"/>
            <w:vAlign w:val="center"/>
          </w:tcPr>
          <w:p w14:paraId="15C62635">
            <w:pPr>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5979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94" w:type="pct"/>
            <w:noWrap w:val="0"/>
            <w:vAlign w:val="center"/>
          </w:tcPr>
          <w:p w14:paraId="5168B8ED">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2D14A7F">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光伏发电系统中逆变器的配置容量应与光伏方阵的安装容量相匹配，逆变器允许的最大直流输</w:t>
            </w:r>
            <w:r>
              <w:rPr>
                <w:rFonts w:hint="eastAsia" w:ascii="宋体" w:hAnsi="宋体" w:eastAsia="宋体" w:cs="宋体"/>
                <w:color w:val="000000" w:themeColor="text1"/>
                <w:sz w:val="21"/>
                <w:szCs w:val="21"/>
                <w:lang w:val="en-US" w:eastAsia="zh-CN"/>
                <w14:textFill>
                  <w14:solidFill>
                    <w14:schemeClr w14:val="tx1"/>
                  </w14:solidFill>
                </w14:textFill>
              </w:rPr>
              <w:t>入</w:t>
            </w:r>
            <w:r>
              <w:rPr>
                <w:rFonts w:hint="eastAsia" w:ascii="宋体" w:hAnsi="宋体" w:eastAsia="宋体" w:cs="宋体"/>
                <w:color w:val="000000" w:themeColor="text1"/>
                <w:sz w:val="21"/>
                <w:szCs w:val="21"/>
                <w14:textFill>
                  <w14:solidFill>
                    <w14:schemeClr w14:val="tx1"/>
                  </w14:solidFill>
                </w14:textFill>
              </w:rPr>
              <w:t>功率应不小于其对应的光伏方阵的实际最大直流输出功率。</w:t>
            </w:r>
          </w:p>
        </w:tc>
        <w:tc>
          <w:tcPr>
            <w:tcW w:w="1087" w:type="pct"/>
            <w:noWrap w:val="0"/>
            <w:vAlign w:val="center"/>
          </w:tcPr>
          <w:p w14:paraId="7B723EFC">
            <w:pPr>
              <w:pStyle w:val="23"/>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《光伏发电站设计规范》（GB50797-2012）第6.1.4条</w:t>
            </w:r>
          </w:p>
        </w:tc>
        <w:tc>
          <w:tcPr>
            <w:tcW w:w="1570" w:type="pct"/>
            <w:noWrap w:val="0"/>
            <w:vAlign w:val="center"/>
          </w:tcPr>
          <w:p w14:paraId="4A0D9395">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该电站光伏系统中逆变器的配置容量为320kW，与每个光伏方阵的安装容量相同。</w:t>
            </w:r>
          </w:p>
        </w:tc>
        <w:tc>
          <w:tcPr>
            <w:tcW w:w="416" w:type="pct"/>
            <w:noWrap w:val="0"/>
            <w:vAlign w:val="center"/>
          </w:tcPr>
          <w:p w14:paraId="49E9D5FE">
            <w:pPr>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0070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94" w:type="pct"/>
            <w:noWrap w:val="0"/>
            <w:vAlign w:val="center"/>
          </w:tcPr>
          <w:p w14:paraId="7B924636">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宋体" w:hAnsi="宋体"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18D8CFFE">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光伏方阵设计应便于光伏组件表面的清洗，当站址所在地的大气环境较差、组件表面污染较严重且又无自洁能力时，应设置清洗系统或配置清洗设备。</w:t>
            </w:r>
          </w:p>
        </w:tc>
        <w:tc>
          <w:tcPr>
            <w:tcW w:w="1087" w:type="pct"/>
            <w:noWrap w:val="0"/>
            <w:vAlign w:val="center"/>
          </w:tcPr>
          <w:p w14:paraId="0CB00585">
            <w:pPr>
              <w:pStyle w:val="23"/>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《光伏发电站设计规范》（GB50797-2012）第6.1.7条</w:t>
            </w:r>
          </w:p>
        </w:tc>
        <w:tc>
          <w:tcPr>
            <w:tcW w:w="1570" w:type="pct"/>
            <w:noWrap w:val="0"/>
            <w:vAlign w:val="center"/>
          </w:tcPr>
          <w:p w14:paraId="0ED0C764">
            <w:pPr>
              <w:keepNext w:val="0"/>
              <w:keepLines w:val="0"/>
              <w:pageBreakBefore w:val="0"/>
              <w:widowControl w:val="0"/>
              <w:kinsoku/>
              <w:autoSpaceDE w:val="0"/>
              <w:autoSpaceDN w:val="0"/>
              <w:bidi w:val="0"/>
              <w:adjustRightInd w:val="0"/>
              <w:spacing w:line="240" w:lineRule="exact"/>
              <w:ind w:firstLine="0" w:firstLine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电站位于山区，光伏方阵的清洗采用利用水车从站外运水进行原地清洗。</w:t>
            </w:r>
          </w:p>
        </w:tc>
        <w:tc>
          <w:tcPr>
            <w:tcW w:w="416" w:type="pct"/>
            <w:noWrap w:val="0"/>
            <w:vAlign w:val="center"/>
          </w:tcPr>
          <w:p w14:paraId="04215915">
            <w:pPr>
              <w:keepNext w:val="0"/>
              <w:keepLines w:val="0"/>
              <w:pageBreakBefore w:val="0"/>
              <w:widowControl w:val="0"/>
              <w:kinsoku/>
              <w:bidi w:val="0"/>
              <w:spacing w:line="240" w:lineRule="exact"/>
              <w:ind w:firstLine="0" w:firstLineChars="0"/>
              <w:jc w:val="lef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r w14:paraId="66711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94" w:type="pct"/>
            <w:noWrap w:val="0"/>
            <w:vAlign w:val="center"/>
          </w:tcPr>
          <w:p w14:paraId="13883383">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494117BA">
            <w:pPr>
              <w:keepNext w:val="0"/>
              <w:keepLines w:val="0"/>
              <w:pageBreakBefore w:val="0"/>
              <w:widowControl w:val="0"/>
              <w:kinsoku/>
              <w:bidi w:val="0"/>
              <w:spacing w:line="240" w:lineRule="exact"/>
              <w:ind w:firstLine="0" w:firstLineChars="0"/>
              <w:jc w:val="both"/>
              <w:rPr>
                <w:rFonts w:hint="eastAsia" w:ascii="宋体" w:hAnsi="宋体"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光伏组件应根据类型、峰值功率、转换效率、温度系数、组件尺寸和重量、功率辐照度特性等技术条件进行选择。</w:t>
            </w:r>
          </w:p>
        </w:tc>
        <w:tc>
          <w:tcPr>
            <w:tcW w:w="1087" w:type="pct"/>
            <w:noWrap w:val="0"/>
            <w:vAlign w:val="center"/>
          </w:tcPr>
          <w:p w14:paraId="543D3C73">
            <w:pPr>
              <w:pStyle w:val="23"/>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）第6.3.2条</w:t>
            </w:r>
          </w:p>
        </w:tc>
        <w:tc>
          <w:tcPr>
            <w:tcW w:w="1570" w:type="pct"/>
            <w:noWrap w:val="0"/>
            <w:vAlign w:val="top"/>
          </w:tcPr>
          <w:p w14:paraId="111B8C3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设计单位</w:t>
            </w:r>
            <w:r>
              <w:rPr>
                <w:rFonts w:hint="eastAsia" w:ascii="宋体" w:hAnsi="宋体" w:eastAsia="宋体" w:cs="宋体"/>
                <w:color w:val="000000" w:themeColor="text1"/>
                <w:sz w:val="21"/>
                <w:szCs w:val="21"/>
                <w:lang w:val="en-US" w:eastAsia="zh-CN"/>
                <w14:textFill>
                  <w14:solidFill>
                    <w14:schemeClr w14:val="tx1"/>
                  </w14:solidFill>
                </w14:textFill>
              </w:rPr>
              <w:t>根据</w:t>
            </w:r>
            <w:r>
              <w:rPr>
                <w:rFonts w:hint="eastAsia" w:ascii="宋体" w:hAnsi="宋体" w:eastAsia="宋体" w:cs="宋体"/>
                <w:color w:val="000000" w:themeColor="text1"/>
                <w:sz w:val="21"/>
                <w:szCs w:val="21"/>
                <w14:textFill>
                  <w14:solidFill>
                    <w14:schemeClr w14:val="tx1"/>
                  </w14:solidFill>
                </w14:textFill>
              </w:rPr>
              <w:t>类型、峰值功率、转换效率、温度系数、组件尺寸和重量、功率辐照度特性等技术条件进行选择，采用575/580Wp的国产</w:t>
            </w:r>
            <w:r>
              <w:rPr>
                <w:rFonts w:hint="eastAsia" w:ascii="宋体" w:hAnsi="宋体" w:eastAsia="宋体" w:cs="宋体"/>
                <w:color w:val="000000" w:themeColor="text1"/>
                <w:sz w:val="21"/>
                <w:szCs w:val="21"/>
                <w:lang w:val="en-US" w:eastAsia="zh-CN"/>
                <w14:textFill>
                  <w14:solidFill>
                    <w14:schemeClr w14:val="tx1"/>
                  </w14:solidFill>
                </w14:textFill>
              </w:rPr>
              <w:t>单</w:t>
            </w:r>
            <w:r>
              <w:rPr>
                <w:rFonts w:hint="eastAsia" w:ascii="宋体" w:hAnsi="宋体" w:eastAsia="宋体" w:cs="宋体"/>
                <w:color w:val="000000" w:themeColor="text1"/>
                <w:sz w:val="21"/>
                <w:szCs w:val="21"/>
                <w14:textFill>
                  <w14:solidFill>
                    <w14:schemeClr w14:val="tx1"/>
                  </w14:solidFill>
                </w14:textFill>
              </w:rPr>
              <w:t>晶硅光伏组件。</w:t>
            </w:r>
          </w:p>
        </w:tc>
        <w:tc>
          <w:tcPr>
            <w:tcW w:w="416" w:type="pct"/>
            <w:noWrap w:val="0"/>
            <w:vAlign w:val="center"/>
          </w:tcPr>
          <w:p w14:paraId="17ACAFDF">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37DB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294" w:type="pct"/>
            <w:noWrap w:val="0"/>
            <w:vAlign w:val="center"/>
          </w:tcPr>
          <w:p w14:paraId="76188A73">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4C6A4BFC">
            <w:pPr>
              <w:keepNext w:val="0"/>
              <w:keepLines w:val="0"/>
              <w:pageBreakBefore w:val="0"/>
              <w:widowControl w:val="0"/>
              <w:kinsoku/>
              <w:bidi w:val="0"/>
              <w:spacing w:line="240" w:lineRule="exact"/>
              <w:ind w:firstLine="0" w:firstLineChars="0"/>
              <w:jc w:val="both"/>
              <w:rPr>
                <w:rFonts w:hint="eastAsia" w:ascii="宋体" w:hAnsi="宋体"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光伏组件应按太阳辐照度、工作温度等使用环境条件进行性能参数校验。</w:t>
            </w:r>
          </w:p>
        </w:tc>
        <w:tc>
          <w:tcPr>
            <w:tcW w:w="1087" w:type="pct"/>
            <w:noWrap w:val="0"/>
            <w:vAlign w:val="center"/>
          </w:tcPr>
          <w:p w14:paraId="5D95B9F4">
            <w:pPr>
              <w:pStyle w:val="23"/>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）第6.3.3条</w:t>
            </w:r>
          </w:p>
        </w:tc>
        <w:tc>
          <w:tcPr>
            <w:tcW w:w="1570" w:type="pct"/>
            <w:noWrap w:val="0"/>
            <w:vAlign w:val="top"/>
          </w:tcPr>
          <w:p w14:paraId="27EA0A04">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设计单位对串联后的光伏组串的输出电压进行温度校验。</w:t>
            </w:r>
          </w:p>
        </w:tc>
        <w:tc>
          <w:tcPr>
            <w:tcW w:w="416" w:type="pct"/>
            <w:noWrap w:val="0"/>
            <w:vAlign w:val="center"/>
          </w:tcPr>
          <w:p w14:paraId="5E6E72C1">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434C3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0" w:hRule="atLeast"/>
          <w:jc w:val="center"/>
        </w:trPr>
        <w:tc>
          <w:tcPr>
            <w:tcW w:w="294" w:type="pct"/>
            <w:noWrap w:val="0"/>
            <w:vAlign w:val="center"/>
          </w:tcPr>
          <w:p w14:paraId="5B8ED09C">
            <w:pPr>
              <w:keepNext w:val="0"/>
              <w:keepLines w:val="0"/>
              <w:pageBreakBefore w:val="0"/>
              <w:widowControl w:val="0"/>
              <w:numPr>
                <w:ilvl w:val="0"/>
                <w:numId w:val="40"/>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042B5A20">
            <w:pPr>
              <w:keepNext w:val="0"/>
              <w:keepLines w:val="0"/>
              <w:pageBreakBefore w:val="0"/>
              <w:widowControl w:val="0"/>
              <w:kinsoku/>
              <w:bidi w:val="0"/>
              <w:spacing w:line="28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组件的类型应按下列条件选择：1依据太阳辐射量、气候特征、场地面积等因素，经技术经济比较确定。2太阳辐射量较高、直射分量较大的地区宜选用晶体硅光伏组件或聚光光伏组件。3太阳辐射量较低、散射分量较大、环境温度较高的地区宜选用薄膜光伏组件。4在与建筑相结合的光伏发电系统中，当技术经济合理时，宜选用与建筑结构相协调的</w:t>
            </w:r>
            <w:r>
              <w:rPr>
                <w:rFonts w:hint="eastAsia" w:cs="Times New Roman"/>
                <w:color w:val="000000" w:themeColor="text1"/>
                <w:sz w:val="21"/>
                <w:szCs w:val="21"/>
                <w:lang w:eastAsia="zh-CN"/>
                <w14:textFill>
                  <w14:solidFill>
                    <w14:schemeClr w14:val="tx1"/>
                  </w14:solidFill>
                </w14:textFill>
              </w:rPr>
              <w:t>光伏组</w:t>
            </w:r>
            <w:r>
              <w:rPr>
                <w:rFonts w:hint="eastAsia" w:ascii="Times New Roman" w:hAnsi="Times New Roman" w:eastAsia="宋体" w:cs="Times New Roman"/>
                <w:color w:val="000000" w:themeColor="text1"/>
                <w:sz w:val="21"/>
                <w:szCs w:val="21"/>
                <w14:textFill>
                  <w14:solidFill>
                    <w14:schemeClr w14:val="tx1"/>
                  </w14:solidFill>
                </w14:textFill>
              </w:rPr>
              <w:t>件。建材型的光伏组件，应符合相应建筑材料或构件的技术要求。</w:t>
            </w:r>
          </w:p>
        </w:tc>
        <w:tc>
          <w:tcPr>
            <w:tcW w:w="1087" w:type="pct"/>
            <w:noWrap w:val="0"/>
            <w:vAlign w:val="center"/>
          </w:tcPr>
          <w:p w14:paraId="315925C8">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）第6.3.4条</w:t>
            </w:r>
          </w:p>
        </w:tc>
        <w:tc>
          <w:tcPr>
            <w:tcW w:w="1570" w:type="pct"/>
            <w:noWrap w:val="0"/>
            <w:vAlign w:val="center"/>
          </w:tcPr>
          <w:p w14:paraId="38805356">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光伏组件的类型依据太阳辐射量、气候特征、场地面积等因素，经技术经济比较确定；本地区太阳辐射量高，采用</w:t>
            </w:r>
            <w:r>
              <w:rPr>
                <w:rFonts w:hint="eastAsia" w:cs="Times New Roman"/>
                <w:color w:val="000000" w:themeColor="text1"/>
                <w:lang w:val="en-US" w:eastAsia="zh-CN"/>
                <w14:textFill>
                  <w14:solidFill>
                    <w14:schemeClr w14:val="tx1"/>
                  </w14:solidFill>
                </w14:textFill>
              </w:rPr>
              <w:t>单</w:t>
            </w:r>
            <w:r>
              <w:rPr>
                <w:rFonts w:hint="eastAsia" w:ascii="Times New Roman" w:hAnsi="Times New Roman" w:eastAsia="宋体" w:cs="Times New Roman"/>
                <w:color w:val="000000" w:themeColor="text1"/>
                <w14:textFill>
                  <w14:solidFill>
                    <w14:schemeClr w14:val="tx1"/>
                  </w14:solidFill>
                </w14:textFill>
              </w:rPr>
              <w:t>晶硅光伏组件。</w:t>
            </w:r>
          </w:p>
        </w:tc>
        <w:tc>
          <w:tcPr>
            <w:tcW w:w="416" w:type="pct"/>
            <w:noWrap w:val="0"/>
            <w:vAlign w:val="center"/>
          </w:tcPr>
          <w:p w14:paraId="2FF0F6D2">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B2DC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000" w:type="pct"/>
            <w:gridSpan w:val="5"/>
            <w:noWrap w:val="0"/>
            <w:vAlign w:val="center"/>
          </w:tcPr>
          <w:p w14:paraId="5389E711">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二、逆变器</w:t>
            </w:r>
          </w:p>
        </w:tc>
      </w:tr>
      <w:tr w14:paraId="47045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294" w:type="pct"/>
            <w:noWrap w:val="0"/>
            <w:vAlign w:val="center"/>
          </w:tcPr>
          <w:p w14:paraId="6B316748">
            <w:pPr>
              <w:keepNext w:val="0"/>
              <w:keepLines w:val="0"/>
              <w:pageBreakBefore w:val="0"/>
              <w:widowControl w:val="0"/>
              <w:numPr>
                <w:ilvl w:val="0"/>
                <w:numId w:val="4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7BF36F46">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用于并网光伏发电系统的逆变器性能应符合接入公用电网相关技术要求的规定，并具有有功功率和无功功率连续可调功能。用于大、中型光伏发电站的逆变器还应具有低电压穿越功能。</w:t>
            </w:r>
          </w:p>
        </w:tc>
        <w:tc>
          <w:tcPr>
            <w:tcW w:w="1087" w:type="pct"/>
            <w:noWrap w:val="0"/>
            <w:vAlign w:val="center"/>
          </w:tcPr>
          <w:p w14:paraId="2DB73AFF">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）第6.3.5条</w:t>
            </w:r>
          </w:p>
        </w:tc>
        <w:tc>
          <w:tcPr>
            <w:tcW w:w="1570" w:type="pct"/>
            <w:noWrap w:val="0"/>
            <w:vAlign w:val="center"/>
          </w:tcPr>
          <w:p w14:paraId="30EC4B8A">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电站选用的逆变器具有功率调节和低电压穿越功能。</w:t>
            </w:r>
          </w:p>
        </w:tc>
        <w:tc>
          <w:tcPr>
            <w:tcW w:w="416" w:type="pct"/>
            <w:noWrap w:val="0"/>
            <w:vAlign w:val="center"/>
          </w:tcPr>
          <w:p w14:paraId="076DC36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4401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294" w:type="pct"/>
            <w:noWrap w:val="0"/>
            <w:vAlign w:val="center"/>
          </w:tcPr>
          <w:p w14:paraId="4C6CE2D3">
            <w:pPr>
              <w:keepNext w:val="0"/>
              <w:keepLines w:val="0"/>
              <w:pageBreakBefore w:val="0"/>
              <w:widowControl w:val="0"/>
              <w:numPr>
                <w:ilvl w:val="0"/>
                <w:numId w:val="4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527B5136">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逆变器应按型式、容量、相数、频率、冷却方式、功率因数、过载能力、温升、效率、输入输出电压、最大功率点跟踪（MPPT)，保护和监测功能、通信接口、防护等级等技术条件进行选</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择</w:t>
            </w:r>
            <w:r>
              <w:rPr>
                <w:rFonts w:hint="eastAsia" w:ascii="Times New Roman" w:hAnsi="Times New Roman" w:eastAsia="宋体" w:cs="Times New Roman"/>
                <w:color w:val="000000" w:themeColor="text1"/>
                <w:sz w:val="21"/>
                <w:szCs w:val="21"/>
                <w14:textFill>
                  <w14:solidFill>
                    <w14:schemeClr w14:val="tx1"/>
                  </w14:solidFill>
                </w14:textFill>
              </w:rPr>
              <w:t>。</w:t>
            </w:r>
          </w:p>
        </w:tc>
        <w:tc>
          <w:tcPr>
            <w:tcW w:w="1087" w:type="pct"/>
            <w:noWrap w:val="0"/>
            <w:vAlign w:val="center"/>
          </w:tcPr>
          <w:p w14:paraId="1772065E">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）第6.3.6条</w:t>
            </w:r>
          </w:p>
        </w:tc>
        <w:tc>
          <w:tcPr>
            <w:tcW w:w="1570" w:type="pct"/>
            <w:noWrap w:val="0"/>
            <w:vAlign w:val="center"/>
          </w:tcPr>
          <w:p w14:paraId="4E122E24">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逆变器应按型式、容量、相数、频率、冷却方式、功率因数、过载能力、温升、效率、输入输出电压、最大功率点跟踪（MPPT)，保护和监测功能、通信接口、防护等级等技术条件进行选</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择</w:t>
            </w:r>
            <w:r>
              <w:rPr>
                <w:rFonts w:hint="eastAsia" w:ascii="Times New Roman" w:hAnsi="Times New Roman" w:eastAsia="宋体" w:cs="Times New Roman"/>
                <w:color w:val="000000" w:themeColor="text1"/>
                <w:sz w:val="21"/>
                <w:szCs w:val="21"/>
                <w14:textFill>
                  <w14:solidFill>
                    <w14:schemeClr w14:val="tx1"/>
                  </w14:solidFill>
                </w14:textFill>
              </w:rPr>
              <w:t>。</w:t>
            </w:r>
          </w:p>
        </w:tc>
        <w:tc>
          <w:tcPr>
            <w:tcW w:w="416" w:type="pct"/>
            <w:noWrap w:val="0"/>
            <w:vAlign w:val="center"/>
          </w:tcPr>
          <w:p w14:paraId="016DCA8B">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3206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94" w:type="pct"/>
            <w:noWrap w:val="0"/>
            <w:vAlign w:val="center"/>
          </w:tcPr>
          <w:p w14:paraId="3FE75762">
            <w:pPr>
              <w:keepNext w:val="0"/>
              <w:keepLines w:val="0"/>
              <w:pageBreakBefore w:val="0"/>
              <w:widowControl w:val="0"/>
              <w:numPr>
                <w:ilvl w:val="0"/>
                <w:numId w:val="4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FD5D933">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逆变器应按环境温度、相对湿度、海拔高度、地震烈度、污秽等级等使用环境条件进行校验。</w:t>
            </w:r>
          </w:p>
        </w:tc>
        <w:tc>
          <w:tcPr>
            <w:tcW w:w="1087" w:type="pct"/>
            <w:noWrap w:val="0"/>
            <w:vAlign w:val="center"/>
          </w:tcPr>
          <w:p w14:paraId="30C15867">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）第6.3.7条</w:t>
            </w:r>
          </w:p>
        </w:tc>
        <w:tc>
          <w:tcPr>
            <w:tcW w:w="1570" w:type="pct"/>
            <w:noWrap w:val="0"/>
            <w:vAlign w:val="center"/>
          </w:tcPr>
          <w:p w14:paraId="6076F9ED">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在进行试运行过程中，对逆变器的性能进行了综合检验。</w:t>
            </w:r>
          </w:p>
        </w:tc>
        <w:tc>
          <w:tcPr>
            <w:tcW w:w="416" w:type="pct"/>
            <w:noWrap w:val="0"/>
            <w:vAlign w:val="center"/>
          </w:tcPr>
          <w:p w14:paraId="25AA7F59">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24AF4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94" w:type="pct"/>
            <w:noWrap w:val="0"/>
            <w:vAlign w:val="center"/>
          </w:tcPr>
          <w:p w14:paraId="695A2EEE">
            <w:pPr>
              <w:keepNext w:val="0"/>
              <w:keepLines w:val="0"/>
              <w:pageBreakBefore w:val="0"/>
              <w:widowControl w:val="0"/>
              <w:numPr>
                <w:ilvl w:val="0"/>
                <w:numId w:val="41"/>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3880FAE2">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全站共配置141 台320kW的组串式逆变器</w:t>
            </w:r>
            <w:r>
              <w:rPr>
                <w:rFonts w:hint="eastAsia" w:cs="Times New Roman"/>
                <w:color w:val="000000" w:themeColor="text1"/>
                <w:sz w:val="21"/>
                <w:szCs w:val="21"/>
                <w:lang w:eastAsia="zh-CN"/>
                <w14:textFill>
                  <w14:solidFill>
                    <w14:schemeClr w14:val="tx1"/>
                  </w14:solidFill>
                </w14:textFill>
              </w:rPr>
              <w:t>。</w:t>
            </w:r>
          </w:p>
        </w:tc>
        <w:tc>
          <w:tcPr>
            <w:tcW w:w="1087" w:type="pct"/>
            <w:noWrap w:val="0"/>
            <w:vAlign w:val="center"/>
          </w:tcPr>
          <w:p w14:paraId="44796632">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lang w:eastAsia="zh-CN"/>
                <w14:textFill>
                  <w14:solidFill>
                    <w14:schemeClr w14:val="tx1"/>
                  </w14:solidFill>
                </w14:textFill>
              </w:rPr>
            </w:pPr>
            <w:r>
              <w:rPr>
                <w:rFonts w:hint="eastAsia" w:cs="Times New Roman"/>
                <w:color w:val="000000" w:themeColor="text1"/>
                <w:lang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安全设施设计</w:t>
            </w:r>
            <w:r>
              <w:rPr>
                <w:rFonts w:hint="eastAsia" w:cs="Times New Roman"/>
                <w:color w:val="000000" w:themeColor="text1"/>
                <w:lang w:eastAsia="zh-CN"/>
                <w14:textFill>
                  <w14:solidFill>
                    <w14:schemeClr w14:val="tx1"/>
                  </w14:solidFill>
                </w14:textFill>
              </w:rPr>
              <w:t>》</w:t>
            </w:r>
          </w:p>
        </w:tc>
        <w:tc>
          <w:tcPr>
            <w:tcW w:w="1570" w:type="pct"/>
            <w:noWrap w:val="0"/>
            <w:vAlign w:val="center"/>
          </w:tcPr>
          <w:p w14:paraId="2DE4C99A">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全站共配置141 台320kW的组串式逆变器</w:t>
            </w:r>
            <w:r>
              <w:rPr>
                <w:rFonts w:hint="eastAsia" w:cs="Times New Roman"/>
                <w:color w:val="000000" w:themeColor="text1"/>
                <w:sz w:val="21"/>
                <w:szCs w:val="21"/>
                <w:lang w:eastAsia="zh-CN"/>
                <w14:textFill>
                  <w14:solidFill>
                    <w14:schemeClr w14:val="tx1"/>
                  </w14:solidFill>
                </w14:textFill>
              </w:rPr>
              <w:t>。</w:t>
            </w:r>
          </w:p>
        </w:tc>
        <w:tc>
          <w:tcPr>
            <w:tcW w:w="416" w:type="pct"/>
            <w:noWrap w:val="0"/>
            <w:vAlign w:val="center"/>
          </w:tcPr>
          <w:p w14:paraId="2B5BF01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5BECC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000" w:type="pct"/>
            <w:gridSpan w:val="5"/>
            <w:noWrap w:val="0"/>
            <w:vAlign w:val="center"/>
          </w:tcPr>
          <w:p w14:paraId="3D03951E">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三</w:t>
            </w:r>
            <w:r>
              <w:rPr>
                <w:rFonts w:ascii="Times New Roman" w:hAnsi="Times New Roman" w:eastAsia="宋体" w:cs="Times New Roman"/>
                <w:color w:val="000000" w:themeColor="text1"/>
                <w:sz w:val="21"/>
                <w:szCs w:val="21"/>
                <w14:textFill>
                  <w14:solidFill>
                    <w14:schemeClr w14:val="tx1"/>
                  </w14:solidFill>
                </w14:textFill>
              </w:rPr>
              <w:t>、光伏方阵</w:t>
            </w:r>
          </w:p>
        </w:tc>
      </w:tr>
      <w:tr w14:paraId="45C0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294" w:type="pct"/>
            <w:noWrap w:val="0"/>
            <w:vAlign w:val="center"/>
          </w:tcPr>
          <w:p w14:paraId="3F5C32CC">
            <w:pPr>
              <w:keepNext w:val="0"/>
              <w:keepLines w:val="0"/>
              <w:pageBreakBefore w:val="0"/>
              <w:widowControl w:val="0"/>
              <w:numPr>
                <w:ilvl w:val="0"/>
                <w:numId w:val="4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CEBE81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光伏方阵可分为固定式和跟踪式两类，选择何种方式应根据安装容量、安装场地面积和特点、负荷的类别和运行管理方式，由技术经济比较确定。</w:t>
            </w:r>
          </w:p>
        </w:tc>
        <w:tc>
          <w:tcPr>
            <w:tcW w:w="1087" w:type="pct"/>
            <w:noWrap w:val="0"/>
            <w:vAlign w:val="center"/>
          </w:tcPr>
          <w:p w14:paraId="4D207C4D">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w:t>
            </w:r>
            <w:r>
              <w:rPr>
                <w:rFonts w:ascii="Times New Roman" w:hAnsi="Times New Roman" w:eastAsia="宋体" w:cs="Times New Roman"/>
                <w:color w:val="000000" w:themeColor="text1"/>
                <w14:textFill>
                  <w14:solidFill>
                    <w14:schemeClr w14:val="tx1"/>
                  </w14:solidFill>
                </w14:textFill>
              </w:rPr>
              <w:t>6.4.1</w:t>
            </w:r>
            <w:r>
              <w:rPr>
                <w:rFonts w:hint="eastAsia" w:ascii="Times New Roman" w:hAnsi="Times New Roman" w:eastAsia="宋体" w:cs="Times New Roman"/>
                <w:color w:val="000000" w:themeColor="text1"/>
                <w14:textFill>
                  <w14:solidFill>
                    <w14:schemeClr w14:val="tx1"/>
                  </w14:solidFill>
                </w14:textFill>
              </w:rPr>
              <w:t>条</w:t>
            </w:r>
          </w:p>
        </w:tc>
        <w:tc>
          <w:tcPr>
            <w:tcW w:w="1570" w:type="pct"/>
            <w:noWrap w:val="0"/>
            <w:vAlign w:val="center"/>
          </w:tcPr>
          <w:p w14:paraId="54AF70A3">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本工程光伏方阵采用固定式。</w:t>
            </w:r>
          </w:p>
        </w:tc>
        <w:tc>
          <w:tcPr>
            <w:tcW w:w="416" w:type="pct"/>
            <w:noWrap w:val="0"/>
            <w:vAlign w:val="center"/>
          </w:tcPr>
          <w:p w14:paraId="524599D4">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14A4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7" w:hRule="atLeast"/>
          <w:jc w:val="center"/>
        </w:trPr>
        <w:tc>
          <w:tcPr>
            <w:tcW w:w="294" w:type="pct"/>
            <w:noWrap w:val="0"/>
            <w:vAlign w:val="center"/>
          </w:tcPr>
          <w:p w14:paraId="1AFA7619">
            <w:pPr>
              <w:keepNext w:val="0"/>
              <w:keepLines w:val="0"/>
              <w:pageBreakBefore w:val="0"/>
              <w:widowControl w:val="0"/>
              <w:numPr>
                <w:ilvl w:val="0"/>
                <w:numId w:val="42"/>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1AE176B6">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方阵采用固定式布置时，最佳倾角应结合站址当地的多年月平均辐照度、直射分量辐照度、散射分量辐照度、风速、雨水、积雪等气候条件进行设计，并宜符合下列要求：1对于并网光伏发电系统，倾角宜使光伏方阵的倾斜面上受到的全年辐照量最大。2对于独立光伏发电系统，倾角宜使光伏方阵的最低辐照度月份倾斜面上受到较大的辐照量。3对于有特殊要求或土地成本较高的光伏发电站，可根据实际需要，经技术经济比较后确定光伏方阵的设计倾角和阵列行距。</w:t>
            </w:r>
          </w:p>
        </w:tc>
        <w:tc>
          <w:tcPr>
            <w:tcW w:w="1087" w:type="pct"/>
            <w:noWrap w:val="0"/>
            <w:vAlign w:val="center"/>
          </w:tcPr>
          <w:p w14:paraId="62C0A1C2">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）第6.4.3条</w:t>
            </w:r>
          </w:p>
        </w:tc>
        <w:tc>
          <w:tcPr>
            <w:tcW w:w="1570" w:type="pct"/>
            <w:noWrap w:val="0"/>
            <w:vAlign w:val="center"/>
          </w:tcPr>
          <w:p w14:paraId="4E0FD6D0">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本工程为交网发电系统，光伏组串采用固定式支架，倾角为</w:t>
            </w:r>
            <w:r>
              <w:rPr>
                <w:rFonts w:ascii="Times New Roman" w:hAnsi="Times New Roman" w:eastAsia="宋体" w:cs="Times New Roman"/>
                <w:color w:val="000000" w:themeColor="text1"/>
                <w14:textFill>
                  <w14:solidFill>
                    <w14:schemeClr w14:val="tx1"/>
                  </w14:solidFill>
                </w14:textFill>
              </w:rPr>
              <w:t>2</w:t>
            </w:r>
            <w:r>
              <w:rPr>
                <w:rFonts w:hint="eastAsia" w:cs="Times New Roman"/>
                <w:color w:val="000000" w:themeColor="text1"/>
                <w:lang w:val="en-US" w:eastAsia="zh-CN"/>
                <w14:textFill>
                  <w14:solidFill>
                    <w14:schemeClr w14:val="tx1"/>
                  </w14:solidFill>
                </w14:textFill>
              </w:rPr>
              <w:t>2</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w:t>
            </w:r>
          </w:p>
          <w:p w14:paraId="5C4D7273">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本工程水平面支架间最小列间距满足要求。</w:t>
            </w:r>
          </w:p>
        </w:tc>
        <w:tc>
          <w:tcPr>
            <w:tcW w:w="416" w:type="pct"/>
            <w:noWrap w:val="0"/>
            <w:vAlign w:val="center"/>
          </w:tcPr>
          <w:p w14:paraId="31BF59A6">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3B74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000" w:type="pct"/>
            <w:gridSpan w:val="5"/>
            <w:noWrap w:val="0"/>
            <w:vAlign w:val="center"/>
          </w:tcPr>
          <w:p w14:paraId="132C9678">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四</w:t>
            </w:r>
            <w:r>
              <w:rPr>
                <w:rFonts w:hint="eastAsia" w:ascii="Times New Roman" w:hAnsi="Times New Roman" w:eastAsia="宋体" w:cs="Times New Roman"/>
                <w:color w:val="000000" w:themeColor="text1"/>
                <w:sz w:val="21"/>
                <w:szCs w:val="21"/>
                <w14:textFill>
                  <w14:solidFill>
                    <w14:schemeClr w14:val="tx1"/>
                  </w14:solidFill>
                </w14:textFill>
              </w:rPr>
              <w:t>、光伏支架</w:t>
            </w:r>
          </w:p>
        </w:tc>
      </w:tr>
      <w:tr w14:paraId="2389F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94" w:type="pct"/>
            <w:noWrap w:val="0"/>
            <w:vAlign w:val="center"/>
          </w:tcPr>
          <w:p w14:paraId="4D623800">
            <w:pPr>
              <w:keepNext w:val="0"/>
              <w:keepLines w:val="0"/>
              <w:pageBreakBefore w:val="0"/>
              <w:widowControl w:val="0"/>
              <w:numPr>
                <w:ilvl w:val="0"/>
                <w:numId w:val="4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0DBD692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光伏支架应结合工程实际选用材料、设计结构方案和构造措施，保证支架结构在运输、安装和使用过程中满足强度、稳定性和刚度要求，并符合抗震、抗风和防腐等要求。</w:t>
            </w:r>
          </w:p>
        </w:tc>
        <w:tc>
          <w:tcPr>
            <w:tcW w:w="1087" w:type="pct"/>
            <w:noWrap w:val="0"/>
            <w:vAlign w:val="center"/>
          </w:tcPr>
          <w:p w14:paraId="4B316267">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）第6.8.1条</w:t>
            </w:r>
          </w:p>
        </w:tc>
        <w:tc>
          <w:tcPr>
            <w:tcW w:w="1570" w:type="pct"/>
            <w:noWrap w:val="0"/>
            <w:vAlign w:val="center"/>
          </w:tcPr>
          <w:p w14:paraId="5F58E2AD">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电站的光伏支架经过综合选比，选用钢结构支架。</w:t>
            </w:r>
          </w:p>
        </w:tc>
        <w:tc>
          <w:tcPr>
            <w:tcW w:w="416" w:type="pct"/>
            <w:noWrap w:val="0"/>
            <w:vAlign w:val="center"/>
          </w:tcPr>
          <w:p w14:paraId="7F8D3C7F">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5ED0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294" w:type="pct"/>
            <w:noWrap w:val="0"/>
            <w:vAlign w:val="center"/>
          </w:tcPr>
          <w:p w14:paraId="39DA043A">
            <w:pPr>
              <w:keepNext w:val="0"/>
              <w:keepLines w:val="0"/>
              <w:pageBreakBefore w:val="0"/>
              <w:widowControl w:val="0"/>
              <w:numPr>
                <w:ilvl w:val="0"/>
                <w:numId w:val="4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2925F17E">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光伏支架材料宜采用钢材，材</w:t>
            </w:r>
          </w:p>
          <w:p w14:paraId="4D0030A4">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质的选用和支架设计应符合现行国家标准《钢结构设计规范》GB50017的规定。</w:t>
            </w:r>
          </w:p>
        </w:tc>
        <w:tc>
          <w:tcPr>
            <w:tcW w:w="1087" w:type="pct"/>
            <w:noWrap w:val="0"/>
            <w:vAlign w:val="center"/>
          </w:tcPr>
          <w:p w14:paraId="18729657">
            <w:pPr>
              <w:pStyle w:val="23"/>
              <w:keepNext w:val="0"/>
              <w:keepLines w:val="0"/>
              <w:pageBreakBefore w:val="0"/>
              <w:widowControl w:val="0"/>
              <w:kinsoku/>
              <w:bidi w:val="0"/>
              <w:spacing w:line="240" w:lineRule="exact"/>
              <w:ind w:firstLine="0" w:firstLineChars="0"/>
              <w:rPr>
                <w:rFonts w:hint="eastAsia"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）第6.8.2条</w:t>
            </w:r>
          </w:p>
        </w:tc>
        <w:tc>
          <w:tcPr>
            <w:tcW w:w="1570" w:type="pct"/>
            <w:noWrap w:val="0"/>
            <w:vAlign w:val="center"/>
          </w:tcPr>
          <w:p w14:paraId="4C99CCF1">
            <w:pPr>
              <w:pStyle w:val="23"/>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光伏支架选用的是钢材，材质符合规定。</w:t>
            </w:r>
          </w:p>
        </w:tc>
        <w:tc>
          <w:tcPr>
            <w:tcW w:w="416" w:type="pct"/>
            <w:noWrap w:val="0"/>
            <w:vAlign w:val="center"/>
          </w:tcPr>
          <w:p w14:paraId="057BDB90">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7EBF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jc w:val="center"/>
        </w:trPr>
        <w:tc>
          <w:tcPr>
            <w:tcW w:w="294" w:type="pct"/>
            <w:noWrap w:val="0"/>
            <w:vAlign w:val="center"/>
          </w:tcPr>
          <w:p w14:paraId="63054A88">
            <w:pPr>
              <w:keepNext w:val="0"/>
              <w:keepLines w:val="0"/>
              <w:pageBreakBefore w:val="0"/>
              <w:widowControl w:val="0"/>
              <w:numPr>
                <w:ilvl w:val="0"/>
                <w:numId w:val="4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672C4D88">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支架应按承载能力极限状态计算结构和构件的强度、稳定性以及连接强度，按正常使用极限状态计算结构和构件的变形。</w:t>
            </w:r>
          </w:p>
        </w:tc>
        <w:tc>
          <w:tcPr>
            <w:tcW w:w="1087" w:type="pct"/>
            <w:noWrap w:val="0"/>
            <w:vAlign w:val="center"/>
          </w:tcPr>
          <w:p w14:paraId="10C3DD30">
            <w:pPr>
              <w:pStyle w:val="23"/>
              <w:keepNext w:val="0"/>
              <w:keepLines w:val="0"/>
              <w:pageBreakBefore w:val="0"/>
              <w:widowControl w:val="0"/>
              <w:kinsoku/>
              <w:bidi w:val="0"/>
              <w:spacing w:line="240" w:lineRule="exact"/>
              <w:ind w:firstLine="0" w:firstLineChars="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）第6.8.3条</w:t>
            </w:r>
          </w:p>
        </w:tc>
        <w:tc>
          <w:tcPr>
            <w:tcW w:w="1570" w:type="pct"/>
            <w:noWrap w:val="0"/>
            <w:vAlign w:val="center"/>
          </w:tcPr>
          <w:p w14:paraId="3D91DD12">
            <w:pPr>
              <w:pStyle w:val="23"/>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支架的强度、稳定性等按使用年限的承载力进行计算，并经过了试运行考验。</w:t>
            </w:r>
          </w:p>
        </w:tc>
        <w:tc>
          <w:tcPr>
            <w:tcW w:w="416" w:type="pct"/>
            <w:noWrap w:val="0"/>
            <w:vAlign w:val="center"/>
          </w:tcPr>
          <w:p w14:paraId="79EF013D">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4387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jc w:val="center"/>
        </w:trPr>
        <w:tc>
          <w:tcPr>
            <w:tcW w:w="294" w:type="pct"/>
            <w:noWrap w:val="0"/>
            <w:vAlign w:val="center"/>
          </w:tcPr>
          <w:p w14:paraId="73635FA5">
            <w:pPr>
              <w:keepNext w:val="0"/>
              <w:keepLines w:val="0"/>
              <w:pageBreakBefore w:val="0"/>
              <w:widowControl w:val="0"/>
              <w:numPr>
                <w:ilvl w:val="0"/>
                <w:numId w:val="43"/>
              </w:numPr>
              <w:kinsoku/>
              <w:wordWrap/>
              <w:overflowPunct/>
              <w:topLinePunct w:val="0"/>
              <w:autoSpaceDE/>
              <w:autoSpaceDN/>
              <w:bidi w:val="0"/>
              <w:adjustRightInd/>
              <w:snapToGrid w:val="0"/>
              <w:spacing w:afterAutospacing="0" w:line="240" w:lineRule="auto"/>
              <w:ind w:left="0" w:leftChars="0" w:right="0" w:rightChars="0" w:firstLine="0" w:firstLineChars="0"/>
              <w:jc w:val="center"/>
              <w:textAlignment w:val="auto"/>
              <w:rPr>
                <w:rFonts w:hint="eastAsia" w:ascii="Times New Roman" w:hAnsi="Times New Roman" w:eastAsia="宋体" w:cs="宋体"/>
                <w:color w:val="000000" w:themeColor="text1"/>
                <w:kern w:val="0"/>
                <w:sz w:val="21"/>
                <w:szCs w:val="21"/>
                <w:lang w:val="en-US" w:eastAsia="zh-CN"/>
                <w14:textFill>
                  <w14:solidFill>
                    <w14:schemeClr w14:val="tx1"/>
                  </w14:solidFill>
                </w14:textFill>
              </w:rPr>
            </w:pPr>
          </w:p>
        </w:tc>
        <w:tc>
          <w:tcPr>
            <w:tcW w:w="1631" w:type="pct"/>
            <w:noWrap w:val="0"/>
            <w:vAlign w:val="center"/>
          </w:tcPr>
          <w:p w14:paraId="653A634F">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支架的防腐应符合下列要求：1、支架在构造上应便于检查和</w:t>
            </w:r>
          </w:p>
          <w:p w14:paraId="1C02BD5C">
            <w:pPr>
              <w:keepNext w:val="0"/>
              <w:keepLines w:val="0"/>
              <w:pageBreakBefore w:val="0"/>
              <w:widowControl w:val="0"/>
              <w:kinsoku/>
              <w:bidi w:val="0"/>
              <w:spacing w:line="240" w:lineRule="exact"/>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清刷。2、钢支架防腐宜采用热镀浸锌。3、当铝合金材料与除不锈钢以外的其他金属材料或与酸、碱性的非金属材料接触、紧固时，宜采取隔离措施。</w:t>
            </w:r>
          </w:p>
        </w:tc>
        <w:tc>
          <w:tcPr>
            <w:tcW w:w="1087" w:type="pct"/>
            <w:noWrap w:val="0"/>
            <w:vAlign w:val="center"/>
          </w:tcPr>
          <w:p w14:paraId="2FE026E9">
            <w:pPr>
              <w:pStyle w:val="23"/>
              <w:keepNext w:val="0"/>
              <w:keepLines w:val="0"/>
              <w:pageBreakBefore w:val="0"/>
              <w:widowControl w:val="0"/>
              <w:kinsoku/>
              <w:bidi w:val="0"/>
              <w:spacing w:line="240" w:lineRule="exact"/>
              <w:ind w:firstLine="0" w:firstLineChars="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《光伏发电站设计规范</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GB50797-2012</w:t>
            </w:r>
            <w:r>
              <w:rPr>
                <w:rFonts w:hint="eastAsia" w:ascii="Times New Roman" w:hAnsi="Times New Roman" w:eastAsia="宋体" w:cs="Times New Roman"/>
                <w:color w:val="000000" w:themeColor="text1"/>
                <w14:textFill>
                  <w14:solidFill>
                    <w14:schemeClr w14:val="tx1"/>
                  </w14:solidFill>
                </w14:textFill>
              </w:rPr>
              <w:t>）第6.8.10条</w:t>
            </w:r>
          </w:p>
        </w:tc>
        <w:tc>
          <w:tcPr>
            <w:tcW w:w="1570" w:type="pct"/>
            <w:noWrap w:val="0"/>
            <w:vAlign w:val="center"/>
          </w:tcPr>
          <w:p w14:paraId="1C671796">
            <w:pPr>
              <w:pStyle w:val="23"/>
              <w:keepNext w:val="0"/>
              <w:keepLines w:val="0"/>
              <w:pageBreakBefore w:val="0"/>
              <w:widowControl w:val="0"/>
              <w:kinsoku/>
              <w:bidi w:val="0"/>
              <w:spacing w:line="240" w:lineRule="exact"/>
              <w:ind w:firstLine="0" w:firstLineChars="0"/>
              <w:jc w:val="left"/>
              <w:rPr>
                <w:rFonts w:hint="eastAsia"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支架的防腐采用热镀浸锌，钢构架便于检查，因为固定式倾角，清刷起来稍有不便。</w:t>
            </w:r>
          </w:p>
        </w:tc>
        <w:tc>
          <w:tcPr>
            <w:tcW w:w="416" w:type="pct"/>
            <w:noWrap w:val="0"/>
            <w:vAlign w:val="center"/>
          </w:tcPr>
          <w:p w14:paraId="1177C7CD">
            <w:pPr>
              <w:keepNext w:val="0"/>
              <w:keepLines w:val="0"/>
              <w:pageBreakBefore w:val="0"/>
              <w:widowControl w:val="0"/>
              <w:kinsoku/>
              <w:bidi w:val="0"/>
              <w:spacing w:line="240" w:lineRule="exact"/>
              <w:ind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bookmarkEnd w:id="320"/>
      <w:bookmarkEnd w:id="321"/>
      <w:bookmarkEnd w:id="322"/>
      <w:bookmarkEnd w:id="323"/>
    </w:tbl>
    <w:p w14:paraId="708AA741">
      <w:pPr>
        <w:pStyle w:val="14"/>
        <w:keepNext w:val="0"/>
        <w:keepLines w:val="0"/>
        <w:pageBreakBefore w:val="0"/>
        <w:widowControl w:val="0"/>
        <w:kinsoku/>
        <w:wordWrap/>
        <w:overflowPunct/>
        <w:topLinePunct w:val="0"/>
        <w:autoSpaceDE/>
        <w:autoSpaceDN/>
        <w:bidi w:val="0"/>
        <w:adjustRightInd/>
        <w:snapToGrid/>
        <w:spacing w:after="0" w:line="500" w:lineRule="exact"/>
        <w:ind w:left="130" w:right="102" w:firstLine="559"/>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pacing w:val="-5"/>
          <w14:textFill>
            <w14:solidFill>
              <w14:schemeClr w14:val="tx1"/>
            </w14:solidFill>
          </w14:textFill>
        </w:rPr>
        <w:t>评价分析：针对</w:t>
      </w:r>
      <w:r>
        <w:rPr>
          <w:rFonts w:hint="eastAsia" w:ascii="宋体" w:hAnsi="宋体" w:eastAsia="宋体" w:cs="宋体"/>
          <w:color w:val="000000" w:themeColor="text1"/>
          <w:spacing w:val="-5"/>
          <w:lang w:val="en-US" w:eastAsia="zh-CN"/>
          <w14:textFill>
            <w14:solidFill>
              <w14:schemeClr w14:val="tx1"/>
            </w14:solidFill>
          </w14:textFill>
        </w:rPr>
        <w:t>光伏发电系统</w:t>
      </w:r>
      <w:r>
        <w:rPr>
          <w:rFonts w:hint="eastAsia" w:ascii="宋体" w:hAnsi="宋体" w:eastAsia="宋体" w:cs="宋体"/>
          <w:color w:val="000000" w:themeColor="text1"/>
          <w:spacing w:val="-5"/>
          <w14:textFill>
            <w14:solidFill>
              <w14:schemeClr w14:val="tx1"/>
            </w14:solidFill>
          </w14:textFill>
        </w:rPr>
        <w:t>安全检查表内的</w:t>
      </w:r>
      <w:r>
        <w:rPr>
          <w:rFonts w:hint="eastAsia" w:ascii="宋体" w:hAnsi="宋体" w:eastAsia="宋体" w:cs="宋体"/>
          <w:color w:val="000000" w:themeColor="text1"/>
          <w:spacing w:val="-61"/>
          <w14:textFill>
            <w14:solidFill>
              <w14:schemeClr w14:val="tx1"/>
            </w14:solidFill>
          </w14:textFill>
        </w:rPr>
        <w:t xml:space="preserve"> </w:t>
      </w:r>
      <w:r>
        <w:rPr>
          <w:rFonts w:hint="eastAsia" w:ascii="宋体" w:hAnsi="宋体" w:cs="宋体"/>
          <w:color w:val="000000" w:themeColor="text1"/>
          <w:spacing w:val="-5"/>
          <w:lang w:val="en-US" w:eastAsia="zh-CN"/>
          <w14:textFill>
            <w14:solidFill>
              <w14:schemeClr w14:val="tx1"/>
            </w14:solidFill>
          </w14:textFill>
        </w:rPr>
        <w:t>17</w:t>
      </w:r>
      <w:r>
        <w:rPr>
          <w:rFonts w:hint="eastAsia" w:ascii="宋体" w:hAnsi="宋体" w:eastAsia="宋体" w:cs="宋体"/>
          <w:color w:val="000000" w:themeColor="text1"/>
          <w:spacing w:val="-53"/>
          <w14:textFill>
            <w14:solidFill>
              <w14:schemeClr w14:val="tx1"/>
            </w14:solidFill>
          </w14:textFill>
        </w:rPr>
        <w:t xml:space="preserve"> </w:t>
      </w:r>
      <w:r>
        <w:rPr>
          <w:rFonts w:hint="eastAsia" w:ascii="宋体" w:hAnsi="宋体" w:eastAsia="宋体" w:cs="宋体"/>
          <w:color w:val="000000" w:themeColor="text1"/>
          <w:spacing w:val="-5"/>
          <w14:textFill>
            <w14:solidFill>
              <w14:schemeClr w14:val="tx1"/>
            </w14:solidFill>
          </w14:textFill>
        </w:rPr>
        <w:t>项内容，其中</w:t>
      </w:r>
      <w:r>
        <w:rPr>
          <w:rFonts w:hint="eastAsia" w:ascii="宋体" w:hAnsi="宋体" w:cs="宋体"/>
          <w:color w:val="000000" w:themeColor="text1"/>
          <w:spacing w:val="-57"/>
          <w:lang w:val="en-US" w:eastAsia="zh-CN"/>
          <w14:textFill>
            <w14:solidFill>
              <w14:schemeClr w14:val="tx1"/>
            </w14:solidFill>
          </w14:textFill>
        </w:rPr>
        <w:t>17</w:t>
      </w:r>
      <w:r>
        <w:rPr>
          <w:rFonts w:hint="eastAsia" w:ascii="宋体" w:hAnsi="宋体" w:eastAsia="宋体" w:cs="宋体"/>
          <w:color w:val="000000" w:themeColor="text1"/>
          <w:spacing w:val="-5"/>
          <w14:textFill>
            <w14:solidFill>
              <w14:schemeClr w14:val="tx1"/>
            </w14:solidFill>
          </w14:textFill>
        </w:rPr>
        <w:t>项</w:t>
      </w:r>
      <w:r>
        <w:rPr>
          <w:rFonts w:hint="eastAsia" w:ascii="宋体" w:hAnsi="宋体" w:eastAsia="宋体" w:cs="宋体"/>
          <w:color w:val="000000" w:themeColor="text1"/>
          <w:spacing w:val="-6"/>
          <w14:textFill>
            <w14:solidFill>
              <w14:schemeClr w14:val="tx1"/>
            </w14:solidFill>
          </w14:textFill>
        </w:rPr>
        <w:t>合格，</w:t>
      </w:r>
      <w:r>
        <w:rPr>
          <w:rFonts w:hint="eastAsia" w:ascii="宋体" w:hAnsi="宋体" w:eastAsia="宋体" w:cs="宋体"/>
          <w:color w:val="000000" w:themeColor="text1"/>
          <w:spacing w:val="-6"/>
          <w:lang w:val="en-US" w:eastAsia="zh-CN"/>
          <w14:textFill>
            <w14:solidFill>
              <w14:schemeClr w14:val="tx1"/>
            </w14:solidFill>
          </w14:textFill>
        </w:rPr>
        <w:t>0</w:t>
      </w:r>
      <w:r>
        <w:rPr>
          <w:rFonts w:hint="eastAsia" w:ascii="宋体" w:hAnsi="宋体" w:eastAsia="宋体" w:cs="宋体"/>
          <w:color w:val="000000" w:themeColor="text1"/>
          <w:spacing w:val="-6"/>
          <w14:textFill>
            <w14:solidFill>
              <w14:schemeClr w14:val="tx1"/>
            </w14:solidFill>
          </w14:textFill>
        </w:rPr>
        <w:t>项不</w:t>
      </w:r>
      <w:r>
        <w:rPr>
          <w:rFonts w:hint="eastAsia" w:ascii="宋体" w:hAnsi="宋体" w:eastAsia="宋体" w:cs="宋体"/>
          <w:color w:val="000000" w:themeColor="text1"/>
          <w:spacing w:val="-4"/>
          <w14:textFill>
            <w14:solidFill>
              <w14:schemeClr w14:val="tx1"/>
            </w14:solidFill>
          </w14:textFill>
        </w:rPr>
        <w:t>合格。</w:t>
      </w:r>
    </w:p>
    <w:p w14:paraId="558836A4">
      <w:pPr>
        <w:pStyle w:val="4"/>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单元小结</w:t>
      </w:r>
    </w:p>
    <w:p w14:paraId="2D12FC60">
      <w:pPr>
        <w:keepNext w:val="0"/>
        <w:keepLines w:val="0"/>
        <w:pageBreakBefore w:val="0"/>
        <w:widowControl w:val="0"/>
        <w:kinsoku/>
        <w:bidi w:val="0"/>
        <w:rPr>
          <w:rFonts w:hint="eastAsia" w:ascii="宋体" w:hAnsi="宋体" w:eastAsia="宋体" w:cs="宋体"/>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t>本光伏电站发电系统中光伏组件、光伏阵列、逆变器等具有相应的出厂合格证、安装说明、运行维护说明等技术文件。据相关技术资料及现场检测，其质量符合有关规范及技术标准要求，光伏组件的组装、安装按</w:t>
      </w:r>
      <w:r>
        <w:rPr>
          <w:rFonts w:hint="eastAsia" w:ascii="宋体" w:hAnsi="宋体" w:eastAsia="宋体" w:cs="宋体"/>
          <w:color w:val="000000" w:themeColor="text1"/>
          <w:sz w:val="28"/>
          <w:szCs w:val="28"/>
          <w14:textFill>
            <w14:solidFill>
              <w14:schemeClr w14:val="tx1"/>
            </w14:solidFill>
          </w14:textFill>
        </w:rPr>
        <w:t>设计要求进行；光伏支架采用固定式，倾角2</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eastAsia="宋体" w:cs="宋体"/>
          <w:color w:val="000000" w:themeColor="text1"/>
          <w:sz w:val="28"/>
          <w:szCs w:val="28"/>
          <w14:textFill>
            <w14:solidFill>
              <w14:schemeClr w14:val="tx1"/>
            </w14:solidFill>
          </w14:textFill>
        </w:rPr>
        <w:t>°；逆变器等设备的调试和试运行按厂家及规范要求进行，试运行至今基本正常。</w:t>
      </w:r>
    </w:p>
    <w:p w14:paraId="5869070A">
      <w:pPr>
        <w:keepNext w:val="0"/>
        <w:keepLines w:val="0"/>
        <w:pageBreakBefore w:val="0"/>
        <w:widowControl w:val="0"/>
        <w:kinsoku/>
        <w:bidi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该电站光伏发电系统充分考虑了太阳辐照度、气候特征、场地面积及运行等综合因素，采用国产575/580Wp的多晶硅光伏组件，光伏发电系统满足《光伏发电站设计规范》（GB50797-2012）要求。</w:t>
      </w:r>
    </w:p>
    <w:p w14:paraId="5C0CA6B7">
      <w:pPr>
        <w:pStyle w:val="3"/>
        <w:bidi w:val="0"/>
        <w:rPr>
          <w:rFonts w:hint="default"/>
          <w:color w:val="000000" w:themeColor="text1"/>
          <w:lang w:val="en-US" w:eastAsia="zh-CN"/>
          <w14:textFill>
            <w14:solidFill>
              <w14:schemeClr w14:val="tx1"/>
            </w14:solidFill>
          </w14:textFill>
        </w:rPr>
      </w:pPr>
      <w:bookmarkStart w:id="324" w:name="_Toc26829"/>
      <w:bookmarkStart w:id="325" w:name="_Toc5390"/>
      <w:r>
        <w:rPr>
          <w:rFonts w:hint="default"/>
          <w:color w:val="000000" w:themeColor="text1"/>
          <w:lang w:val="en-US" w:eastAsia="zh-CN"/>
          <w14:textFill>
            <w14:solidFill>
              <w14:schemeClr w14:val="tx1"/>
            </w14:solidFill>
          </w14:textFill>
        </w:rPr>
        <w:t>安全设备设施验收单元</w:t>
      </w:r>
      <w:bookmarkEnd w:id="324"/>
      <w:bookmarkEnd w:id="325"/>
    </w:p>
    <w:p w14:paraId="3CC2FD93">
      <w:pPr>
        <w:keepNext w:val="0"/>
        <w:keepLines w:val="0"/>
        <w:pageBreakBefore w:val="0"/>
        <w:widowControl w:val="0"/>
        <w:kinsoku/>
        <w:bidi w:val="0"/>
        <w:rPr>
          <w:rFonts w:hint="default" w:ascii="Times New Roman" w:hAnsi="宋体" w:eastAsia="宋体" w:cs="Times New Roman"/>
          <w:color w:val="000000" w:themeColor="text1"/>
          <w:sz w:val="28"/>
          <w:szCs w:val="28"/>
          <w:lang w:val="en-US" w:eastAsia="zh-CN"/>
          <w14:textFill>
            <w14:solidFill>
              <w14:schemeClr w14:val="tx1"/>
            </w14:solidFill>
          </w14:textFill>
        </w:rPr>
      </w:pPr>
      <w:r>
        <w:rPr>
          <w:rFonts w:hint="default" w:ascii="Times New Roman" w:hAnsi="宋体" w:eastAsia="宋体" w:cs="Times New Roman"/>
          <w:color w:val="000000" w:themeColor="text1"/>
          <w:sz w:val="28"/>
          <w:szCs w:val="28"/>
          <w:lang w:val="en-US" w:eastAsia="zh-CN"/>
          <w14:textFill>
            <w14:solidFill>
              <w14:schemeClr w14:val="tx1"/>
            </w14:solidFill>
          </w14:textFill>
        </w:rPr>
        <w:t>安全设备设施验收单元包括了防火及防爆设施、防雷接地装置、安全工器具及个体防护三个子单元。</w:t>
      </w:r>
    </w:p>
    <w:p w14:paraId="66D4F455">
      <w:pPr>
        <w:pStyle w:val="4"/>
        <w:bidi w:val="0"/>
        <w:rPr>
          <w:rFonts w:hint="default"/>
          <w:color w:val="000000" w:themeColor="text1"/>
          <w:lang w:val="en-US" w:eastAsia="zh-CN"/>
          <w14:textFill>
            <w14:solidFill>
              <w14:schemeClr w14:val="tx1"/>
            </w14:solidFill>
          </w14:textFill>
        </w:rPr>
      </w:pPr>
      <w:bookmarkStart w:id="326" w:name="_Toc32627"/>
      <w:r>
        <w:rPr>
          <w:rFonts w:hint="default"/>
          <w:color w:val="000000" w:themeColor="text1"/>
          <w:lang w:val="en-US" w:eastAsia="zh-CN"/>
          <w14:textFill>
            <w14:solidFill>
              <w14:schemeClr w14:val="tx1"/>
            </w14:solidFill>
          </w14:textFill>
        </w:rPr>
        <w:t>防火及防爆设施子单元</w:t>
      </w:r>
      <w:bookmarkEnd w:id="326"/>
    </w:p>
    <w:p w14:paraId="26621F98">
      <w:pPr>
        <w:pStyle w:val="5"/>
        <w:bidi w:val="0"/>
        <w:rPr>
          <w:rFonts w:ascii="Times New Roman" w:hAnsi="Times New Roman" w:eastAsia="宋体"/>
          <w:b/>
          <w:bCs/>
          <w:snapToGrid/>
          <w:color w:val="000000" w:themeColor="text1"/>
          <w14:textFill>
            <w14:solidFill>
              <w14:schemeClr w14:val="tx1"/>
            </w14:solidFill>
          </w14:textFill>
        </w:rPr>
      </w:pPr>
      <w:r>
        <w:rPr>
          <w:rFonts w:hint="eastAsia" w:eastAsia="宋体"/>
          <w:b/>
          <w:color w:val="000000" w:themeColor="text1"/>
          <w14:textFill>
            <w14:solidFill>
              <w14:schemeClr w14:val="tx1"/>
            </w14:solidFill>
          </w14:textFill>
        </w:rPr>
        <w:tab/>
      </w:r>
      <w:r>
        <w:rPr>
          <w:rFonts w:hint="eastAsia" w:eastAsia="宋体"/>
          <w:b/>
          <w:color w:val="000000" w:themeColor="text1"/>
          <w14:textFill>
            <w14:solidFill>
              <w14:schemeClr w14:val="tx1"/>
            </w14:solidFill>
          </w14:textFill>
        </w:rPr>
        <w:t>防火及防爆设施</w:t>
      </w:r>
      <w:r>
        <w:rPr>
          <w:rFonts w:eastAsia="宋体"/>
          <w:b/>
          <w:color w:val="000000" w:themeColor="text1"/>
          <w14:textFill>
            <w14:solidFill>
              <w14:schemeClr w14:val="tx1"/>
            </w14:solidFill>
          </w14:textFill>
        </w:rPr>
        <w:t>子单元安全检查表</w:t>
      </w:r>
    </w:p>
    <w:p w14:paraId="5D0148D5">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电站的防火防爆设施有灭火器、火灾报警系统、设备防雷接地等。</w:t>
      </w:r>
    </w:p>
    <w:p w14:paraId="60286CA8">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根据《中华人民共和国消防法</w:t>
      </w:r>
      <w:r>
        <w:rPr>
          <w:rFonts w:hint="eastAsia"/>
          <w:color w:val="000000" w:themeColor="text1"/>
          <w:lang w:eastAsia="zh-CN"/>
          <w14:textFill>
            <w14:solidFill>
              <w14:schemeClr w14:val="tx1"/>
            </w14:solidFill>
          </w14:textFill>
        </w:rPr>
        <w:t>》《35kV～110kV变电站设计规范</w:t>
      </w:r>
      <w:r>
        <w:rPr>
          <w:rFonts w:hint="eastAsia"/>
          <w:color w:val="000000" w:themeColor="text1"/>
          <w14:textFill>
            <w14:solidFill>
              <w14:schemeClr w14:val="tx1"/>
            </w14:solidFill>
          </w14:textFill>
        </w:rPr>
        <w:t>》（GB50059-2011）、《3~110kV高压配电装置设计规范》（GB50060-2008）及《</w:t>
      </w:r>
      <w:r>
        <w:rPr>
          <w:rFonts w:hint="eastAsia"/>
          <w:color w:val="000000" w:themeColor="text1"/>
          <w:lang w:eastAsia="zh-CN"/>
          <w14:textFill>
            <w14:solidFill>
              <w14:schemeClr w14:val="tx1"/>
            </w14:solidFill>
          </w14:textFill>
        </w:rPr>
        <w:t>电力工程电缆设计标准</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GB 50217-2018</w:t>
      </w:r>
      <w:r>
        <w:rPr>
          <w:rFonts w:hint="eastAsia"/>
          <w:color w:val="000000" w:themeColor="text1"/>
          <w14:textFill>
            <w14:solidFill>
              <w14:schemeClr w14:val="tx1"/>
            </w14:solidFill>
          </w14:textFill>
        </w:rPr>
        <w:t>）等规范编制检查表，对电场工程防火、防爆措施进行对照检查。检查表见表5-10。</w:t>
      </w:r>
    </w:p>
    <w:p w14:paraId="3ADFD959">
      <w:pPr>
        <w:pStyle w:val="12"/>
        <w:keepNext w:val="0"/>
        <w:keepLines w:val="0"/>
        <w:pageBreakBefore w:val="0"/>
        <w:widowControl w:val="0"/>
        <w:numPr>
          <w:ilvl w:val="0"/>
          <w:numId w:val="0"/>
        </w:numPr>
        <w:kinsoku/>
        <w:bidi w:val="0"/>
        <w:spacing w:line="360" w:lineRule="auto"/>
        <w:ind w:left="0" w:leftChars="0" w:firstLine="482" w:firstLineChars="200"/>
        <w:jc w:val="center"/>
        <w:rPr>
          <w:rFonts w:hint="eastAsia"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rFonts w:hint="eastAsia" w:ascii="宋体" w:hAnsi="宋体"/>
          <w:color w:val="000000" w:themeColor="text1"/>
          <w:sz w:val="24"/>
          <w:szCs w:val="24"/>
          <w14:textFill>
            <w14:solidFill>
              <w14:schemeClr w14:val="tx1"/>
            </w14:solidFill>
          </w14:textFill>
        </w:rPr>
        <w:t>防火、防爆措施安全检查表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627"/>
        <w:gridCol w:w="3754"/>
        <w:gridCol w:w="1984"/>
        <w:gridCol w:w="1977"/>
        <w:gridCol w:w="771"/>
      </w:tblGrid>
      <w:tr w14:paraId="6C17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344" w:type="pct"/>
            <w:noWrap w:val="0"/>
            <w:vAlign w:val="center"/>
          </w:tcPr>
          <w:p w14:paraId="4C04C96E">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2059" w:type="pct"/>
            <w:noWrap w:val="0"/>
            <w:vAlign w:val="center"/>
          </w:tcPr>
          <w:p w14:paraId="62311AAD">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检查内容</w:t>
            </w:r>
          </w:p>
        </w:tc>
        <w:tc>
          <w:tcPr>
            <w:tcW w:w="1088" w:type="pct"/>
            <w:noWrap w:val="0"/>
            <w:vAlign w:val="center"/>
          </w:tcPr>
          <w:p w14:paraId="39872146">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检查依据</w:t>
            </w:r>
          </w:p>
        </w:tc>
        <w:tc>
          <w:tcPr>
            <w:tcW w:w="1084" w:type="pct"/>
            <w:noWrap w:val="0"/>
            <w:vAlign w:val="center"/>
          </w:tcPr>
          <w:p w14:paraId="39584BAE">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检查情况</w:t>
            </w:r>
          </w:p>
        </w:tc>
        <w:tc>
          <w:tcPr>
            <w:tcW w:w="423" w:type="pct"/>
            <w:noWrap w:val="0"/>
            <w:vAlign w:val="center"/>
          </w:tcPr>
          <w:p w14:paraId="4B915EDA">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检查结果</w:t>
            </w:r>
          </w:p>
        </w:tc>
      </w:tr>
      <w:tr w14:paraId="4569A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44" w:type="pct"/>
            <w:noWrap w:val="0"/>
            <w:vAlign w:val="center"/>
          </w:tcPr>
          <w:p w14:paraId="411B62A6">
            <w:pPr>
              <w:pStyle w:val="51"/>
              <w:keepNext w:val="0"/>
              <w:keepLines w:val="0"/>
              <w:pageBreakBefore w:val="0"/>
              <w:widowControl w:val="0"/>
              <w:numPr>
                <w:ilvl w:val="0"/>
                <w:numId w:val="44"/>
              </w:numPr>
              <w:kinsoku/>
              <w:bidi w:val="0"/>
              <w:ind w:left="425" w:leftChars="0" w:hanging="425" w:firstLineChars="0"/>
              <w:rPr>
                <w:color w:val="000000" w:themeColor="text1"/>
                <w14:textFill>
                  <w14:solidFill>
                    <w14:schemeClr w14:val="tx1"/>
                  </w14:solidFill>
                </w14:textFill>
              </w:rPr>
            </w:pPr>
          </w:p>
        </w:tc>
        <w:tc>
          <w:tcPr>
            <w:tcW w:w="2059" w:type="pct"/>
            <w:noWrap w:val="0"/>
            <w:vAlign w:val="center"/>
          </w:tcPr>
          <w:p w14:paraId="11A4C24B">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按照国家工程建设消防技术标准需要进行消防设计的建设工程竣工，依照下列规定进行消防验收、备案：</w:t>
            </w:r>
          </w:p>
          <w:p w14:paraId="0E26E3B3">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（一）本法第十一条规定的建设工程，</w:t>
            </w:r>
          </w:p>
          <w:p w14:paraId="452FF9A0">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建设单位应当向公安机关消防机构申请消防验收；（二）其他建设工程，建设单位在验收后应当报公安机关消防机构备案，公安机关消防机构应当进行抽查。依法应当进行消防验收的建设工程，未经消防验收或者消防验收不合格的，禁止投入使用；其他建设工程经依法抽查不合格的，应当停止使用。</w:t>
            </w:r>
          </w:p>
        </w:tc>
        <w:tc>
          <w:tcPr>
            <w:tcW w:w="1088" w:type="pct"/>
            <w:noWrap w:val="0"/>
            <w:vAlign w:val="center"/>
          </w:tcPr>
          <w:p w14:paraId="513C727A">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w:t>
            </w:r>
          </w:p>
          <w:p w14:paraId="161A6CF6">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消防法》（中华</w:t>
            </w:r>
            <w:r>
              <w:rPr>
                <w:rFonts w:hint="eastAsia"/>
                <w:color w:val="000000" w:themeColor="text1"/>
                <w:lang w:eastAsia="zh-CN"/>
                <w14:textFill>
                  <w14:solidFill>
                    <w14:schemeClr w14:val="tx1"/>
                  </w14:solidFill>
                </w14:textFill>
              </w:rPr>
              <w:t>人</w:t>
            </w:r>
            <w:r>
              <w:rPr>
                <w:rFonts w:hint="eastAsia"/>
                <w:color w:val="000000" w:themeColor="text1"/>
                <w14:textFill>
                  <w14:solidFill>
                    <w14:schemeClr w14:val="tx1"/>
                  </w14:solidFill>
                </w14:textFill>
              </w:rPr>
              <w:t>民共和国主席令第6号）第13条</w:t>
            </w:r>
          </w:p>
        </w:tc>
        <w:tc>
          <w:tcPr>
            <w:tcW w:w="1084" w:type="pct"/>
            <w:noWrap w:val="0"/>
            <w:vAlign w:val="center"/>
          </w:tcPr>
          <w:p w14:paraId="09DA6F56">
            <w:pPr>
              <w:keepNext w:val="0"/>
              <w:keepLines w:val="0"/>
              <w:pageBreakBefore w:val="0"/>
              <w:widowControl w:val="0"/>
              <w:numPr>
                <w:ilvl w:val="0"/>
                <w:numId w:val="0"/>
              </w:numPr>
              <w:kinsoku/>
              <w:wordWrap/>
              <w:overflowPunct/>
              <w:topLinePunct/>
              <w:autoSpaceDE/>
              <w:autoSpaceDN/>
              <w:bidi w:val="0"/>
              <w:adjustRightInd/>
              <w:snapToGrid/>
              <w:spacing w:line="400" w:lineRule="exact"/>
              <w:jc w:val="left"/>
              <w:textAlignment w:val="auto"/>
              <w:rPr>
                <w:rFonts w:hint="eastAsia" w:eastAsia="宋体"/>
                <w:color w:val="000000" w:themeColor="text1"/>
                <w:lang w:eastAsia="zh-CN"/>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基诺乡巴卡村洛科新寨光伏电站项目由于无房屋建筑、无升压站，按照《建设工程消防设计审查验收管理暂行规定》(建设部令58号)相关规定，无需办理消防备案。</w:t>
            </w:r>
          </w:p>
        </w:tc>
        <w:tc>
          <w:tcPr>
            <w:tcW w:w="423" w:type="pct"/>
            <w:noWrap w:val="0"/>
            <w:vAlign w:val="center"/>
          </w:tcPr>
          <w:p w14:paraId="70C5FA19">
            <w:pPr>
              <w:pStyle w:val="51"/>
              <w:keepNext w:val="0"/>
              <w:keepLines w:val="0"/>
              <w:pageBreakBefore w:val="0"/>
              <w:widowControl w:val="0"/>
              <w:kinsoku/>
              <w:bidi w:val="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r>
      <w:tr w14:paraId="666A1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2" w:hRule="atLeast"/>
          <w:jc w:val="center"/>
        </w:trPr>
        <w:tc>
          <w:tcPr>
            <w:tcW w:w="344" w:type="pct"/>
            <w:noWrap w:val="0"/>
            <w:vAlign w:val="center"/>
          </w:tcPr>
          <w:p w14:paraId="193BE71D">
            <w:pPr>
              <w:pStyle w:val="51"/>
              <w:keepNext w:val="0"/>
              <w:keepLines w:val="0"/>
              <w:pageBreakBefore w:val="0"/>
              <w:widowControl w:val="0"/>
              <w:numPr>
                <w:ilvl w:val="0"/>
                <w:numId w:val="44"/>
              </w:numPr>
              <w:kinsoku/>
              <w:bidi w:val="0"/>
              <w:ind w:left="425" w:leftChars="0" w:hanging="425" w:firstLineChars="0"/>
              <w:rPr>
                <w:color w:val="000000" w:themeColor="text1"/>
                <w14:textFill>
                  <w14:solidFill>
                    <w14:schemeClr w14:val="tx1"/>
                  </w14:solidFill>
                </w14:textFill>
              </w:rPr>
            </w:pPr>
          </w:p>
        </w:tc>
        <w:tc>
          <w:tcPr>
            <w:tcW w:w="2059" w:type="pct"/>
            <w:noWrap w:val="0"/>
            <w:vAlign w:val="center"/>
          </w:tcPr>
          <w:p w14:paraId="41E4B12F">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消防产品必须符合国家标准；没有国家标准的，必须符合行业标准。禁止生产、销售或者使用不合格的消防产品以及国家明令淘汰的消防产品。</w:t>
            </w:r>
          </w:p>
        </w:tc>
        <w:tc>
          <w:tcPr>
            <w:tcW w:w="1088" w:type="pct"/>
            <w:noWrap w:val="0"/>
            <w:vAlign w:val="center"/>
          </w:tcPr>
          <w:p w14:paraId="5FF5D838">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《中华人民共和国</w:t>
            </w:r>
          </w:p>
          <w:p w14:paraId="209D1CD2">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消防法》（中华人民共和国主席令第6号）第14条</w:t>
            </w:r>
          </w:p>
        </w:tc>
        <w:tc>
          <w:tcPr>
            <w:tcW w:w="1084" w:type="pct"/>
            <w:noWrap w:val="0"/>
            <w:vAlign w:val="center"/>
          </w:tcPr>
          <w:p w14:paraId="336649C6">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电站配置的消防产品符合国家和行业标准，未发现使用不合格及淘汰产品。</w:t>
            </w:r>
          </w:p>
        </w:tc>
        <w:tc>
          <w:tcPr>
            <w:tcW w:w="423" w:type="pct"/>
            <w:noWrap w:val="0"/>
            <w:vAlign w:val="center"/>
          </w:tcPr>
          <w:p w14:paraId="74445A32">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994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2" w:hRule="atLeast"/>
          <w:jc w:val="center"/>
        </w:trPr>
        <w:tc>
          <w:tcPr>
            <w:tcW w:w="344" w:type="pct"/>
            <w:noWrap w:val="0"/>
            <w:vAlign w:val="center"/>
          </w:tcPr>
          <w:p w14:paraId="39C67CC0">
            <w:pPr>
              <w:pStyle w:val="51"/>
              <w:keepNext w:val="0"/>
              <w:keepLines w:val="0"/>
              <w:pageBreakBefore w:val="0"/>
              <w:widowControl w:val="0"/>
              <w:numPr>
                <w:ilvl w:val="0"/>
                <w:numId w:val="44"/>
              </w:numPr>
              <w:kinsoku/>
              <w:bidi w:val="0"/>
              <w:ind w:left="425" w:leftChars="0" w:hanging="425" w:firstLineChars="0"/>
              <w:rPr>
                <w:color w:val="000000" w:themeColor="text1"/>
                <w14:textFill>
                  <w14:solidFill>
                    <w14:schemeClr w14:val="tx1"/>
                  </w14:solidFill>
                </w14:textFill>
              </w:rPr>
            </w:pPr>
          </w:p>
        </w:tc>
        <w:tc>
          <w:tcPr>
            <w:tcW w:w="2059" w:type="pct"/>
            <w:noWrap w:val="0"/>
            <w:vAlign w:val="center"/>
          </w:tcPr>
          <w:p w14:paraId="2E6568EA">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变电站应对主变压器等各种带油电气设备及建筑物，配备适当数量的移动式灭火器。对主控制室等设有精密仪器、仪表设备的房间，应在房间内或附近走廊内配置灭火后不会引起污损的灭火器。</w:t>
            </w:r>
          </w:p>
        </w:tc>
        <w:tc>
          <w:tcPr>
            <w:tcW w:w="1088" w:type="pct"/>
            <w:noWrap w:val="0"/>
            <w:vAlign w:val="center"/>
          </w:tcPr>
          <w:p w14:paraId="7E5E2863">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35kV～110kV变电站设计规范</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GB 50059-2011</w:t>
            </w:r>
            <w:r>
              <w:rPr>
                <w:rFonts w:hint="eastAsia"/>
                <w:color w:val="000000" w:themeColor="text1"/>
                <w14:textFill>
                  <w14:solidFill>
                    <w14:schemeClr w14:val="tx1"/>
                  </w14:solidFill>
                </w14:textFill>
              </w:rPr>
              <w:t>第5.0.3条</w:t>
            </w:r>
          </w:p>
        </w:tc>
        <w:tc>
          <w:tcPr>
            <w:tcW w:w="1084" w:type="pct"/>
            <w:noWrap w:val="0"/>
            <w:vAlign w:val="center"/>
          </w:tcPr>
          <w:p w14:paraId="216F109C">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每个箱变采用了干粉灭火器2具</w:t>
            </w:r>
          </w:p>
        </w:tc>
        <w:tc>
          <w:tcPr>
            <w:tcW w:w="423" w:type="pct"/>
            <w:noWrap w:val="0"/>
            <w:vAlign w:val="center"/>
          </w:tcPr>
          <w:p w14:paraId="60CBD404">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3EF90E66">
      <w:pPr>
        <w:pStyle w:val="14"/>
        <w:keepNext w:val="0"/>
        <w:keepLines w:val="0"/>
        <w:pageBreakBefore w:val="0"/>
        <w:widowControl w:val="0"/>
        <w:kinsoku/>
        <w:wordWrap/>
        <w:overflowPunct/>
        <w:topLinePunct w:val="0"/>
        <w:autoSpaceDE/>
        <w:autoSpaceDN/>
        <w:bidi w:val="0"/>
        <w:adjustRightInd/>
        <w:snapToGrid/>
        <w:spacing w:after="0" w:line="500" w:lineRule="exact"/>
        <w:ind w:left="130" w:right="102" w:firstLine="559"/>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spacing w:val="-5"/>
          <w14:textFill>
            <w14:solidFill>
              <w14:schemeClr w14:val="tx1"/>
            </w14:solidFill>
          </w14:textFill>
        </w:rPr>
        <w:t>评价分析：针对</w:t>
      </w:r>
      <w:r>
        <w:rPr>
          <w:rFonts w:hint="eastAsia" w:ascii="宋体" w:hAnsi="宋体" w:eastAsia="宋体" w:cs="宋体"/>
          <w:color w:val="000000" w:themeColor="text1"/>
          <w:spacing w:val="-5"/>
          <w:lang w:val="en-US" w:eastAsia="zh-CN"/>
          <w14:textFill>
            <w14:solidFill>
              <w14:schemeClr w14:val="tx1"/>
            </w14:solidFill>
          </w14:textFill>
        </w:rPr>
        <w:t>防火、防爆设施子单元</w:t>
      </w:r>
      <w:r>
        <w:rPr>
          <w:rFonts w:hint="eastAsia" w:ascii="宋体" w:hAnsi="宋体" w:eastAsia="宋体" w:cs="宋体"/>
          <w:color w:val="000000" w:themeColor="text1"/>
          <w:spacing w:val="-5"/>
          <w14:textFill>
            <w14:solidFill>
              <w14:schemeClr w14:val="tx1"/>
            </w14:solidFill>
          </w14:textFill>
        </w:rPr>
        <w:t>安全检查表内的</w:t>
      </w:r>
      <w:r>
        <w:rPr>
          <w:rFonts w:hint="eastAsia" w:ascii="宋体" w:hAnsi="宋体" w:eastAsia="宋体" w:cs="宋体"/>
          <w:color w:val="000000" w:themeColor="text1"/>
          <w:spacing w:val="-61"/>
          <w14:textFill>
            <w14:solidFill>
              <w14:schemeClr w14:val="tx1"/>
            </w14:solidFill>
          </w14:textFill>
        </w:rPr>
        <w:t xml:space="preserve"> </w:t>
      </w:r>
      <w:r>
        <w:rPr>
          <w:rFonts w:hint="eastAsia" w:ascii="宋体" w:hAnsi="宋体" w:eastAsia="宋体" w:cs="宋体"/>
          <w:color w:val="000000" w:themeColor="text1"/>
          <w:spacing w:val="-5"/>
          <w:lang w:val="en-US" w:eastAsia="zh-CN"/>
          <w14:textFill>
            <w14:solidFill>
              <w14:schemeClr w14:val="tx1"/>
            </w14:solidFill>
          </w14:textFill>
        </w:rPr>
        <w:t>3</w:t>
      </w:r>
      <w:r>
        <w:rPr>
          <w:rFonts w:hint="eastAsia" w:ascii="宋体" w:hAnsi="宋体" w:eastAsia="宋体" w:cs="宋体"/>
          <w:color w:val="000000" w:themeColor="text1"/>
          <w:spacing w:val="-5"/>
          <w14:textFill>
            <w14:solidFill>
              <w14:schemeClr w14:val="tx1"/>
            </w14:solidFill>
          </w14:textFill>
        </w:rPr>
        <w:t>项内容，其中</w:t>
      </w:r>
      <w:r>
        <w:rPr>
          <w:rFonts w:hint="eastAsia" w:ascii="宋体" w:hAnsi="宋体" w:eastAsia="宋体" w:cs="宋体"/>
          <w:color w:val="000000" w:themeColor="text1"/>
          <w:spacing w:val="-57"/>
          <w:lang w:val="en-US" w:eastAsia="zh-CN"/>
          <w14:textFill>
            <w14:solidFill>
              <w14:schemeClr w14:val="tx1"/>
            </w14:solidFill>
          </w14:textFill>
        </w:rPr>
        <w:t>3</w:t>
      </w:r>
      <w:r>
        <w:rPr>
          <w:rFonts w:hint="eastAsia" w:ascii="宋体" w:hAnsi="宋体" w:eastAsia="宋体" w:cs="宋体"/>
          <w:color w:val="000000" w:themeColor="text1"/>
          <w:spacing w:val="-5"/>
          <w14:textFill>
            <w14:solidFill>
              <w14:schemeClr w14:val="tx1"/>
            </w14:solidFill>
          </w14:textFill>
        </w:rPr>
        <w:t>项</w:t>
      </w:r>
      <w:r>
        <w:rPr>
          <w:rFonts w:hint="eastAsia" w:ascii="宋体" w:hAnsi="宋体" w:eastAsia="宋体" w:cs="宋体"/>
          <w:color w:val="000000" w:themeColor="text1"/>
          <w:spacing w:val="-6"/>
          <w14:textFill>
            <w14:solidFill>
              <w14:schemeClr w14:val="tx1"/>
            </w14:solidFill>
          </w14:textFill>
        </w:rPr>
        <w:t>合格，</w:t>
      </w:r>
      <w:r>
        <w:rPr>
          <w:rFonts w:hint="eastAsia" w:ascii="宋体" w:hAnsi="宋体" w:eastAsia="宋体" w:cs="宋体"/>
          <w:color w:val="000000" w:themeColor="text1"/>
          <w:spacing w:val="-6"/>
          <w:lang w:val="en-US" w:eastAsia="zh-CN"/>
          <w14:textFill>
            <w14:solidFill>
              <w14:schemeClr w14:val="tx1"/>
            </w14:solidFill>
          </w14:textFill>
        </w:rPr>
        <w:t>0</w:t>
      </w:r>
      <w:r>
        <w:rPr>
          <w:rFonts w:hint="eastAsia" w:ascii="宋体" w:hAnsi="宋体" w:eastAsia="宋体" w:cs="宋体"/>
          <w:color w:val="000000" w:themeColor="text1"/>
          <w:spacing w:val="-6"/>
          <w14:textFill>
            <w14:solidFill>
              <w14:schemeClr w14:val="tx1"/>
            </w14:solidFill>
          </w14:textFill>
        </w:rPr>
        <w:t>项不</w:t>
      </w:r>
      <w:r>
        <w:rPr>
          <w:rFonts w:hint="eastAsia" w:ascii="宋体" w:hAnsi="宋体" w:eastAsia="宋体" w:cs="宋体"/>
          <w:color w:val="000000" w:themeColor="text1"/>
          <w:spacing w:val="-4"/>
          <w14:textFill>
            <w14:solidFill>
              <w14:schemeClr w14:val="tx1"/>
            </w14:solidFill>
          </w14:textFill>
        </w:rPr>
        <w:t>合格。</w:t>
      </w:r>
    </w:p>
    <w:p w14:paraId="57BC3350">
      <w:pPr>
        <w:pStyle w:val="5"/>
        <w:bidi w:val="0"/>
        <w:rPr>
          <w:rFonts w:hint="eastAsia"/>
          <w:color w:val="000000" w:themeColor="text1"/>
          <w14:textFill>
            <w14:solidFill>
              <w14:schemeClr w14:val="tx1"/>
            </w14:solidFill>
          </w14:textFill>
        </w:rPr>
      </w:pPr>
      <w:r>
        <w:rPr>
          <w:rFonts w:hint="eastAsia" w:ascii="Times New Roman" w:hAnsi="Times New Roman" w:eastAsia="宋体"/>
          <w:b/>
          <w:bCs/>
          <w:snapToGrid/>
          <w:color w:val="000000" w:themeColor="text1"/>
          <w14:textFill>
            <w14:solidFill>
              <w14:schemeClr w14:val="tx1"/>
            </w14:solidFill>
          </w14:textFill>
        </w:rPr>
        <w:tab/>
      </w:r>
      <w:r>
        <w:rPr>
          <w:rFonts w:hint="eastAsia" w:ascii="Times New Roman" w:hAnsi="Times New Roman" w:eastAsia="宋体"/>
          <w:b/>
          <w:bCs/>
          <w:snapToGrid/>
          <w:color w:val="000000" w:themeColor="text1"/>
          <w14:textFill>
            <w14:solidFill>
              <w14:schemeClr w14:val="tx1"/>
            </w14:solidFill>
          </w14:textFill>
        </w:rPr>
        <w:t>防火及防爆设施子单元小结</w:t>
      </w:r>
    </w:p>
    <w:p w14:paraId="04E60C7D">
      <w:pPr>
        <w:pStyle w:val="51"/>
        <w:keepNext w:val="0"/>
        <w:keepLines w:val="0"/>
        <w:pageBreakBefore w:val="0"/>
        <w:widowControl w:val="0"/>
        <w:kinsoku/>
        <w:wordWrap/>
        <w:overflowPunct/>
        <w:topLinePunct w:val="0"/>
        <w:autoSpaceDE/>
        <w:autoSpaceDN/>
        <w:bidi w:val="0"/>
        <w:adjustRightInd/>
        <w:snapToGrid/>
        <w:spacing w:line="500" w:lineRule="exact"/>
        <w:ind w:firstLine="280" w:firstLineChars="100"/>
        <w:jc w:val="both"/>
        <w:textAlignment w:val="auto"/>
        <w:rPr>
          <w:rFonts w:hint="eastAsia" w:ascii="宋体" w:hAnsi="宋体" w:eastAsia="宋体" w:cs="宋体"/>
          <w:color w:val="000000" w:themeColor="text1"/>
          <w:kern w:val="2"/>
          <w:sz w:val="28"/>
          <w:szCs w:val="24"/>
          <w:lang w:val="en-US" w:eastAsia="zh-CN" w:bidi="ar-SA"/>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防火、防爆设施子单元符合《中华人民共和国消防法》、35kV～110kV变电站设计规范》的要求。</w:t>
      </w:r>
    </w:p>
    <w:p w14:paraId="3E619987">
      <w:pPr>
        <w:pStyle w:val="4"/>
        <w:bidi w:val="0"/>
        <w:rPr>
          <w:rFonts w:hint="eastAsia"/>
          <w:color w:val="000000" w:themeColor="text1"/>
          <w14:textFill>
            <w14:solidFill>
              <w14:schemeClr w14:val="tx1"/>
            </w14:solidFill>
          </w14:textFill>
        </w:rPr>
      </w:pPr>
      <w:bookmarkStart w:id="327" w:name="_Toc25227"/>
      <w:bookmarkStart w:id="328" w:name="_Toc22957"/>
      <w:r>
        <w:rPr>
          <w:rFonts w:hint="eastAsia"/>
          <w:color w:val="000000" w:themeColor="text1"/>
          <w14:textFill>
            <w14:solidFill>
              <w14:schemeClr w14:val="tx1"/>
            </w14:solidFill>
          </w14:textFill>
        </w:rPr>
        <w:t>防雷、接地装置</w:t>
      </w:r>
      <w:r>
        <w:rPr>
          <w:color w:val="000000" w:themeColor="text1"/>
          <w14:textFill>
            <w14:solidFill>
              <w14:schemeClr w14:val="tx1"/>
            </w14:solidFill>
          </w14:textFill>
        </w:rPr>
        <w:t>子单元</w:t>
      </w:r>
      <w:bookmarkEnd w:id="327"/>
      <w:bookmarkEnd w:id="328"/>
    </w:p>
    <w:p w14:paraId="79DB349C">
      <w:pPr>
        <w:pStyle w:val="5"/>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防雷、接地装置子</w:t>
      </w:r>
      <w:r>
        <w:rPr>
          <w:color w:val="000000" w:themeColor="text1"/>
          <w14:textFill>
            <w14:solidFill>
              <w14:schemeClr w14:val="tx1"/>
            </w14:solidFill>
          </w14:textFill>
        </w:rPr>
        <w:t>单元安全检查表</w:t>
      </w:r>
    </w:p>
    <w:p w14:paraId="020467E2">
      <w:p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依据《建筑物防雷设计规范》（GB500057-2010））、《交流电气装置的接地设计规范》（GB/T50065-2011）、《电气装置安装工程接地装置施工及验收规范》（</w:t>
      </w:r>
      <w:r>
        <w:rPr>
          <w:rFonts w:hint="eastAsia"/>
          <w:color w:val="000000" w:themeColor="text1"/>
          <w:lang w:eastAsia="zh-CN"/>
          <w14:textFill>
            <w14:solidFill>
              <w14:schemeClr w14:val="tx1"/>
            </w14:solidFill>
          </w14:textFill>
        </w:rPr>
        <w:t>GB 50169-2016</w:t>
      </w:r>
      <w:r>
        <w:rPr>
          <w:rFonts w:hint="eastAsia"/>
          <w:color w:val="000000" w:themeColor="text1"/>
          <w14:textFill>
            <w14:solidFill>
              <w14:schemeClr w14:val="tx1"/>
            </w14:solidFill>
          </w14:textFill>
        </w:rPr>
        <w:t>）及</w:t>
      </w:r>
      <w:r>
        <w:rPr>
          <w:rFonts w:hint="eastAsia" w:ascii="Times New Roman" w:hAnsi="Times New Roman" w:eastAsia="宋体" w:cs="Times New Roman"/>
          <w:color w:val="000000" w:themeColor="text1"/>
          <w14:textFill>
            <w14:solidFill>
              <w14:schemeClr w14:val="tx1"/>
            </w14:solidFill>
          </w14:textFill>
        </w:rPr>
        <w:t>《防雷减灾管理办法》</w:t>
      </w:r>
      <w:r>
        <w:rPr>
          <w:rFonts w:hint="eastAsia"/>
          <w:color w:val="000000" w:themeColor="text1"/>
          <w14:textFill>
            <w14:solidFill>
              <w14:schemeClr w14:val="tx1"/>
            </w14:solidFill>
          </w14:textFill>
        </w:rPr>
        <w:t>等规范，对本光伏电站防雷设施进行对照检查。</w:t>
      </w:r>
    </w:p>
    <w:p w14:paraId="18FB8ADE">
      <w:pPr>
        <w:pStyle w:val="12"/>
        <w:keepNext w:val="0"/>
        <w:keepLines w:val="0"/>
        <w:pageBreakBefore w:val="0"/>
        <w:widowControl w:val="0"/>
        <w:numPr>
          <w:ilvl w:val="0"/>
          <w:numId w:val="0"/>
        </w:numPr>
        <w:kinsoku/>
        <w:bidi w:val="0"/>
        <w:spacing w:line="360" w:lineRule="auto"/>
        <w:ind w:left="0" w:leftChars="0" w:firstLine="482" w:firstLineChars="200"/>
        <w:jc w:val="center"/>
        <w:rPr>
          <w:rFonts w:hint="eastAsia"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hint="eastAsia" w:ascii="宋体" w:hAnsi="宋体"/>
          <w:color w:val="000000" w:themeColor="text1"/>
          <w:sz w:val="24"/>
          <w:szCs w:val="24"/>
          <w14:textFill>
            <w14:solidFill>
              <w14:schemeClr w14:val="tx1"/>
            </w14:solidFill>
          </w14:textFill>
        </w:rPr>
        <w:t>防雷、接地装置安全检查表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03"/>
        <w:gridCol w:w="3641"/>
        <w:gridCol w:w="2321"/>
        <w:gridCol w:w="1776"/>
        <w:gridCol w:w="872"/>
      </w:tblGrid>
      <w:tr w14:paraId="57C53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blHeader/>
          <w:jc w:val="center"/>
        </w:trPr>
        <w:tc>
          <w:tcPr>
            <w:tcW w:w="275" w:type="pct"/>
            <w:noWrap w:val="0"/>
            <w:vAlign w:val="center"/>
          </w:tcPr>
          <w:p w14:paraId="72336C1B">
            <w:pPr>
              <w:pStyle w:val="51"/>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序号</w:t>
            </w:r>
          </w:p>
        </w:tc>
        <w:tc>
          <w:tcPr>
            <w:tcW w:w="1997" w:type="pct"/>
            <w:noWrap w:val="0"/>
            <w:vAlign w:val="center"/>
          </w:tcPr>
          <w:p w14:paraId="25F6962C">
            <w:pPr>
              <w:pStyle w:val="51"/>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检查内容</w:t>
            </w:r>
          </w:p>
        </w:tc>
        <w:tc>
          <w:tcPr>
            <w:tcW w:w="1273" w:type="pct"/>
            <w:noWrap w:val="0"/>
            <w:vAlign w:val="center"/>
          </w:tcPr>
          <w:p w14:paraId="6FE6523C">
            <w:pPr>
              <w:pStyle w:val="51"/>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检查依据</w:t>
            </w:r>
          </w:p>
        </w:tc>
        <w:tc>
          <w:tcPr>
            <w:tcW w:w="974" w:type="pct"/>
            <w:noWrap w:val="0"/>
            <w:vAlign w:val="center"/>
          </w:tcPr>
          <w:p w14:paraId="56C5683B">
            <w:pPr>
              <w:pStyle w:val="51"/>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检查情况</w:t>
            </w:r>
          </w:p>
        </w:tc>
        <w:tc>
          <w:tcPr>
            <w:tcW w:w="478" w:type="pct"/>
            <w:noWrap w:val="0"/>
            <w:vAlign w:val="center"/>
          </w:tcPr>
          <w:p w14:paraId="38BA2A0E">
            <w:pPr>
              <w:pStyle w:val="51"/>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检查</w:t>
            </w:r>
          </w:p>
          <w:p w14:paraId="21C2F565">
            <w:pPr>
              <w:pStyle w:val="51"/>
              <w:keepNext w:val="0"/>
              <w:keepLines w:val="0"/>
              <w:pageBreakBefore w:val="0"/>
              <w:widowControl w:val="0"/>
              <w:kinsoku/>
              <w:bidi w:val="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结果</w:t>
            </w:r>
          </w:p>
        </w:tc>
      </w:tr>
      <w:tr w14:paraId="0B1AF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0A0E9EEA">
            <w:pPr>
              <w:pStyle w:val="51"/>
              <w:keepNext w:val="0"/>
              <w:keepLines w:val="0"/>
              <w:pageBreakBefore w:val="0"/>
              <w:widowControl w:val="0"/>
              <w:numPr>
                <w:ilvl w:val="0"/>
                <w:numId w:val="45"/>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3AAA92CF">
            <w:pPr>
              <w:pStyle w:val="42"/>
              <w:spacing w:before="35" w:line="241" w:lineRule="auto"/>
              <w:ind w:left="101" w:leftChars="0" w:right="105" w:rightChars="0" w:firstLine="0" w:firstLineChars="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接地网的接地电阻不应大于</w:t>
            </w:r>
            <w:r>
              <w:rPr>
                <w:rFonts w:hint="eastAsia" w:ascii="宋体" w:hAnsi="宋体" w:eastAsia="宋体" w:cs="宋体"/>
                <w:color w:val="000000" w:themeColor="text1"/>
                <w:spacing w:val="-19"/>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4</w:t>
            </w:r>
            <w:r>
              <w:rPr>
                <w:rFonts w:hint="eastAsia" w:ascii="宋体" w:hAnsi="宋体" w:eastAsia="宋体" w:cs="宋体"/>
                <w:color w:val="000000" w:themeColor="text1"/>
                <w:spacing w:val="-44"/>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Ω</w:t>
            </w:r>
            <w:r>
              <w:rPr>
                <w:rFonts w:hint="eastAsia" w:ascii="宋体" w:hAnsi="宋体" w:eastAsia="宋体" w:cs="宋体"/>
                <w:color w:val="000000" w:themeColor="text1"/>
                <w:spacing w:val="-70"/>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pacing w:val="64"/>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且保护接</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11"/>
                <w:sz w:val="21"/>
                <w:szCs w:val="21"/>
                <w14:textFill>
                  <w14:solidFill>
                    <w14:schemeClr w14:val="tx1"/>
                  </w14:solidFill>
                </w14:textFill>
              </w:rPr>
              <w:t>地接至变电站接地网的站用变压器的低压侧电气装置，应采用（含建筑物钢筋的）保护</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总等电位联结系统。</w:t>
            </w:r>
          </w:p>
        </w:tc>
        <w:tc>
          <w:tcPr>
            <w:tcW w:w="1273" w:type="pct"/>
            <w:shd w:val="clear" w:color="auto" w:fill="auto"/>
            <w:noWrap w:val="0"/>
            <w:vAlign w:val="top"/>
          </w:tcPr>
          <w:p w14:paraId="5EB2DDBA">
            <w:pPr>
              <w:pStyle w:val="42"/>
              <w:spacing w:before="35" w:line="241" w:lineRule="auto"/>
              <w:ind w:left="115" w:leftChars="0" w:right="99" w:rightChars="0" w:firstLine="5"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12"/>
                <w:sz w:val="21"/>
                <w:szCs w:val="21"/>
                <w14:textFill>
                  <w14:solidFill>
                    <w14:schemeClr w14:val="tx1"/>
                  </w14:solidFill>
                </w14:textFill>
              </w:rPr>
              <w:t>《交流电气装置的接</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地</w:t>
            </w:r>
            <w:r>
              <w:rPr>
                <w:rFonts w:hint="eastAsia" w:ascii="宋体" w:hAnsi="宋体" w:eastAsia="宋体" w:cs="宋体"/>
                <w:color w:val="000000" w:themeColor="text1"/>
                <w:spacing w:val="47"/>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设</w:t>
            </w:r>
            <w:r>
              <w:rPr>
                <w:rFonts w:hint="eastAsia" w:ascii="宋体" w:hAnsi="宋体" w:eastAsia="宋体" w:cs="宋体"/>
                <w:color w:val="000000" w:themeColor="text1"/>
                <w:spacing w:val="42"/>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计</w:t>
            </w:r>
            <w:r>
              <w:rPr>
                <w:rFonts w:hint="eastAsia" w:ascii="宋体" w:hAnsi="宋体" w:eastAsia="宋体" w:cs="宋体"/>
                <w:color w:val="000000" w:themeColor="text1"/>
                <w:spacing w:val="43"/>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规</w:t>
            </w:r>
            <w:r>
              <w:rPr>
                <w:rFonts w:hint="eastAsia" w:ascii="宋体" w:hAnsi="宋体" w:eastAsia="宋体" w:cs="宋体"/>
                <w:color w:val="000000" w:themeColor="text1"/>
                <w:spacing w:val="47"/>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范</w:t>
            </w:r>
            <w:r>
              <w:rPr>
                <w:rFonts w:hint="eastAsia" w:ascii="宋体" w:hAnsi="宋体" w:eastAsia="宋体" w:cs="宋体"/>
                <w:color w:val="000000" w:themeColor="text1"/>
                <w:spacing w:val="54"/>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GB</w:t>
            </w:r>
            <w:r>
              <w:rPr>
                <w:rFonts w:hint="eastAsia" w:ascii="宋体" w:hAnsi="宋体" w:eastAsia="宋体" w:cs="宋体"/>
                <w:color w:val="000000" w:themeColor="text1"/>
                <w:spacing w:val="4"/>
                <w:sz w:val="21"/>
                <w:szCs w:val="21"/>
                <w14:textFill>
                  <w14:solidFill>
                    <w14:schemeClr w14:val="tx1"/>
                  </w14:solidFill>
                </w14:textFill>
              </w:rPr>
              <w:t>/T50065-2011</w:t>
            </w:r>
            <w:r>
              <w:rPr>
                <w:rFonts w:hint="eastAsia" w:ascii="宋体" w:hAnsi="宋体" w:eastAsia="宋体" w:cs="宋体"/>
                <w:color w:val="000000" w:themeColor="text1"/>
                <w:spacing w:val="-41"/>
                <w:sz w:val="21"/>
                <w:szCs w:val="21"/>
                <w14:textFill>
                  <w14:solidFill>
                    <w14:schemeClr w14:val="tx1"/>
                  </w14:solidFill>
                </w14:textFill>
              </w:rPr>
              <w:t xml:space="preserve"> </w:t>
            </w:r>
            <w:r>
              <w:rPr>
                <w:rFonts w:hint="eastAsia" w:ascii="宋体" w:hAnsi="宋体" w:eastAsia="宋体" w:cs="宋体"/>
                <w:color w:val="000000" w:themeColor="text1"/>
                <w:spacing w:val="4"/>
                <w:sz w:val="21"/>
                <w:szCs w:val="21"/>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2"/>
                <w:sz w:val="21"/>
                <w:szCs w:val="21"/>
                <w14:textFill>
                  <w14:solidFill>
                    <w14:schemeClr w14:val="tx1"/>
                  </w14:solidFill>
                </w14:textFill>
              </w:rPr>
              <w:t>第</w:t>
            </w:r>
            <w:r>
              <w:rPr>
                <w:rFonts w:hint="eastAsia" w:ascii="宋体" w:hAnsi="宋体" w:eastAsia="宋体" w:cs="宋体"/>
                <w:color w:val="000000" w:themeColor="text1"/>
                <w:spacing w:val="-38"/>
                <w:sz w:val="21"/>
                <w:szCs w:val="21"/>
                <w14:textFill>
                  <w14:solidFill>
                    <w14:schemeClr w14:val="tx1"/>
                  </w14:solidFill>
                </w14:textFill>
              </w:rPr>
              <w:t xml:space="preserve"> </w:t>
            </w:r>
            <w:r>
              <w:rPr>
                <w:rFonts w:hint="eastAsia" w:ascii="宋体" w:hAnsi="宋体" w:eastAsia="宋体" w:cs="宋体"/>
                <w:color w:val="000000" w:themeColor="text1"/>
                <w:spacing w:val="2"/>
                <w:sz w:val="21"/>
                <w:szCs w:val="21"/>
                <w14:textFill>
                  <w14:solidFill>
                    <w14:schemeClr w14:val="tx1"/>
                  </w14:solidFill>
                </w14:textFill>
              </w:rPr>
              <w:t>4.2.1</w:t>
            </w:r>
            <w:r>
              <w:rPr>
                <w:rFonts w:hint="eastAsia" w:ascii="宋体" w:hAnsi="宋体" w:eastAsia="宋体" w:cs="宋体"/>
                <w:color w:val="000000" w:themeColor="text1"/>
                <w:spacing w:val="-36"/>
                <w:sz w:val="21"/>
                <w:szCs w:val="21"/>
                <w14:textFill>
                  <w14:solidFill>
                    <w14:schemeClr w14:val="tx1"/>
                  </w14:solidFill>
                </w14:textFill>
              </w:rPr>
              <w:t xml:space="preserve"> </w:t>
            </w:r>
            <w:r>
              <w:rPr>
                <w:rFonts w:hint="eastAsia" w:ascii="宋体" w:hAnsi="宋体" w:eastAsia="宋体" w:cs="宋体"/>
                <w:color w:val="000000" w:themeColor="text1"/>
                <w:spacing w:val="2"/>
                <w:sz w:val="21"/>
                <w:szCs w:val="21"/>
                <w14:textFill>
                  <w14:solidFill>
                    <w14:schemeClr w14:val="tx1"/>
                  </w14:solidFill>
                </w14:textFill>
              </w:rPr>
              <w:t>条</w:t>
            </w:r>
          </w:p>
        </w:tc>
        <w:tc>
          <w:tcPr>
            <w:tcW w:w="974" w:type="pct"/>
            <w:shd w:val="clear" w:color="auto" w:fill="auto"/>
            <w:noWrap w:val="0"/>
            <w:vAlign w:val="top"/>
          </w:tcPr>
          <w:p w14:paraId="6236B0DF">
            <w:pPr>
              <w:pStyle w:val="42"/>
              <w:spacing w:before="305"/>
              <w:ind w:left="121" w:leftChars="0" w:right="70" w:rightChars="0" w:firstLine="1"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符合设计</w:t>
            </w:r>
            <w:r>
              <w:rPr>
                <w:rFonts w:hint="eastAsia" w:ascii="宋体" w:hAnsi="宋体" w:eastAsia="宋体" w:cs="宋体"/>
                <w:color w:val="000000" w:themeColor="text1"/>
                <w:spacing w:val="3"/>
                <w:sz w:val="21"/>
                <w:szCs w:val="21"/>
                <w:lang w:val="en-US" w:eastAsia="zh-CN"/>
                <w14:textFill>
                  <w14:solidFill>
                    <w14:schemeClr w14:val="tx1"/>
                  </w14:solidFill>
                </w14:textFill>
              </w:rPr>
              <w:t>规范要求</w:t>
            </w:r>
          </w:p>
        </w:tc>
        <w:tc>
          <w:tcPr>
            <w:tcW w:w="478" w:type="pct"/>
            <w:noWrap w:val="0"/>
            <w:vAlign w:val="center"/>
          </w:tcPr>
          <w:p w14:paraId="588B889C">
            <w:pPr>
              <w:pStyle w:val="51"/>
              <w:keepNext w:val="0"/>
              <w:keepLines w:val="0"/>
              <w:pageBreakBefore w:val="0"/>
              <w:widowControl w:val="0"/>
              <w:kinsoku/>
              <w:bidi w:val="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652EC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6F9CE15D">
            <w:pPr>
              <w:pStyle w:val="51"/>
              <w:keepNext w:val="0"/>
              <w:keepLines w:val="0"/>
              <w:pageBreakBefore w:val="0"/>
              <w:widowControl w:val="0"/>
              <w:numPr>
                <w:ilvl w:val="0"/>
                <w:numId w:val="45"/>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3287630F">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遇下列情况之一时，应划为第三类防雷 建筑物：1）预计雷击次数大于或等于 0.05 次/a，且小于或等于 0.25 次/a 的住 宅、办公楼等一般性民用建筑物或一般 性工业建筑物。2）在平均雷暴日大于 15d/a 的地区，高度在 15m 及以上的烟 囱、水塔等孤立的高耸建筑物；在平均 雷暴日小于或等于 15d/a 的地区，高度 在 20m 及以上的烟囱、水塔等孤立的 高耸建筑物。</w:t>
            </w:r>
          </w:p>
        </w:tc>
        <w:tc>
          <w:tcPr>
            <w:tcW w:w="1273" w:type="pct"/>
            <w:shd w:val="clear" w:color="auto" w:fill="auto"/>
            <w:noWrap w:val="0"/>
            <w:vAlign w:val="top"/>
          </w:tcPr>
          <w:p w14:paraId="211999B1">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099EE08">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8DDBE28">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47CABA4">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0C3E391D">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《建筑物防雷设计规  范》（GB500057-2010））</w:t>
            </w:r>
          </w:p>
          <w:p w14:paraId="629C57CA">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第 3.0.4 条</w:t>
            </w:r>
          </w:p>
        </w:tc>
        <w:tc>
          <w:tcPr>
            <w:tcW w:w="974" w:type="pct"/>
            <w:shd w:val="clear" w:color="auto" w:fill="auto"/>
            <w:noWrap w:val="0"/>
            <w:vAlign w:val="top"/>
          </w:tcPr>
          <w:p w14:paraId="4D50B01A">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791D1EB2">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5E47CE70">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本光伏项目区域雷暴日平数多，属多雷区。光伏项目为 第三类防雷建筑物。</w:t>
            </w:r>
          </w:p>
        </w:tc>
        <w:tc>
          <w:tcPr>
            <w:tcW w:w="478" w:type="pct"/>
            <w:noWrap w:val="0"/>
            <w:vAlign w:val="center"/>
          </w:tcPr>
          <w:p w14:paraId="54628082">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2AD28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01215EB8">
            <w:pPr>
              <w:pStyle w:val="51"/>
              <w:keepNext w:val="0"/>
              <w:keepLines w:val="0"/>
              <w:pageBreakBefore w:val="0"/>
              <w:widowControl w:val="0"/>
              <w:numPr>
                <w:ilvl w:val="0"/>
                <w:numId w:val="45"/>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6BC8C45D">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发电厂和变压所的雷电近电压来自雷 电对配电装置的直接雷击、反击和架空 进线上出现的雷电侵入波。1 、应采用 避雷针或避雷线对高压配电装置进行 直击雷保护并采取措施防止反击。2 、 应该采取措施防止或减少发电厂和变 电所近区线路的雷击闪络并在厂、所内 适当配置阀式避雷器以减少雷电侵入 波过电压的危</w:t>
            </w:r>
          </w:p>
          <w:p w14:paraId="30C2F54C">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害。3 、按本标准要求对采用的雷电侵 入波过电压保护方案校验时，校验条件 为保护接线一般应该保证 2km 外线路 导线上出现的雷电侵入波过电压时，不 引起发电厂和变电所电气设备绝缘损 坏。</w:t>
            </w:r>
          </w:p>
        </w:tc>
        <w:tc>
          <w:tcPr>
            <w:tcW w:w="1273" w:type="pct"/>
            <w:shd w:val="clear" w:color="auto" w:fill="auto"/>
            <w:noWrap w:val="0"/>
            <w:vAlign w:val="top"/>
          </w:tcPr>
          <w:p w14:paraId="27D53796">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5AEF3D2B">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65E072C7">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510CBBBD">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22A658B2">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2378AA3C">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《交流电气装置的过电压保护和绝缘配合设计规范》</w:t>
            </w:r>
          </w:p>
          <w:p w14:paraId="4C0F0D57">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（GB/T50064-2014）</w:t>
            </w:r>
          </w:p>
          <w:p w14:paraId="0B9E17FE">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5. 1.3</w:t>
            </w:r>
          </w:p>
        </w:tc>
        <w:tc>
          <w:tcPr>
            <w:tcW w:w="974" w:type="pct"/>
            <w:shd w:val="clear" w:color="auto" w:fill="auto"/>
            <w:noWrap w:val="0"/>
            <w:vAlign w:val="top"/>
          </w:tcPr>
          <w:p w14:paraId="6C7EEF18">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CA35EF0">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2CB05BD">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6BA4BE5D">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7B18311D">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64F9F4A2">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p>
          <w:p w14:paraId="1FF2D842">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光伏方阵，将防雷接地、保护接地、 工作接地统一为一</w:t>
            </w:r>
          </w:p>
          <w:p w14:paraId="40C6E2D3">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lang w:val="en-US" w:eastAsia="en-US"/>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个共用接地装置。</w:t>
            </w:r>
          </w:p>
        </w:tc>
        <w:tc>
          <w:tcPr>
            <w:tcW w:w="478" w:type="pct"/>
            <w:noWrap w:val="0"/>
            <w:vAlign w:val="center"/>
          </w:tcPr>
          <w:p w14:paraId="3EC655B2">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5"/>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符合</w:t>
            </w:r>
          </w:p>
        </w:tc>
      </w:tr>
      <w:tr w14:paraId="19540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332B77FB">
            <w:pPr>
              <w:pStyle w:val="51"/>
              <w:keepNext w:val="0"/>
              <w:keepLines w:val="0"/>
              <w:pageBreakBefore w:val="0"/>
              <w:widowControl w:val="0"/>
              <w:numPr>
                <w:ilvl w:val="0"/>
                <w:numId w:val="45"/>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446FB6FF">
            <w:pPr>
              <w:pStyle w:val="42"/>
              <w:spacing w:before="85" w:line="247" w:lineRule="auto"/>
              <w:ind w:left="110" w:leftChars="0" w:right="41" w:rightChars="0" w:firstLine="25" w:firstLineChars="0"/>
              <w:jc w:val="both"/>
              <w:rPr>
                <w:rFonts w:hint="eastAsia" w:ascii="宋体" w:hAnsi="宋体" w:eastAsia="宋体" w:cs="宋体"/>
                <w:color w:val="000000" w:themeColor="text1"/>
                <w:spacing w:val="10"/>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电力系统、装置或设备应按规定接地。</w:t>
            </w:r>
            <w:r>
              <w:rPr>
                <w:rFonts w:hint="eastAsia" w:ascii="宋体" w:hAnsi="宋体" w:eastAsia="宋体" w:cs="宋体"/>
                <w:color w:val="000000" w:themeColor="text1"/>
                <w:spacing w:val="15"/>
                <w:sz w:val="21"/>
                <w:szCs w:val="21"/>
                <w14:textFill>
                  <w14:solidFill>
                    <w14:schemeClr w14:val="tx1"/>
                  </w14:solidFill>
                </w14:textFill>
              </w:rPr>
              <w:t xml:space="preserve"> </w:t>
            </w:r>
            <w:r>
              <w:rPr>
                <w:rFonts w:hint="eastAsia" w:ascii="宋体" w:hAnsi="宋体" w:eastAsia="宋体" w:cs="宋体"/>
                <w:color w:val="000000" w:themeColor="text1"/>
                <w:spacing w:val="16"/>
                <w:sz w:val="21"/>
                <w:szCs w:val="21"/>
                <w14:textFill>
                  <w14:solidFill>
                    <w14:schemeClr w14:val="tx1"/>
                  </w14:solidFill>
                </w14:textFill>
              </w:rPr>
              <w:t>接地装置应充分利用自然接地地极接</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地，但应校验自然接地极的热稳定性。</w:t>
            </w:r>
            <w:r>
              <w:rPr>
                <w:rFonts w:hint="eastAsia" w:ascii="宋体" w:hAnsi="宋体" w:eastAsia="宋体" w:cs="宋体"/>
                <w:color w:val="000000" w:themeColor="text1"/>
                <w:spacing w:val="6"/>
                <w:sz w:val="21"/>
                <w:szCs w:val="21"/>
                <w14:textFill>
                  <w14:solidFill>
                    <w14:schemeClr w14:val="tx1"/>
                  </w14:solidFill>
                </w14:textFill>
              </w:rPr>
              <w:t xml:space="preserve"> </w:t>
            </w:r>
            <w:r>
              <w:rPr>
                <w:rFonts w:hint="eastAsia" w:ascii="宋体" w:hAnsi="宋体" w:eastAsia="宋体" w:cs="宋体"/>
                <w:color w:val="000000" w:themeColor="text1"/>
                <w:spacing w:val="16"/>
                <w:sz w:val="21"/>
                <w:szCs w:val="21"/>
                <w14:textFill>
                  <w14:solidFill>
                    <w14:schemeClr w14:val="tx1"/>
                  </w14:solidFill>
                </w14:textFill>
              </w:rPr>
              <w:t>按用途接地可分为系统接地、保护接</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地、雷电保护接地和防静电接地。</w:t>
            </w:r>
          </w:p>
        </w:tc>
        <w:tc>
          <w:tcPr>
            <w:tcW w:w="1273" w:type="pct"/>
            <w:shd w:val="clear" w:color="auto" w:fill="auto"/>
            <w:noWrap w:val="0"/>
            <w:vAlign w:val="top"/>
          </w:tcPr>
          <w:p w14:paraId="44F85FC5">
            <w:pPr>
              <w:pStyle w:val="42"/>
              <w:spacing w:before="222" w:line="241" w:lineRule="auto"/>
              <w:ind w:left="505" w:right="182" w:hanging="311"/>
              <w:rPr>
                <w:rFonts w:hint="eastAsia" w:ascii="宋体" w:hAnsi="宋体" w:eastAsia="宋体" w:cs="宋体"/>
                <w:color w:val="000000" w:themeColor="text1"/>
                <w:spacing w:val="8"/>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《交流电气装置</w:t>
            </w:r>
          </w:p>
          <w:p w14:paraId="7E611622">
            <w:pPr>
              <w:pStyle w:val="42"/>
              <w:spacing w:before="222" w:line="241" w:lineRule="auto"/>
              <w:ind w:right="182"/>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的接</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6"/>
                <w:sz w:val="21"/>
                <w:szCs w:val="21"/>
                <w14:textFill>
                  <w14:solidFill>
                    <w14:schemeClr w14:val="tx1"/>
                  </w14:solidFill>
                </w14:textFill>
              </w:rPr>
              <w:t>地设计规范》</w:t>
            </w:r>
          </w:p>
          <w:p w14:paraId="54CF388B">
            <w:pPr>
              <w:pStyle w:val="42"/>
              <w:spacing w:before="22" w:line="228" w:lineRule="auto"/>
              <w:ind w:left="259"/>
              <w:rPr>
                <w:rFonts w:hint="eastAsia" w:ascii="宋体" w:hAnsi="宋体" w:eastAsia="宋体" w:cs="宋体"/>
                <w:color w:val="000000" w:themeColor="text1"/>
                <w:spacing w:val="12"/>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GB</w:t>
            </w:r>
            <w:r>
              <w:rPr>
                <w:rFonts w:hint="eastAsia" w:ascii="宋体" w:hAnsi="宋体" w:eastAsia="宋体" w:cs="宋体"/>
                <w:color w:val="000000" w:themeColor="text1"/>
                <w:spacing w:val="4"/>
                <w:sz w:val="21"/>
                <w:szCs w:val="21"/>
                <w14:textFill>
                  <w14:solidFill>
                    <w14:schemeClr w14:val="tx1"/>
                  </w14:solidFill>
                </w14:textFill>
              </w:rPr>
              <w:t>/T50065-2011 第</w:t>
            </w:r>
            <w:r>
              <w:rPr>
                <w:rFonts w:hint="eastAsia" w:ascii="宋体" w:hAnsi="宋体" w:eastAsia="宋体" w:cs="宋体"/>
                <w:color w:val="000000" w:themeColor="text1"/>
                <w:spacing w:val="-3"/>
                <w:sz w:val="21"/>
                <w:szCs w:val="21"/>
                <w14:textFill>
                  <w14:solidFill>
                    <w14:schemeClr w14:val="tx1"/>
                  </w14:solidFill>
                </w14:textFill>
              </w:rPr>
              <w:t>3.</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1.1</w:t>
            </w:r>
            <w:r>
              <w:rPr>
                <w:rFonts w:hint="eastAsia" w:ascii="宋体" w:hAnsi="宋体" w:eastAsia="宋体" w:cs="宋体"/>
                <w:color w:val="000000" w:themeColor="text1"/>
                <w:spacing w:val="11"/>
                <w:sz w:val="21"/>
                <w:szCs w:val="21"/>
                <w14:textFill>
                  <w14:solidFill>
                    <w14:schemeClr w14:val="tx1"/>
                  </w14:solidFill>
                </w14:textFill>
              </w:rPr>
              <w:t xml:space="preserve"> </w:t>
            </w:r>
            <w:r>
              <w:rPr>
                <w:rFonts w:hint="eastAsia" w:ascii="宋体" w:hAnsi="宋体" w:eastAsia="宋体" w:cs="宋体"/>
                <w:color w:val="000000" w:themeColor="text1"/>
                <w:spacing w:val="-3"/>
                <w:sz w:val="21"/>
                <w:szCs w:val="21"/>
                <w14:textFill>
                  <w14:solidFill>
                    <w14:schemeClr w14:val="tx1"/>
                  </w14:solidFill>
                </w14:textFill>
              </w:rPr>
              <w:t>条</w:t>
            </w:r>
          </w:p>
        </w:tc>
        <w:tc>
          <w:tcPr>
            <w:tcW w:w="974" w:type="pct"/>
            <w:shd w:val="clear" w:color="auto" w:fill="auto"/>
            <w:noWrap w:val="0"/>
            <w:vAlign w:val="top"/>
          </w:tcPr>
          <w:p w14:paraId="2E1885FC">
            <w:pPr>
              <w:spacing w:line="291" w:lineRule="auto"/>
              <w:rPr>
                <w:rFonts w:hint="eastAsia" w:ascii="宋体" w:hAnsi="宋体" w:eastAsia="宋体" w:cs="宋体"/>
                <w:color w:val="000000" w:themeColor="text1"/>
                <w:sz w:val="21"/>
                <w:szCs w:val="21"/>
                <w14:textFill>
                  <w14:solidFill>
                    <w14:schemeClr w14:val="tx1"/>
                  </w14:solidFill>
                </w14:textFill>
              </w:rPr>
            </w:pPr>
          </w:p>
          <w:p w14:paraId="3FB0990A">
            <w:pPr>
              <w:pStyle w:val="42"/>
              <w:spacing w:before="65" w:line="244" w:lineRule="auto"/>
              <w:ind w:left="117" w:leftChars="0" w:right="102" w:rightChars="0" w:hanging="1" w:firstLineChars="0"/>
              <w:jc w:val="both"/>
              <w:rPr>
                <w:rFonts w:hint="eastAsia" w:ascii="宋体" w:hAnsi="宋体" w:eastAsia="宋体" w:cs="宋体"/>
                <w:color w:val="000000" w:themeColor="text1"/>
                <w:spacing w:val="3"/>
                <w:sz w:val="21"/>
                <w:szCs w:val="21"/>
                <w14:textFill>
                  <w14:solidFill>
                    <w14:schemeClr w14:val="tx1"/>
                  </w14:solidFill>
                </w14:textFill>
              </w:rPr>
            </w:pPr>
            <w:r>
              <w:rPr>
                <w:rFonts w:hint="eastAsia" w:ascii="宋体" w:hAnsi="宋体" w:eastAsia="宋体" w:cs="宋体"/>
                <w:color w:val="000000" w:themeColor="text1"/>
                <w:spacing w:val="13"/>
                <w:sz w:val="21"/>
                <w:szCs w:val="21"/>
                <w14:textFill>
                  <w14:solidFill>
                    <w14:schemeClr w14:val="tx1"/>
                  </w14:solidFill>
                </w14:textFill>
              </w:rPr>
              <w:t>本光伏项目的接地充分利用建构筑物</w:t>
            </w:r>
            <w:r>
              <w:rPr>
                <w:rFonts w:hint="eastAsia" w:ascii="宋体" w:hAnsi="宋体" w:eastAsia="宋体" w:cs="宋体"/>
                <w:color w:val="000000" w:themeColor="text1"/>
                <w:spacing w:val="6"/>
                <w:sz w:val="21"/>
                <w:szCs w:val="21"/>
                <w14:textFill>
                  <w14:solidFill>
                    <w14:schemeClr w14:val="tx1"/>
                  </w14:solidFill>
                </w14:textFill>
              </w:rPr>
              <w:t>自然接地体。</w:t>
            </w:r>
          </w:p>
        </w:tc>
        <w:tc>
          <w:tcPr>
            <w:tcW w:w="478" w:type="pct"/>
            <w:shd w:val="clear" w:color="auto" w:fill="auto"/>
            <w:noWrap w:val="0"/>
            <w:vAlign w:val="top"/>
          </w:tcPr>
          <w:p w14:paraId="7145BE63">
            <w:pPr>
              <w:spacing w:line="282" w:lineRule="auto"/>
              <w:rPr>
                <w:rFonts w:hint="eastAsia" w:ascii="宋体" w:hAnsi="宋体" w:eastAsia="宋体" w:cs="宋体"/>
                <w:color w:val="000000" w:themeColor="text1"/>
                <w:sz w:val="21"/>
                <w:szCs w:val="21"/>
                <w14:textFill>
                  <w14:solidFill>
                    <w14:schemeClr w14:val="tx1"/>
                  </w14:solidFill>
                </w14:textFill>
              </w:rPr>
            </w:pPr>
          </w:p>
          <w:p w14:paraId="0672B5D0">
            <w:pPr>
              <w:spacing w:line="282" w:lineRule="auto"/>
              <w:rPr>
                <w:rFonts w:hint="eastAsia" w:ascii="宋体" w:hAnsi="宋体" w:eastAsia="宋体" w:cs="宋体"/>
                <w:color w:val="000000" w:themeColor="text1"/>
                <w:sz w:val="21"/>
                <w:szCs w:val="21"/>
                <w14:textFill>
                  <w14:solidFill>
                    <w14:schemeClr w14:val="tx1"/>
                  </w14:solidFill>
                </w14:textFill>
              </w:rPr>
            </w:pPr>
          </w:p>
          <w:p w14:paraId="1DF9F45D">
            <w:pPr>
              <w:pStyle w:val="42"/>
              <w:spacing w:before="65" w:line="228" w:lineRule="auto"/>
              <w:ind w:left="137"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1CA72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2DC116D7">
            <w:pPr>
              <w:pStyle w:val="51"/>
              <w:keepNext w:val="0"/>
              <w:keepLines w:val="0"/>
              <w:pageBreakBefore w:val="0"/>
              <w:widowControl w:val="0"/>
              <w:numPr>
                <w:ilvl w:val="0"/>
                <w:numId w:val="45"/>
              </w:numPr>
              <w:kinsoku/>
              <w:bidi w:val="0"/>
              <w:ind w:left="425" w:leftChars="0" w:hanging="425" w:firstLineChars="0"/>
              <w:rPr>
                <w:rFonts w:hint="eastAsia" w:ascii="宋体" w:hAnsi="宋体" w:eastAsia="宋体" w:cs="宋体"/>
                <w:color w:val="000000" w:themeColor="text1"/>
                <w:sz w:val="21"/>
                <w:szCs w:val="21"/>
                <w14:textFill>
                  <w14:solidFill>
                    <w14:schemeClr w14:val="tx1"/>
                  </w14:solidFill>
                </w14:textFill>
              </w:rPr>
            </w:pPr>
          </w:p>
        </w:tc>
        <w:tc>
          <w:tcPr>
            <w:tcW w:w="1997" w:type="pct"/>
            <w:shd w:val="clear" w:color="auto" w:fill="auto"/>
            <w:noWrap w:val="0"/>
            <w:vAlign w:val="top"/>
          </w:tcPr>
          <w:p w14:paraId="0C9D8FD8">
            <w:pPr>
              <w:pStyle w:val="42"/>
              <w:spacing w:before="84" w:line="250" w:lineRule="auto"/>
              <w:ind w:left="110" w:leftChars="0" w:right="36" w:rightChars="0" w:firstLine="25"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电气装置的下列金属部分，均应接地或 接零：1 、 电机、变压器、携带式或移 动式用电器具等的金属底座和外壳；2、 配电、控制、保护用的（柜、箱）及操 作台等的金属框架底座；3 、交流、直 流电力电缆的接头盒、终端头和膨胀器 的金属外壳和可触及的电缆金属保护 层和穿线的钢管。穿线的钢管之间或钢 管和电器设备之间有金属软管的过渡 的，应保证金属软管段接地畅通。4 、 电缆桥架、支架和井架；5 、装有避雷 线的电力线路杆塔；装在配电线路杆上 的电力设备；承载电力设备的构架和金 属外壳。</w:t>
            </w:r>
          </w:p>
        </w:tc>
        <w:tc>
          <w:tcPr>
            <w:tcW w:w="1273" w:type="pct"/>
            <w:shd w:val="clear" w:color="auto" w:fill="auto"/>
            <w:noWrap w:val="0"/>
            <w:vAlign w:val="top"/>
          </w:tcPr>
          <w:p w14:paraId="155BEF90">
            <w:pPr>
              <w:spacing w:line="249" w:lineRule="auto"/>
              <w:ind w:left="0" w:leftChars="0"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9ABA17F">
            <w:pPr>
              <w:pStyle w:val="42"/>
              <w:spacing w:before="65" w:line="243" w:lineRule="auto"/>
              <w:ind w:left="115" w:right="18" w:firstLine="78"/>
              <w:jc w:val="both"/>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《电气装置安装工程  接地装置施工及验收  规范》（GB50169-2016）</w:t>
            </w:r>
          </w:p>
          <w:p w14:paraId="24FA4CAF">
            <w:pPr>
              <w:pStyle w:val="42"/>
              <w:spacing w:before="24" w:line="239" w:lineRule="auto"/>
              <w:ind w:right="783" w:rightChars="0"/>
              <w:rPr>
                <w:rFonts w:hint="default"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第3.1.1条</w:t>
            </w:r>
          </w:p>
          <w:p w14:paraId="779B7DC3">
            <w:pPr>
              <w:pStyle w:val="42"/>
              <w:spacing w:before="24" w:line="239" w:lineRule="auto"/>
              <w:ind w:right="783" w:right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p>
        </w:tc>
        <w:tc>
          <w:tcPr>
            <w:tcW w:w="974" w:type="pct"/>
            <w:shd w:val="clear" w:color="auto" w:fill="auto"/>
            <w:noWrap w:val="0"/>
            <w:vAlign w:val="top"/>
          </w:tcPr>
          <w:p w14:paraId="437A1CBC">
            <w:pPr>
              <w:spacing w:line="27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7630D4A3">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4D395E89">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6DFD57C">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79C48B7">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591AB8B1">
            <w:pPr>
              <w:spacing w:line="27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61FFB585">
            <w:pPr>
              <w:pStyle w:val="42"/>
              <w:spacing w:before="65" w:line="239" w:lineRule="auto"/>
              <w:ind w:left="116" w:leftChars="0" w:right="102" w:rightChars="0" w:firstLine="2"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项目建设现场符合 标准要求。</w:t>
            </w:r>
          </w:p>
        </w:tc>
        <w:tc>
          <w:tcPr>
            <w:tcW w:w="478" w:type="pct"/>
            <w:shd w:val="clear" w:color="auto" w:fill="auto"/>
            <w:noWrap w:val="0"/>
            <w:vAlign w:val="top"/>
          </w:tcPr>
          <w:p w14:paraId="4F1D18C8">
            <w:pPr>
              <w:spacing w:line="25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3F4855F4">
            <w:pPr>
              <w:spacing w:line="25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2D29FE36">
            <w:pPr>
              <w:spacing w:line="254"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0BBC5F2">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77D2AAA5">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1B37D93A">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47584840">
            <w:pPr>
              <w:spacing w:line="255" w:lineRule="auto"/>
              <w:rPr>
                <w:rFonts w:hint="eastAsia" w:ascii="宋体" w:hAnsi="宋体" w:eastAsia="宋体" w:cs="宋体"/>
                <w:color w:val="000000" w:themeColor="text1"/>
                <w:kern w:val="2"/>
                <w:sz w:val="21"/>
                <w:szCs w:val="21"/>
                <w:lang w:val="en-US" w:eastAsia="zh-CN" w:bidi="ar-SA"/>
                <w14:textFill>
                  <w14:solidFill>
                    <w14:schemeClr w14:val="tx1"/>
                  </w14:solidFill>
                </w14:textFill>
              </w:rPr>
            </w:pPr>
          </w:p>
          <w:p w14:paraId="02C2A197">
            <w:pPr>
              <w:pStyle w:val="42"/>
              <w:spacing w:before="65" w:line="228" w:lineRule="auto"/>
              <w:ind w:left="137" w:leftChars="0" w:firstLine="0" w:firstLineChars="0"/>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w:t>
            </w:r>
          </w:p>
        </w:tc>
      </w:tr>
      <w:tr w14:paraId="463EC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50EDE3CC">
            <w:pPr>
              <w:pStyle w:val="51"/>
              <w:keepNext w:val="0"/>
              <w:keepLines w:val="0"/>
              <w:pageBreakBefore w:val="0"/>
              <w:widowControl w:val="0"/>
              <w:kinsoku/>
              <w:bidi w:val="0"/>
              <w:jc w:val="both"/>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997" w:type="pct"/>
            <w:shd w:val="clear" w:color="auto" w:fill="auto"/>
            <w:noWrap w:val="0"/>
            <w:vAlign w:val="top"/>
          </w:tcPr>
          <w:p w14:paraId="7FF724C3">
            <w:pPr>
              <w:pStyle w:val="51"/>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接地装置应用热镀锌钢材。水平敷设的 可采用圆钢和扁钢。垂直敷设的可采用 角钢和钢管。腐蚀比较严重地区的接地 装置，应适当加大截面，或采用阴极保 护等措施。</w:t>
            </w:r>
          </w:p>
        </w:tc>
        <w:tc>
          <w:tcPr>
            <w:tcW w:w="1273" w:type="pct"/>
            <w:shd w:val="clear" w:color="auto" w:fill="auto"/>
            <w:noWrap w:val="0"/>
            <w:vAlign w:val="top"/>
          </w:tcPr>
          <w:p w14:paraId="1AEC5B24">
            <w:pPr>
              <w:pStyle w:val="51"/>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《电气装置安装工程</w:t>
            </w:r>
          </w:p>
          <w:p w14:paraId="3FC663F3">
            <w:pPr>
              <w:pStyle w:val="51"/>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接地装置施工及验收</w:t>
            </w:r>
          </w:p>
          <w:p w14:paraId="45D15C6D">
            <w:pPr>
              <w:pStyle w:val="51"/>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规范》（GB</w:t>
            </w:r>
          </w:p>
          <w:p w14:paraId="42B97D39">
            <w:pPr>
              <w:pStyle w:val="51"/>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50169-2006）第 3.2.5</w:t>
            </w:r>
          </w:p>
          <w:p w14:paraId="45CAD630">
            <w:pPr>
              <w:pStyle w:val="51"/>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条</w:t>
            </w:r>
          </w:p>
        </w:tc>
        <w:tc>
          <w:tcPr>
            <w:tcW w:w="974" w:type="pct"/>
            <w:shd w:val="clear" w:color="auto" w:fill="auto"/>
            <w:noWrap w:val="0"/>
            <w:vAlign w:val="top"/>
          </w:tcPr>
          <w:p w14:paraId="1E9EBFF9">
            <w:pPr>
              <w:pStyle w:val="51"/>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p>
          <w:p w14:paraId="2CF9E299">
            <w:pPr>
              <w:pStyle w:val="51"/>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接地装置采用热镀 锌钢材。</w:t>
            </w:r>
          </w:p>
        </w:tc>
        <w:tc>
          <w:tcPr>
            <w:tcW w:w="478" w:type="pct"/>
            <w:shd w:val="clear" w:color="auto" w:fill="auto"/>
            <w:noWrap w:val="0"/>
            <w:vAlign w:val="top"/>
          </w:tcPr>
          <w:p w14:paraId="17CC8173">
            <w:pPr>
              <w:pStyle w:val="51"/>
              <w:keepNext w:val="0"/>
              <w:keepLines w:val="0"/>
              <w:pageBreakBefore w:val="0"/>
              <w:widowControl w:val="0"/>
              <w:kinsoku/>
              <w:bidi w:val="0"/>
              <w:jc w:val="both"/>
              <w:rPr>
                <w:rFonts w:hint="eastAsia" w:ascii="宋体" w:hAnsi="宋体" w:eastAsia="宋体" w:cs="宋体"/>
                <w:color w:val="000000" w:themeColor="text1"/>
                <w:sz w:val="21"/>
                <w:szCs w:val="21"/>
                <w14:textFill>
                  <w14:solidFill>
                    <w14:schemeClr w14:val="tx1"/>
                  </w14:solidFill>
                </w14:textFill>
              </w:rPr>
            </w:pPr>
          </w:p>
          <w:p w14:paraId="71CFA522">
            <w:pPr>
              <w:pStyle w:val="51"/>
              <w:keepNext w:val="0"/>
              <w:keepLines w:val="0"/>
              <w:pageBreakBefore w:val="0"/>
              <w:widowControl w:val="0"/>
              <w:kinsoku/>
              <w:bidi w:val="0"/>
              <w:jc w:val="both"/>
              <w:rPr>
                <w:rFonts w:hint="eastAsia" w:ascii="宋体" w:hAnsi="宋体" w:eastAsia="宋体" w:cs="宋体"/>
                <w:color w:val="000000" w:themeColor="text1"/>
                <w:kern w:val="2"/>
                <w:sz w:val="21"/>
                <w:szCs w:val="21"/>
                <w:lang w:val="en-US" w:eastAsia="en-US" w:bidi="ar-SA"/>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符合 </w:t>
            </w:r>
          </w:p>
        </w:tc>
      </w:tr>
      <w:tr w14:paraId="62A8E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275" w:type="pct"/>
            <w:noWrap w:val="0"/>
            <w:vAlign w:val="center"/>
          </w:tcPr>
          <w:p w14:paraId="31EE26A0">
            <w:pPr>
              <w:pStyle w:val="51"/>
              <w:keepNext w:val="0"/>
              <w:keepLines w:val="0"/>
              <w:pageBreakBefore w:val="0"/>
              <w:widowControl w:val="0"/>
              <w:numPr>
                <w:ilvl w:val="0"/>
                <w:numId w:val="0"/>
              </w:numPr>
              <w:tabs>
                <w:tab w:val="left" w:pos="0"/>
              </w:tabs>
              <w:kinsoku/>
              <w:bidi w:val="0"/>
              <w:ind w:leftChars="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7</w:t>
            </w:r>
          </w:p>
        </w:tc>
        <w:tc>
          <w:tcPr>
            <w:tcW w:w="1997" w:type="pct"/>
            <w:noWrap w:val="0"/>
            <w:vAlign w:val="center"/>
          </w:tcPr>
          <w:p w14:paraId="75CB01D2">
            <w:pPr>
              <w:pStyle w:val="51"/>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投入使用后的防雷装置实行定期检测制度。防雷装置应当每年检测一次，对爆炸和火灾危险环境场所的防雷装置应当每半年检测一次。</w:t>
            </w:r>
          </w:p>
        </w:tc>
        <w:tc>
          <w:tcPr>
            <w:tcW w:w="1273" w:type="pct"/>
            <w:noWrap w:val="0"/>
            <w:vAlign w:val="center"/>
          </w:tcPr>
          <w:p w14:paraId="24FC6AC1">
            <w:pPr>
              <w:pStyle w:val="51"/>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《防雷减灾管理办法》（中国气象局24号令）第19条</w:t>
            </w:r>
          </w:p>
        </w:tc>
        <w:tc>
          <w:tcPr>
            <w:tcW w:w="974" w:type="pct"/>
            <w:noWrap w:val="0"/>
            <w:vAlign w:val="center"/>
          </w:tcPr>
          <w:p w14:paraId="3A9780DB">
            <w:pPr>
              <w:pStyle w:val="51"/>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电站防雷装置委托有相应资质的防雷检测单位进行检测，结论为检测合格，并出具</w:t>
            </w:r>
            <w:r>
              <w:rPr>
                <w:rFonts w:hint="eastAsia" w:ascii="宋体" w:hAnsi="宋体" w:eastAsia="宋体" w:cs="宋体"/>
                <w:color w:val="000000" w:themeColor="text1"/>
                <w:sz w:val="21"/>
                <w:szCs w:val="21"/>
                <w:lang w:eastAsia="zh-CN"/>
                <w14:textFill>
                  <w14:solidFill>
                    <w14:schemeClr w14:val="tx1"/>
                  </w14:solidFill>
                </w14:textFill>
              </w:rPr>
              <w:t>了</w:t>
            </w:r>
            <w:r>
              <w:rPr>
                <w:rFonts w:hint="eastAsia" w:ascii="宋体" w:hAnsi="宋体" w:eastAsia="宋体" w:cs="宋体"/>
                <w:color w:val="000000" w:themeColor="text1"/>
                <w:sz w:val="21"/>
                <w:szCs w:val="21"/>
                <w14:textFill>
                  <w14:solidFill>
                    <w14:schemeClr w14:val="tx1"/>
                  </w14:solidFill>
                </w14:textFill>
              </w:rPr>
              <w:t>防雷检测报告。</w:t>
            </w:r>
            <w:r>
              <w:rPr>
                <w:rFonts w:hint="eastAsia" w:ascii="宋体" w:hAnsi="宋体" w:eastAsia="宋体" w:cs="宋体"/>
                <w:color w:val="000000" w:themeColor="text1"/>
                <w:sz w:val="21"/>
                <w:szCs w:val="21"/>
                <w:lang w:val="en-US" w:eastAsia="zh-CN"/>
                <w14:textFill>
                  <w14:solidFill>
                    <w14:schemeClr w14:val="tx1"/>
                  </w14:solidFill>
                </w14:textFill>
              </w:rPr>
              <w:t>(见附件23）</w:t>
            </w:r>
          </w:p>
        </w:tc>
        <w:tc>
          <w:tcPr>
            <w:tcW w:w="478" w:type="pct"/>
            <w:noWrap w:val="0"/>
            <w:vAlign w:val="center"/>
          </w:tcPr>
          <w:p w14:paraId="02B1816D">
            <w:pPr>
              <w:pStyle w:val="51"/>
              <w:keepNext w:val="0"/>
              <w:keepLines w:val="0"/>
              <w:pageBreakBefore w:val="0"/>
              <w:widowControl w:val="0"/>
              <w:kinsoku/>
              <w:bidi w:val="0"/>
              <w:jc w:val="both"/>
              <w:rPr>
                <w:rFonts w:hint="eastAsia" w:ascii="宋体" w:hAnsi="宋体" w:eastAsia="宋体" w:cs="宋体"/>
                <w:color w:val="000000" w:themeColor="text1"/>
                <w:sz w:val="21"/>
                <w:szCs w:val="21"/>
                <w:lang w:val="en-US" w:eastAsia="en-US"/>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符合</w:t>
            </w:r>
          </w:p>
        </w:tc>
      </w:tr>
    </w:tbl>
    <w:p w14:paraId="261944C7">
      <w:pPr>
        <w:pStyle w:val="14"/>
        <w:keepNext w:val="0"/>
        <w:keepLines w:val="0"/>
        <w:pageBreakBefore w:val="0"/>
        <w:widowControl w:val="0"/>
        <w:kinsoku/>
        <w:wordWrap/>
        <w:overflowPunct/>
        <w:topLinePunct w:val="0"/>
        <w:autoSpaceDE/>
        <w:autoSpaceDN/>
        <w:bidi w:val="0"/>
        <w:adjustRightInd/>
        <w:snapToGrid/>
        <w:spacing w:after="0" w:line="500" w:lineRule="exact"/>
        <w:ind w:left="130" w:right="102" w:firstLine="559"/>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spacing w:val="-5"/>
          <w14:textFill>
            <w14:solidFill>
              <w14:schemeClr w14:val="tx1"/>
            </w14:solidFill>
          </w14:textFill>
        </w:rPr>
        <w:t>评价分析：针对</w:t>
      </w:r>
      <w:r>
        <w:rPr>
          <w:rFonts w:hint="eastAsia" w:ascii="宋体" w:hAnsi="宋体" w:eastAsia="宋体" w:cs="宋体"/>
          <w:color w:val="000000" w:themeColor="text1"/>
          <w:spacing w:val="-5"/>
          <w:lang w:val="en-US" w:eastAsia="zh-CN"/>
          <w14:textFill>
            <w14:solidFill>
              <w14:schemeClr w14:val="tx1"/>
            </w14:solidFill>
          </w14:textFill>
        </w:rPr>
        <w:t>防雷、接地子单元</w:t>
      </w:r>
      <w:r>
        <w:rPr>
          <w:rFonts w:hint="eastAsia" w:ascii="宋体" w:hAnsi="宋体" w:eastAsia="宋体" w:cs="宋体"/>
          <w:color w:val="000000" w:themeColor="text1"/>
          <w:spacing w:val="-5"/>
          <w14:textFill>
            <w14:solidFill>
              <w14:schemeClr w14:val="tx1"/>
            </w14:solidFill>
          </w14:textFill>
        </w:rPr>
        <w:t>安全检查表内的</w:t>
      </w:r>
      <w:r>
        <w:rPr>
          <w:rFonts w:hint="eastAsia" w:ascii="宋体" w:hAnsi="宋体" w:eastAsia="宋体" w:cs="宋体"/>
          <w:color w:val="000000" w:themeColor="text1"/>
          <w:spacing w:val="-61"/>
          <w14:textFill>
            <w14:solidFill>
              <w14:schemeClr w14:val="tx1"/>
            </w14:solidFill>
          </w14:textFill>
        </w:rPr>
        <w:t xml:space="preserve"> </w:t>
      </w:r>
      <w:r>
        <w:rPr>
          <w:rFonts w:hint="eastAsia" w:ascii="宋体" w:hAnsi="宋体" w:cs="宋体"/>
          <w:color w:val="000000" w:themeColor="text1"/>
          <w:spacing w:val="-5"/>
          <w:lang w:val="en-US" w:eastAsia="zh-CN"/>
          <w14:textFill>
            <w14:solidFill>
              <w14:schemeClr w14:val="tx1"/>
            </w14:solidFill>
          </w14:textFill>
        </w:rPr>
        <w:t>7</w:t>
      </w:r>
      <w:r>
        <w:rPr>
          <w:rFonts w:hint="eastAsia" w:ascii="宋体" w:hAnsi="宋体" w:eastAsia="宋体" w:cs="宋体"/>
          <w:color w:val="000000" w:themeColor="text1"/>
          <w:spacing w:val="-5"/>
          <w14:textFill>
            <w14:solidFill>
              <w14:schemeClr w14:val="tx1"/>
            </w14:solidFill>
          </w14:textFill>
        </w:rPr>
        <w:t>项内容，其中</w:t>
      </w:r>
      <w:r>
        <w:rPr>
          <w:rFonts w:hint="eastAsia" w:ascii="宋体" w:hAnsi="宋体" w:cs="宋体"/>
          <w:color w:val="000000" w:themeColor="text1"/>
          <w:spacing w:val="-57"/>
          <w:lang w:val="en-US" w:eastAsia="zh-CN"/>
          <w14:textFill>
            <w14:solidFill>
              <w14:schemeClr w14:val="tx1"/>
            </w14:solidFill>
          </w14:textFill>
        </w:rPr>
        <w:t>7</w:t>
      </w:r>
      <w:r>
        <w:rPr>
          <w:rFonts w:hint="eastAsia" w:ascii="宋体" w:hAnsi="宋体" w:eastAsia="宋体" w:cs="宋体"/>
          <w:color w:val="000000" w:themeColor="text1"/>
          <w:spacing w:val="-5"/>
          <w14:textFill>
            <w14:solidFill>
              <w14:schemeClr w14:val="tx1"/>
            </w14:solidFill>
          </w14:textFill>
        </w:rPr>
        <w:t>项</w:t>
      </w:r>
      <w:r>
        <w:rPr>
          <w:rFonts w:hint="eastAsia" w:ascii="宋体" w:hAnsi="宋体" w:eastAsia="宋体" w:cs="宋体"/>
          <w:color w:val="000000" w:themeColor="text1"/>
          <w:spacing w:val="-6"/>
          <w14:textFill>
            <w14:solidFill>
              <w14:schemeClr w14:val="tx1"/>
            </w14:solidFill>
          </w14:textFill>
        </w:rPr>
        <w:t>合格，</w:t>
      </w:r>
      <w:r>
        <w:rPr>
          <w:rFonts w:hint="eastAsia" w:ascii="宋体" w:hAnsi="宋体" w:eastAsia="宋体" w:cs="宋体"/>
          <w:color w:val="000000" w:themeColor="text1"/>
          <w:spacing w:val="-6"/>
          <w:lang w:val="en-US" w:eastAsia="zh-CN"/>
          <w14:textFill>
            <w14:solidFill>
              <w14:schemeClr w14:val="tx1"/>
            </w14:solidFill>
          </w14:textFill>
        </w:rPr>
        <w:t>0</w:t>
      </w:r>
      <w:r>
        <w:rPr>
          <w:rFonts w:hint="eastAsia" w:ascii="宋体" w:hAnsi="宋体" w:eastAsia="宋体" w:cs="宋体"/>
          <w:color w:val="000000" w:themeColor="text1"/>
          <w:spacing w:val="-6"/>
          <w14:textFill>
            <w14:solidFill>
              <w14:schemeClr w14:val="tx1"/>
            </w14:solidFill>
          </w14:textFill>
        </w:rPr>
        <w:t>项不</w:t>
      </w:r>
      <w:r>
        <w:rPr>
          <w:rFonts w:hint="eastAsia" w:ascii="宋体" w:hAnsi="宋体" w:eastAsia="宋体" w:cs="宋体"/>
          <w:color w:val="000000" w:themeColor="text1"/>
          <w:spacing w:val="-4"/>
          <w14:textFill>
            <w14:solidFill>
              <w14:schemeClr w14:val="tx1"/>
            </w14:solidFill>
          </w14:textFill>
        </w:rPr>
        <w:t>合格。</w:t>
      </w:r>
    </w:p>
    <w:p w14:paraId="7FD5D7E5">
      <w:pPr>
        <w:pStyle w:val="5"/>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防雷、接地装置子单元小结</w:t>
      </w:r>
    </w:p>
    <w:p w14:paraId="563209F7">
      <w:pPr>
        <w:keepNext w:val="0"/>
        <w:keepLines w:val="0"/>
        <w:pageBreakBefore w:val="0"/>
        <w:widowControl w:val="0"/>
        <w:kinsoku/>
        <w:bidi w:val="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该光伏电站防雷设计符合《建筑物防雷设计规范》（GB500057-2010）及《交流电气装置的接地设计规范》（</w:t>
      </w:r>
      <w:r>
        <w:rPr>
          <w:rFonts w:hint="eastAsia"/>
          <w:color w:val="000000" w:themeColor="text1"/>
          <w:lang w:eastAsia="zh-CN"/>
          <w14:textFill>
            <w14:solidFill>
              <w14:schemeClr w14:val="tx1"/>
            </w14:solidFill>
          </w14:textFill>
        </w:rPr>
        <w:t>GB/T 50065-2011</w:t>
      </w:r>
      <w:r>
        <w:rPr>
          <w:rFonts w:hint="eastAsia"/>
          <w:color w:val="000000" w:themeColor="text1"/>
          <w:lang w:val="en-US" w:eastAsia="zh-CN"/>
          <w14:textFill>
            <w14:solidFill>
              <w14:schemeClr w14:val="tx1"/>
            </w14:solidFill>
          </w14:textFill>
        </w:rPr>
        <w:t>）等要求。</w:t>
      </w:r>
    </w:p>
    <w:p w14:paraId="4B319FCC">
      <w:pPr>
        <w:pStyle w:val="4"/>
        <w:bidi w:val="0"/>
        <w:rPr>
          <w:rFonts w:hint="eastAsia"/>
          <w:color w:val="000000" w:themeColor="text1"/>
          <w14:textFill>
            <w14:solidFill>
              <w14:schemeClr w14:val="tx1"/>
            </w14:solidFill>
          </w14:textFill>
        </w:rPr>
      </w:pPr>
      <w:bookmarkStart w:id="329" w:name="_Toc21939"/>
      <w:bookmarkStart w:id="330" w:name="_Toc13231"/>
      <w:r>
        <w:rPr>
          <w:rFonts w:hint="eastAsia"/>
          <w:color w:val="000000" w:themeColor="text1"/>
          <w14:textFill>
            <w14:solidFill>
              <w14:schemeClr w14:val="tx1"/>
            </w14:solidFill>
          </w14:textFill>
        </w:rPr>
        <w:t>安全工器具及个体防护</w:t>
      </w:r>
      <w:r>
        <w:rPr>
          <w:color w:val="000000" w:themeColor="text1"/>
          <w14:textFill>
            <w14:solidFill>
              <w14:schemeClr w14:val="tx1"/>
            </w14:solidFill>
          </w14:textFill>
        </w:rPr>
        <w:t>子单元</w:t>
      </w:r>
      <w:bookmarkEnd w:id="329"/>
      <w:bookmarkEnd w:id="330"/>
    </w:p>
    <w:p w14:paraId="60F0E236">
      <w:pPr>
        <w:pStyle w:val="5"/>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安全工器具及个体防护</w:t>
      </w:r>
      <w:r>
        <w:rPr>
          <w:color w:val="000000" w:themeColor="text1"/>
          <w14:textFill>
            <w14:solidFill>
              <w14:schemeClr w14:val="tx1"/>
            </w14:solidFill>
          </w14:textFill>
        </w:rPr>
        <w:t>子单元安全检查表</w:t>
      </w:r>
    </w:p>
    <w:p w14:paraId="62D1B02F">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该电站配置的安全工器具有接地线、令克棒、操作杆、各电压等级验电器等。个体防护用品有工作服、绝缘靴、绝缘手套、安全帽、安全绳等。依据《电力安全工作规程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发电厂和变电站电气部分》（GB26860-2011）</w:t>
      </w:r>
      <w:r>
        <w:rPr>
          <w:rFonts w:hint="eastAsia"/>
          <w:color w:val="000000" w:themeColor="text1"/>
          <w:lang w:eastAsia="zh-CN"/>
          <w14:textFill>
            <w14:solidFill>
              <w14:schemeClr w14:val="tx1"/>
            </w14:solidFill>
          </w14:textFill>
        </w:rPr>
        <w:t>及</w:t>
      </w:r>
      <w:r>
        <w:rPr>
          <w:rFonts w:hint="eastAsia" w:ascii="Times New Roman" w:hAnsi="Times New Roman" w:eastAsia="宋体" w:cs="Times New Roman"/>
          <w:color w:val="000000" w:themeColor="text1"/>
          <w14:textFill>
            <w14:solidFill>
              <w14:schemeClr w14:val="tx1"/>
            </w14:solidFill>
          </w14:textFill>
        </w:rPr>
        <w:t>《个体防护装备配备规范 第1部分：总则》（GB 39800.1-2020）</w:t>
      </w:r>
      <w:r>
        <w:rPr>
          <w:rFonts w:hint="eastAsia"/>
          <w:color w:val="000000" w:themeColor="text1"/>
          <w14:textFill>
            <w14:solidFill>
              <w14:schemeClr w14:val="tx1"/>
            </w14:solidFill>
          </w14:textFill>
        </w:rPr>
        <w:t>等的规定及相关行业的安全规定编制安全检查表，对本电站安全工器具进行对照检查，结果如表5-12。</w:t>
      </w:r>
    </w:p>
    <w:p w14:paraId="6854800B">
      <w:pPr>
        <w:pStyle w:val="12"/>
        <w:keepNext w:val="0"/>
        <w:keepLines w:val="0"/>
        <w:pageBreakBefore w:val="0"/>
        <w:widowControl w:val="0"/>
        <w:numPr>
          <w:ilvl w:val="0"/>
          <w:numId w:val="0"/>
        </w:numPr>
        <w:kinsoku/>
        <w:bidi w:val="0"/>
        <w:spacing w:line="360" w:lineRule="auto"/>
        <w:ind w:left="0" w:leftChars="0" w:firstLine="482" w:firstLineChars="200"/>
        <w:jc w:val="center"/>
        <w:rPr>
          <w:rFonts w:hint="eastAsia"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hint="eastAsia" w:ascii="宋体" w:hAnsi="宋体"/>
          <w:color w:val="000000" w:themeColor="text1"/>
          <w:sz w:val="24"/>
          <w:szCs w:val="24"/>
          <w14:textFill>
            <w14:solidFill>
              <w14:schemeClr w14:val="tx1"/>
            </w14:solidFill>
          </w14:textFill>
        </w:rPr>
        <w:t>安全工器具及个体防护安全检查表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57" w:type="dxa"/>
          <w:right w:w="108" w:type="dxa"/>
        </w:tblCellMar>
      </w:tblPr>
      <w:tblGrid>
        <w:gridCol w:w="608"/>
        <w:gridCol w:w="3526"/>
        <w:gridCol w:w="2276"/>
        <w:gridCol w:w="1924"/>
        <w:gridCol w:w="779"/>
      </w:tblGrid>
      <w:tr w14:paraId="6A435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tblHeader/>
          <w:jc w:val="center"/>
        </w:trPr>
        <w:tc>
          <w:tcPr>
            <w:tcW w:w="334" w:type="pct"/>
            <w:noWrap w:val="0"/>
            <w:vAlign w:val="center"/>
          </w:tcPr>
          <w:p w14:paraId="277CF78D">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934" w:type="pct"/>
            <w:noWrap w:val="0"/>
            <w:vAlign w:val="center"/>
          </w:tcPr>
          <w:p w14:paraId="444FB698">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检查内容</w:t>
            </w:r>
          </w:p>
        </w:tc>
        <w:tc>
          <w:tcPr>
            <w:tcW w:w="1248" w:type="pct"/>
            <w:noWrap w:val="0"/>
            <w:vAlign w:val="center"/>
          </w:tcPr>
          <w:p w14:paraId="1487EBBD">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检查依据</w:t>
            </w:r>
          </w:p>
        </w:tc>
        <w:tc>
          <w:tcPr>
            <w:tcW w:w="1055" w:type="pct"/>
            <w:noWrap w:val="0"/>
            <w:vAlign w:val="center"/>
          </w:tcPr>
          <w:p w14:paraId="3F8B1E76">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检查情况</w:t>
            </w:r>
          </w:p>
        </w:tc>
        <w:tc>
          <w:tcPr>
            <w:tcW w:w="427" w:type="pct"/>
            <w:noWrap w:val="0"/>
            <w:vAlign w:val="center"/>
          </w:tcPr>
          <w:p w14:paraId="20C3D4E5">
            <w:pPr>
              <w:pStyle w:val="51"/>
              <w:keepNext w:val="0"/>
              <w:keepLines w:val="0"/>
              <w:pageBreakBefore w:val="0"/>
              <w:widowControl w:val="0"/>
              <w:kinsoku/>
              <w:bidi w:val="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r>
      <w:tr w14:paraId="3AF0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34" w:type="pct"/>
            <w:noWrap w:val="0"/>
            <w:vAlign w:val="center"/>
          </w:tcPr>
          <w:p w14:paraId="37ACD953">
            <w:pPr>
              <w:pStyle w:val="51"/>
              <w:keepNext w:val="0"/>
              <w:keepLines w:val="0"/>
              <w:pageBreakBefore w:val="0"/>
              <w:widowControl w:val="0"/>
              <w:numPr>
                <w:ilvl w:val="0"/>
                <w:numId w:val="46"/>
              </w:numPr>
              <w:kinsoku/>
              <w:bidi w:val="0"/>
              <w:ind w:left="425" w:leftChars="0" w:hanging="425" w:firstLineChars="0"/>
              <w:rPr>
                <w:rFonts w:ascii="Times New Roman" w:hAnsi="Times New Roman" w:eastAsia="宋体" w:cs="Times New Roman"/>
                <w:color w:val="000000" w:themeColor="text1"/>
                <w14:textFill>
                  <w14:solidFill>
                    <w14:schemeClr w14:val="tx1"/>
                  </w14:solidFill>
                </w14:textFill>
              </w:rPr>
            </w:pPr>
          </w:p>
        </w:tc>
        <w:tc>
          <w:tcPr>
            <w:tcW w:w="1934" w:type="pct"/>
            <w:noWrap w:val="0"/>
            <w:vAlign w:val="center"/>
          </w:tcPr>
          <w:p w14:paraId="596B02E5">
            <w:pPr>
              <w:pStyle w:val="51"/>
              <w:keepNext w:val="0"/>
              <w:keepLines w:val="0"/>
              <w:pageBreakBefore w:val="0"/>
              <w:widowControl w:val="0"/>
              <w:kinsoku/>
              <w:bidi w:val="0"/>
              <w:jc w:val="both"/>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遇高压验电应戴绝缘手套，人体与被验电设备的距离应符合安全距离的要求。验电作业人员按要求佩戴劳动防护用品。</w:t>
            </w:r>
          </w:p>
        </w:tc>
        <w:tc>
          <w:tcPr>
            <w:tcW w:w="1248" w:type="pct"/>
            <w:noWrap w:val="0"/>
            <w:vAlign w:val="center"/>
          </w:tcPr>
          <w:p w14:paraId="7C809EFA">
            <w:pPr>
              <w:pStyle w:val="51"/>
              <w:keepNext w:val="0"/>
              <w:keepLines w:val="0"/>
              <w:pageBreakBefore w:val="0"/>
              <w:widowControl w:val="0"/>
              <w:kinsoku/>
              <w:bidi w:val="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GB26860-2011</w:t>
            </w:r>
            <w:r>
              <w:rPr>
                <w:rFonts w:hint="eastAsia"/>
                <w:color w:val="000000" w:themeColor="text1"/>
                <w:lang w:eastAsia="zh-CN"/>
                <w14:textFill>
                  <w14:solidFill>
                    <w14:schemeClr w14:val="tx1"/>
                  </w14:solidFill>
                </w14:textFill>
              </w:rPr>
              <w:t>）</w:t>
            </w:r>
          </w:p>
          <w:p w14:paraId="77F87D7D">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第6.3.2条</w:t>
            </w:r>
          </w:p>
        </w:tc>
        <w:tc>
          <w:tcPr>
            <w:tcW w:w="1055" w:type="pct"/>
            <w:noWrap w:val="0"/>
            <w:vAlign w:val="center"/>
          </w:tcPr>
          <w:p w14:paraId="4CF69FB4">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验电作业人员按要求佩戴劳动防护用品。</w:t>
            </w:r>
          </w:p>
        </w:tc>
        <w:tc>
          <w:tcPr>
            <w:tcW w:w="427" w:type="pct"/>
            <w:noWrap w:val="0"/>
            <w:vAlign w:val="center"/>
          </w:tcPr>
          <w:p w14:paraId="3D5B9876">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B783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34" w:type="pct"/>
            <w:noWrap w:val="0"/>
            <w:vAlign w:val="center"/>
          </w:tcPr>
          <w:p w14:paraId="39263E51">
            <w:pPr>
              <w:pStyle w:val="51"/>
              <w:keepNext w:val="0"/>
              <w:keepLines w:val="0"/>
              <w:pageBreakBefore w:val="0"/>
              <w:widowControl w:val="0"/>
              <w:numPr>
                <w:ilvl w:val="0"/>
                <w:numId w:val="46"/>
              </w:numPr>
              <w:kinsoku/>
              <w:bidi w:val="0"/>
              <w:ind w:left="425" w:leftChars="0" w:hanging="425" w:firstLineChars="0"/>
              <w:rPr>
                <w:rFonts w:ascii="Times New Roman" w:hAnsi="Times New Roman" w:eastAsia="宋体" w:cs="Times New Roman"/>
                <w:color w:val="000000" w:themeColor="text1"/>
                <w14:textFill>
                  <w14:solidFill>
                    <w14:schemeClr w14:val="tx1"/>
                  </w14:solidFill>
                </w14:textFill>
              </w:rPr>
            </w:pPr>
          </w:p>
        </w:tc>
        <w:tc>
          <w:tcPr>
            <w:tcW w:w="1934" w:type="pct"/>
            <w:noWrap w:val="0"/>
            <w:vAlign w:val="center"/>
          </w:tcPr>
          <w:p w14:paraId="3E3F96C2">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雷雨天气巡视室外高压设备时，应穿绝靴，不应使用伞具，不应靠近避雷器和雷针。</w:t>
            </w:r>
          </w:p>
        </w:tc>
        <w:tc>
          <w:tcPr>
            <w:tcW w:w="1248" w:type="pct"/>
            <w:noWrap w:val="0"/>
            <w:vAlign w:val="center"/>
          </w:tcPr>
          <w:p w14:paraId="6AD9C8F3">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GB26860-2011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第7.2.2条</w:t>
            </w:r>
          </w:p>
        </w:tc>
        <w:tc>
          <w:tcPr>
            <w:tcW w:w="1055" w:type="pct"/>
            <w:noWrap w:val="0"/>
            <w:vAlign w:val="center"/>
          </w:tcPr>
          <w:p w14:paraId="52F9CD24">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电站有此规定，电站运行人员按规定执行。</w:t>
            </w:r>
          </w:p>
        </w:tc>
        <w:tc>
          <w:tcPr>
            <w:tcW w:w="427" w:type="pct"/>
            <w:noWrap w:val="0"/>
            <w:vAlign w:val="center"/>
          </w:tcPr>
          <w:p w14:paraId="7F9128E3">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6E31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3" w:hRule="atLeast"/>
          <w:jc w:val="center"/>
        </w:trPr>
        <w:tc>
          <w:tcPr>
            <w:tcW w:w="334" w:type="pct"/>
            <w:noWrap w:val="0"/>
            <w:vAlign w:val="center"/>
          </w:tcPr>
          <w:p w14:paraId="416542C1">
            <w:pPr>
              <w:pStyle w:val="51"/>
              <w:keepNext w:val="0"/>
              <w:keepLines w:val="0"/>
              <w:pageBreakBefore w:val="0"/>
              <w:widowControl w:val="0"/>
              <w:numPr>
                <w:ilvl w:val="0"/>
                <w:numId w:val="46"/>
              </w:numPr>
              <w:kinsoku/>
              <w:bidi w:val="0"/>
              <w:ind w:left="425" w:leftChars="0" w:hanging="425" w:firstLineChars="0"/>
              <w:rPr>
                <w:rFonts w:ascii="Times New Roman" w:hAnsi="Times New Roman" w:eastAsia="宋体" w:cs="Times New Roman"/>
                <w:color w:val="000000" w:themeColor="text1"/>
                <w14:textFill>
                  <w14:solidFill>
                    <w14:schemeClr w14:val="tx1"/>
                  </w14:solidFill>
                </w14:textFill>
              </w:rPr>
            </w:pPr>
          </w:p>
        </w:tc>
        <w:tc>
          <w:tcPr>
            <w:tcW w:w="1934" w:type="pct"/>
            <w:noWrap w:val="0"/>
            <w:vAlign w:val="center"/>
          </w:tcPr>
          <w:p w14:paraId="11CEE167">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低压不停电工作，应站在干燥的绝缘物上，使用有绝缘柄的工具，穿绝缘鞋和棉长袖工作服，戴手套和护目眼镜。</w:t>
            </w:r>
          </w:p>
        </w:tc>
        <w:tc>
          <w:tcPr>
            <w:tcW w:w="1248" w:type="pct"/>
            <w:noWrap w:val="0"/>
            <w:vAlign w:val="center"/>
          </w:tcPr>
          <w:p w14:paraId="01539840">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电力安全工作规程</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发电厂和变电站电气部分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GB26860-2011</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第6.3.2条</w:t>
            </w:r>
          </w:p>
        </w:tc>
        <w:tc>
          <w:tcPr>
            <w:tcW w:w="1055" w:type="pct"/>
            <w:noWrap w:val="0"/>
            <w:vAlign w:val="center"/>
          </w:tcPr>
          <w:p w14:paraId="2DB90AB1">
            <w:pPr>
              <w:pStyle w:val="51"/>
              <w:keepNext w:val="0"/>
              <w:keepLines w:val="0"/>
              <w:pageBreakBefore w:val="0"/>
              <w:widowControl w:val="0"/>
              <w:kinsoku/>
              <w:bidi w:val="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电站有此规定，电站运行人员按规定执行。</w:t>
            </w:r>
          </w:p>
        </w:tc>
        <w:tc>
          <w:tcPr>
            <w:tcW w:w="427" w:type="pct"/>
            <w:noWrap w:val="0"/>
            <w:vAlign w:val="center"/>
          </w:tcPr>
          <w:p w14:paraId="193F85F0">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7782CB79">
      <w:pPr>
        <w:pStyle w:val="14"/>
        <w:keepNext w:val="0"/>
        <w:keepLines w:val="0"/>
        <w:pageBreakBefore w:val="0"/>
        <w:widowControl w:val="0"/>
        <w:kinsoku/>
        <w:wordWrap/>
        <w:overflowPunct/>
        <w:topLinePunct w:val="0"/>
        <w:autoSpaceDE/>
        <w:autoSpaceDN/>
        <w:bidi w:val="0"/>
        <w:adjustRightInd/>
        <w:snapToGrid/>
        <w:spacing w:after="0" w:line="500" w:lineRule="exact"/>
        <w:ind w:left="130" w:right="102" w:firstLine="559"/>
        <w:textAlignment w:val="auto"/>
        <w:rPr>
          <w:rFonts w:hint="eastAsia"/>
          <w:color w:val="000000" w:themeColor="text1"/>
          <w14:textFill>
            <w14:solidFill>
              <w14:schemeClr w14:val="tx1"/>
            </w14:solidFill>
          </w14:textFill>
        </w:rPr>
      </w:pPr>
      <w:r>
        <w:rPr>
          <w:rFonts w:hint="eastAsia" w:ascii="宋体" w:hAnsi="宋体" w:eastAsia="宋体" w:cs="宋体"/>
          <w:color w:val="000000" w:themeColor="text1"/>
          <w:spacing w:val="-5"/>
          <w14:textFill>
            <w14:solidFill>
              <w14:schemeClr w14:val="tx1"/>
            </w14:solidFill>
          </w14:textFill>
        </w:rPr>
        <w:t>评价分析：针对</w:t>
      </w:r>
      <w:r>
        <w:rPr>
          <w:rFonts w:hint="eastAsia" w:ascii="宋体" w:hAnsi="宋体" w:eastAsia="宋体" w:cs="宋体"/>
          <w:color w:val="000000" w:themeColor="text1"/>
          <w:spacing w:val="-5"/>
          <w:lang w:val="en-US" w:eastAsia="zh-CN"/>
          <w14:textFill>
            <w14:solidFill>
              <w14:schemeClr w14:val="tx1"/>
            </w14:solidFill>
          </w14:textFill>
        </w:rPr>
        <w:t>安全工器具及个人防护子单元</w:t>
      </w:r>
      <w:r>
        <w:rPr>
          <w:rFonts w:hint="eastAsia" w:ascii="宋体" w:hAnsi="宋体" w:eastAsia="宋体" w:cs="宋体"/>
          <w:color w:val="000000" w:themeColor="text1"/>
          <w:spacing w:val="-5"/>
          <w14:textFill>
            <w14:solidFill>
              <w14:schemeClr w14:val="tx1"/>
            </w14:solidFill>
          </w14:textFill>
        </w:rPr>
        <w:t>安全检查表内的</w:t>
      </w:r>
      <w:r>
        <w:rPr>
          <w:rFonts w:hint="eastAsia" w:ascii="宋体" w:hAnsi="宋体" w:eastAsia="宋体" w:cs="宋体"/>
          <w:color w:val="000000" w:themeColor="text1"/>
          <w:spacing w:val="-61"/>
          <w14:textFill>
            <w14:solidFill>
              <w14:schemeClr w14:val="tx1"/>
            </w14:solidFill>
          </w14:textFill>
        </w:rPr>
        <w:t xml:space="preserve"> </w:t>
      </w:r>
      <w:r>
        <w:rPr>
          <w:rFonts w:hint="eastAsia" w:ascii="宋体" w:hAnsi="宋体" w:eastAsia="宋体" w:cs="宋体"/>
          <w:color w:val="000000" w:themeColor="text1"/>
          <w:spacing w:val="-5"/>
          <w:lang w:val="en-US" w:eastAsia="zh-CN"/>
          <w14:textFill>
            <w14:solidFill>
              <w14:schemeClr w14:val="tx1"/>
            </w14:solidFill>
          </w14:textFill>
        </w:rPr>
        <w:t>3</w:t>
      </w:r>
      <w:r>
        <w:rPr>
          <w:rFonts w:hint="eastAsia" w:ascii="宋体" w:hAnsi="宋体" w:eastAsia="宋体" w:cs="宋体"/>
          <w:color w:val="000000" w:themeColor="text1"/>
          <w:spacing w:val="-5"/>
          <w14:textFill>
            <w14:solidFill>
              <w14:schemeClr w14:val="tx1"/>
            </w14:solidFill>
          </w14:textFill>
        </w:rPr>
        <w:t>项内容，其中</w:t>
      </w:r>
      <w:r>
        <w:rPr>
          <w:rFonts w:hint="eastAsia" w:ascii="宋体" w:hAnsi="宋体" w:eastAsia="宋体" w:cs="宋体"/>
          <w:color w:val="000000" w:themeColor="text1"/>
          <w:spacing w:val="-57"/>
          <w:lang w:val="en-US" w:eastAsia="zh-CN"/>
          <w14:textFill>
            <w14:solidFill>
              <w14:schemeClr w14:val="tx1"/>
            </w14:solidFill>
          </w14:textFill>
        </w:rPr>
        <w:t>3</w:t>
      </w:r>
      <w:r>
        <w:rPr>
          <w:rFonts w:hint="eastAsia" w:ascii="宋体" w:hAnsi="宋体" w:eastAsia="宋体" w:cs="宋体"/>
          <w:color w:val="000000" w:themeColor="text1"/>
          <w:spacing w:val="-5"/>
          <w14:textFill>
            <w14:solidFill>
              <w14:schemeClr w14:val="tx1"/>
            </w14:solidFill>
          </w14:textFill>
        </w:rPr>
        <w:t>项</w:t>
      </w:r>
      <w:r>
        <w:rPr>
          <w:rFonts w:hint="eastAsia" w:ascii="宋体" w:hAnsi="宋体" w:eastAsia="宋体" w:cs="宋体"/>
          <w:color w:val="000000" w:themeColor="text1"/>
          <w:spacing w:val="-6"/>
          <w14:textFill>
            <w14:solidFill>
              <w14:schemeClr w14:val="tx1"/>
            </w14:solidFill>
          </w14:textFill>
        </w:rPr>
        <w:t>合格，</w:t>
      </w:r>
      <w:r>
        <w:rPr>
          <w:rFonts w:hint="eastAsia" w:ascii="宋体" w:hAnsi="宋体" w:eastAsia="宋体" w:cs="宋体"/>
          <w:color w:val="000000" w:themeColor="text1"/>
          <w:spacing w:val="-6"/>
          <w:lang w:val="en-US" w:eastAsia="zh-CN"/>
          <w14:textFill>
            <w14:solidFill>
              <w14:schemeClr w14:val="tx1"/>
            </w14:solidFill>
          </w14:textFill>
        </w:rPr>
        <w:t>0</w:t>
      </w:r>
      <w:r>
        <w:rPr>
          <w:rFonts w:hint="eastAsia" w:ascii="宋体" w:hAnsi="宋体" w:eastAsia="宋体" w:cs="宋体"/>
          <w:color w:val="000000" w:themeColor="text1"/>
          <w:spacing w:val="-6"/>
          <w14:textFill>
            <w14:solidFill>
              <w14:schemeClr w14:val="tx1"/>
            </w14:solidFill>
          </w14:textFill>
        </w:rPr>
        <w:t>项不</w:t>
      </w:r>
      <w:r>
        <w:rPr>
          <w:rFonts w:hint="eastAsia" w:ascii="宋体" w:hAnsi="宋体" w:eastAsia="宋体" w:cs="宋体"/>
          <w:color w:val="000000" w:themeColor="text1"/>
          <w:spacing w:val="-4"/>
          <w14:textFill>
            <w14:solidFill>
              <w14:schemeClr w14:val="tx1"/>
            </w14:solidFill>
          </w14:textFill>
        </w:rPr>
        <w:t>合格。</w:t>
      </w:r>
    </w:p>
    <w:p w14:paraId="59FFD609">
      <w:pPr>
        <w:pStyle w:val="5"/>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安全工器具及个体防护子单元小结</w:t>
      </w:r>
    </w:p>
    <w:p w14:paraId="6E02A85E">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电站配置了绝缘鞋、绝缘手套、绝缘棒、安全帽、验电器、令克棒、接地等安全器具；为职工发放了工作服、绝缘手套等劳动防护用品。并给职工购买了工伤保险，能够满足职工的生产生活安全防护保障，符合安全生产的要求。</w:t>
      </w:r>
    </w:p>
    <w:p w14:paraId="79440EE4">
      <w:pPr>
        <w:pStyle w:val="4"/>
        <w:bidi w:val="0"/>
        <w:rPr>
          <w:color w:val="000000" w:themeColor="text1"/>
          <w14:textFill>
            <w14:solidFill>
              <w14:schemeClr w14:val="tx1"/>
            </w14:solidFill>
          </w14:textFill>
        </w:rPr>
      </w:pPr>
      <w:bookmarkStart w:id="331" w:name="_Toc31921"/>
      <w:bookmarkStart w:id="332" w:name="_Toc10055"/>
      <w:r>
        <w:rPr>
          <w:rFonts w:hint="eastAsia"/>
          <w:color w:val="000000" w:themeColor="text1"/>
          <w14:textFill>
            <w14:solidFill>
              <w14:schemeClr w14:val="tx1"/>
            </w14:solidFill>
          </w14:textFill>
        </w:rPr>
        <w:t>单元</w:t>
      </w:r>
      <w:r>
        <w:rPr>
          <w:color w:val="000000" w:themeColor="text1"/>
          <w14:textFill>
            <w14:solidFill>
              <w14:schemeClr w14:val="tx1"/>
            </w14:solidFill>
          </w14:textFill>
        </w:rPr>
        <w:t>小结</w:t>
      </w:r>
      <w:bookmarkEnd w:id="331"/>
      <w:bookmarkEnd w:id="332"/>
    </w:p>
    <w:p w14:paraId="671BD068">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电站的防火</w:t>
      </w:r>
      <w:r>
        <w:rPr>
          <w:rFonts w:hint="eastAsia"/>
          <w:color w:val="000000" w:themeColor="text1"/>
          <w:lang w:eastAsia="zh-CN"/>
          <w14:textFill>
            <w14:solidFill>
              <w14:schemeClr w14:val="tx1"/>
            </w14:solidFill>
          </w14:textFill>
        </w:rPr>
        <w:t>建设情况</w:t>
      </w:r>
      <w:r>
        <w:rPr>
          <w:rFonts w:hint="eastAsia"/>
          <w:color w:val="000000" w:themeColor="text1"/>
          <w14:textFill>
            <w14:solidFill>
              <w14:schemeClr w14:val="tx1"/>
            </w14:solidFill>
          </w14:textFill>
        </w:rPr>
        <w:t>符合相关规范要求，开关站设有安全通道、安全出口、防火门。易燃易爆场所配备灭火器</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消防栓和火灾报警系统。</w:t>
      </w:r>
    </w:p>
    <w:p w14:paraId="3D81B0F7">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方阵设置水平接地带和垂直接地极相结合的接地网。将安全接地、工作接地统一为一个共用接地装置，接地电阻业主单位自行进行了检测合格。该电站配置的安全工器具有接地线、令克棒、操作杆、各电压等级验电器等。个体防护用品有工作服、绝缘靴、绝缘手套、安全帽、安全绳、防毒面具等。</w:t>
      </w:r>
    </w:p>
    <w:p w14:paraId="5E57E4EF">
      <w:pPr>
        <w:pStyle w:val="3"/>
        <w:bidi w:val="0"/>
        <w:rPr>
          <w:color w:val="000000" w:themeColor="text1"/>
          <w14:textFill>
            <w14:solidFill>
              <w14:schemeClr w14:val="tx1"/>
            </w14:solidFill>
          </w14:textFill>
        </w:rPr>
      </w:pPr>
      <w:bookmarkStart w:id="333" w:name="_Toc18718"/>
      <w:bookmarkStart w:id="334" w:name="_Toc440010414"/>
      <w:bookmarkStart w:id="335" w:name="_Toc18024"/>
      <w:bookmarkStart w:id="336" w:name="_Toc14815"/>
      <w:r>
        <w:rPr>
          <w:color w:val="000000" w:themeColor="text1"/>
          <w14:textFill>
            <w14:solidFill>
              <w14:schemeClr w14:val="tx1"/>
            </w14:solidFill>
          </w14:textFill>
        </w:rPr>
        <w:t>公用工程</w:t>
      </w:r>
      <w:r>
        <w:rPr>
          <w:rFonts w:hint="eastAsia"/>
          <w:color w:val="000000" w:themeColor="text1"/>
          <w:lang w:val="en-US" w:eastAsia="zh-CN"/>
          <w14:textFill>
            <w14:solidFill>
              <w14:schemeClr w14:val="tx1"/>
            </w14:solidFill>
          </w14:textFill>
        </w:rPr>
        <w:t>及辅助设施</w:t>
      </w:r>
      <w:r>
        <w:rPr>
          <w:color w:val="000000" w:themeColor="text1"/>
          <w14:textFill>
            <w14:solidFill>
              <w14:schemeClr w14:val="tx1"/>
            </w14:solidFill>
          </w14:textFill>
        </w:rPr>
        <w:t>评价单元</w:t>
      </w:r>
      <w:bookmarkEnd w:id="333"/>
      <w:bookmarkEnd w:id="334"/>
      <w:bookmarkEnd w:id="335"/>
      <w:bookmarkEnd w:id="336"/>
    </w:p>
    <w:p w14:paraId="0E60343E">
      <w:pPr>
        <w:keepNext w:val="0"/>
        <w:keepLines w:val="0"/>
        <w:pageBreakBefore w:val="0"/>
        <w:widowControl w:val="0"/>
        <w:kinsoku/>
        <w:wordWrap/>
        <w:overflowPunct/>
        <w:topLinePunct/>
        <w:autoSpaceDE/>
        <w:autoSpaceDN/>
        <w:bidi w:val="0"/>
        <w:adjustRightInd/>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本单元包括消防、给排水、采暖通风及照明等子单元。根据《消防法</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建筑设计防火规范</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2018年版）</w:t>
      </w:r>
      <w:r>
        <w:rPr>
          <w:rFonts w:hint="eastAsia" w:ascii="宋体" w:hAnsi="宋体" w:eastAsia="宋体" w:cs="宋体"/>
          <w:color w:val="000000" w:themeColor="text1"/>
          <w:sz w:val="28"/>
          <w:szCs w:val="28"/>
          <w14:textFill>
            <w14:solidFill>
              <w14:schemeClr w14:val="tx1"/>
            </w14:solidFill>
          </w14:textFill>
        </w:rPr>
        <w:t>》（GB50016－2014）、《工业企业设计卫生标准》（GBZ1-2010）、《建筑灭火器配置设计规范》（GB50140—2005）编制安全检查表，对各个子单元进行符合性检查。具体情况见以下各个安全检查表。</w:t>
      </w:r>
    </w:p>
    <w:p w14:paraId="362E3A31">
      <w:pPr>
        <w:pStyle w:val="4"/>
        <w:bidi w:val="0"/>
        <w:rPr>
          <w:color w:val="000000" w:themeColor="text1"/>
          <w14:textFill>
            <w14:solidFill>
              <w14:schemeClr w14:val="tx1"/>
            </w14:solidFill>
          </w14:textFill>
        </w:rPr>
      </w:pPr>
      <w:bookmarkStart w:id="337" w:name="_Toc10157"/>
      <w:bookmarkStart w:id="338" w:name="_Toc12901"/>
      <w:r>
        <w:rPr>
          <w:color w:val="000000" w:themeColor="text1"/>
          <w14:textFill>
            <w14:solidFill>
              <w14:schemeClr w14:val="tx1"/>
            </w14:solidFill>
          </w14:textFill>
        </w:rPr>
        <w:t>消防系统子单元</w:t>
      </w:r>
      <w:bookmarkEnd w:id="337"/>
      <w:bookmarkEnd w:id="338"/>
    </w:p>
    <w:p w14:paraId="6350640B">
      <w:pPr>
        <w:pStyle w:val="5"/>
        <w:keepNext w:val="0"/>
        <w:keepLines w:val="0"/>
        <w:pageBreakBefore w:val="0"/>
        <w:widowControl w:val="0"/>
        <w:tabs>
          <w:tab w:val="left" w:pos="0"/>
          <w:tab w:val="clear" w:pos="420"/>
        </w:tabs>
        <w:kinsoku/>
        <w:bidi w:val="0"/>
        <w:outlineLvl w:val="3"/>
        <w:rPr>
          <w:color w:val="000000" w:themeColor="text1"/>
          <w14:textFill>
            <w14:solidFill>
              <w14:schemeClr w14:val="tx1"/>
            </w14:solidFill>
          </w14:textFill>
        </w:rPr>
      </w:pPr>
      <w:r>
        <w:rPr>
          <w:color w:val="000000" w:themeColor="text1"/>
          <w14:textFill>
            <w14:solidFill>
              <w14:schemeClr w14:val="tx1"/>
            </w14:solidFill>
          </w14:textFill>
        </w:rPr>
        <w:t>消防系统子单元安全检查表</w:t>
      </w:r>
    </w:p>
    <w:p w14:paraId="24E21600">
      <w:pPr>
        <w:pStyle w:val="12"/>
        <w:keepNext w:val="0"/>
        <w:keepLines w:val="0"/>
        <w:pageBreakBefore w:val="0"/>
        <w:widowControl w:val="0"/>
        <w:numPr>
          <w:ilvl w:val="0"/>
          <w:numId w:val="0"/>
        </w:numPr>
        <w:kinsoku/>
        <w:bidi w:val="0"/>
        <w:spacing w:line="360" w:lineRule="auto"/>
        <w:ind w:left="0" w:leftChars="0" w:right="0" w:rightChars="0" w:firstLine="0" w:firstLineChars="0"/>
        <w:jc w:val="center"/>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14</w:t>
      </w:r>
      <w:r>
        <w:rPr>
          <w:color w:val="000000" w:themeColor="text1"/>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t>消防系统子单元安全检查表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3826"/>
        <w:gridCol w:w="2294"/>
        <w:gridCol w:w="1812"/>
        <w:gridCol w:w="755"/>
      </w:tblGrid>
      <w:tr w14:paraId="22AB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blHeader/>
          <w:jc w:val="center"/>
        </w:trPr>
        <w:tc>
          <w:tcPr>
            <w:tcW w:w="233" w:type="pct"/>
            <w:noWrap w:val="0"/>
            <w:vAlign w:val="center"/>
          </w:tcPr>
          <w:p w14:paraId="1E83682D">
            <w:pPr>
              <w:pStyle w:val="50"/>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2099" w:type="pct"/>
            <w:noWrap w:val="0"/>
            <w:vAlign w:val="center"/>
          </w:tcPr>
          <w:p w14:paraId="55329D77">
            <w:pPr>
              <w:pStyle w:val="50"/>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检查内容</w:t>
            </w:r>
          </w:p>
        </w:tc>
        <w:tc>
          <w:tcPr>
            <w:tcW w:w="1258" w:type="pct"/>
            <w:noWrap w:val="0"/>
            <w:vAlign w:val="center"/>
          </w:tcPr>
          <w:p w14:paraId="1A293E20">
            <w:pPr>
              <w:pStyle w:val="50"/>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依据标准</w:t>
            </w:r>
          </w:p>
        </w:tc>
        <w:tc>
          <w:tcPr>
            <w:tcW w:w="994" w:type="pct"/>
            <w:noWrap w:val="0"/>
            <w:vAlign w:val="center"/>
          </w:tcPr>
          <w:p w14:paraId="51D7231C">
            <w:pPr>
              <w:pStyle w:val="50"/>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检查情况</w:t>
            </w:r>
          </w:p>
        </w:tc>
        <w:tc>
          <w:tcPr>
            <w:tcW w:w="414" w:type="pct"/>
            <w:noWrap w:val="0"/>
            <w:vAlign w:val="center"/>
          </w:tcPr>
          <w:p w14:paraId="34C7127C">
            <w:pPr>
              <w:pStyle w:val="50"/>
              <w:keepNext w:val="0"/>
              <w:keepLines w:val="0"/>
              <w:pageBreakBefore w:val="0"/>
              <w:widowControl w:val="0"/>
              <w:kinsoku/>
              <w:bidi w:val="0"/>
              <w:ind w:left="0" w:leftChars="0" w:right="0" w:rightChars="0"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检查结果</w:t>
            </w:r>
          </w:p>
        </w:tc>
      </w:tr>
      <w:tr w14:paraId="51C2A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6045853D">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3D601AE3">
            <w:pPr>
              <w:pStyle w:val="50"/>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火灾自动报警系统设备应选择符合国家有关标准和有关市场准入制度的产品。</w:t>
            </w:r>
          </w:p>
        </w:tc>
        <w:tc>
          <w:tcPr>
            <w:tcW w:w="1258" w:type="pct"/>
            <w:noWrap w:val="0"/>
            <w:vAlign w:val="center"/>
          </w:tcPr>
          <w:p w14:paraId="2C43E5C7">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《火灾自动报警系统设计规范》（</w:t>
            </w:r>
            <w:r>
              <w:rPr>
                <w:rFonts w:hint="eastAsia"/>
                <w:color w:val="000000" w:themeColor="text1"/>
                <w:sz w:val="21"/>
                <w:szCs w:val="21"/>
                <w:lang w:eastAsia="zh-CN"/>
                <w14:textFill>
                  <w14:solidFill>
                    <w14:schemeClr w14:val="tx1"/>
                  </w14:solidFill>
                </w14:textFill>
              </w:rPr>
              <w:t>GB 50116-2013</w:t>
            </w:r>
            <w:r>
              <w:rPr>
                <w:color w:val="000000" w:themeColor="text1"/>
                <w:sz w:val="21"/>
                <w:szCs w:val="21"/>
                <w14:textFill>
                  <w14:solidFill>
                    <w14:schemeClr w14:val="tx1"/>
                  </w14:solidFill>
                </w14:textFill>
              </w:rPr>
              <w:t>）</w:t>
            </w:r>
          </w:p>
          <w:p w14:paraId="25127D7B">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w:t>
            </w:r>
            <w:r>
              <w:rPr>
                <w:rFonts w:hint="eastAsia"/>
                <w:color w:val="000000" w:themeColor="text1"/>
                <w:sz w:val="21"/>
                <w:szCs w:val="21"/>
                <w:lang w:val="en-US" w:eastAsia="zh-CN"/>
                <w14:textFill>
                  <w14:solidFill>
                    <w14:schemeClr w14:val="tx1"/>
                  </w14:solidFill>
                </w14:textFill>
              </w:rPr>
              <w:t>3.</w:t>
            </w:r>
            <w:r>
              <w:rPr>
                <w:color w:val="000000" w:themeColor="text1"/>
                <w:sz w:val="21"/>
                <w:szCs w:val="21"/>
                <w14:textFill>
                  <w14:solidFill>
                    <w14:schemeClr w14:val="tx1"/>
                  </w14:solidFill>
                </w14:textFill>
              </w:rPr>
              <w:t>1.3条</w:t>
            </w:r>
          </w:p>
        </w:tc>
        <w:tc>
          <w:tcPr>
            <w:tcW w:w="994" w:type="pct"/>
            <w:noWrap w:val="0"/>
            <w:vAlign w:val="center"/>
          </w:tcPr>
          <w:p w14:paraId="7BAB4ADB">
            <w:pPr>
              <w:pStyle w:val="50"/>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火灾自动报警系统采用检验合格的产品。</w:t>
            </w:r>
          </w:p>
        </w:tc>
        <w:tc>
          <w:tcPr>
            <w:tcW w:w="414" w:type="pct"/>
            <w:noWrap w:val="0"/>
            <w:vAlign w:val="center"/>
          </w:tcPr>
          <w:p w14:paraId="098875A8">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7C857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1BE91F2D">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44B32B80">
            <w:pPr>
              <w:pStyle w:val="50"/>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一个灭火器配置场所内的灭火器不应少于2具。每个设置点的灭火器不宜多于5具。</w:t>
            </w:r>
          </w:p>
        </w:tc>
        <w:tc>
          <w:tcPr>
            <w:tcW w:w="1258" w:type="pct"/>
            <w:noWrap w:val="0"/>
            <w:vAlign w:val="center"/>
          </w:tcPr>
          <w:p w14:paraId="1600303F">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2005）第4.0.7条</w:t>
            </w:r>
          </w:p>
        </w:tc>
        <w:tc>
          <w:tcPr>
            <w:tcW w:w="994" w:type="pct"/>
            <w:noWrap w:val="0"/>
            <w:vAlign w:val="center"/>
          </w:tcPr>
          <w:p w14:paraId="6AD734EE">
            <w:pPr>
              <w:pStyle w:val="50"/>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按</w:t>
            </w:r>
            <w:r>
              <w:rPr>
                <w:color w:val="000000" w:themeColor="text1"/>
                <w:sz w:val="21"/>
                <w:szCs w:val="21"/>
                <w14:textFill>
                  <w14:solidFill>
                    <w14:schemeClr w14:val="tx1"/>
                  </w14:solidFill>
                </w14:textFill>
              </w:rPr>
              <w:t>规定配置了灭火器材</w:t>
            </w:r>
            <w:r>
              <w:rPr>
                <w:rFonts w:hint="eastAsia"/>
                <w:color w:val="000000" w:themeColor="text1"/>
                <w:sz w:val="21"/>
                <w:szCs w:val="21"/>
                <w:lang w:eastAsia="zh-CN"/>
                <w14:textFill>
                  <w14:solidFill>
                    <w14:schemeClr w14:val="tx1"/>
                  </w14:solidFill>
                </w14:textFill>
              </w:rPr>
              <w:t>，每个设置点</w:t>
            </w:r>
            <w:r>
              <w:rPr>
                <w:rFonts w:hint="eastAsia"/>
                <w:color w:val="000000" w:themeColor="text1"/>
                <w:sz w:val="21"/>
                <w:szCs w:val="21"/>
                <w:lang w:val="en-US" w:eastAsia="zh-CN"/>
                <w14:textFill>
                  <w14:solidFill>
                    <w14:schemeClr w14:val="tx1"/>
                  </w14:solidFill>
                </w14:textFill>
              </w:rPr>
              <w:t>2</w:t>
            </w:r>
            <w:r>
              <w:rPr>
                <w:rFonts w:hint="eastAsia"/>
                <w:color w:val="000000" w:themeColor="text1"/>
                <w:sz w:val="21"/>
                <w:szCs w:val="21"/>
                <w:lang w:eastAsia="zh-CN"/>
                <w14:textFill>
                  <w14:solidFill>
                    <w14:schemeClr w14:val="tx1"/>
                  </w14:solidFill>
                </w14:textFill>
              </w:rPr>
              <w:t>具</w:t>
            </w:r>
            <w:r>
              <w:rPr>
                <w:color w:val="000000" w:themeColor="text1"/>
                <w:sz w:val="21"/>
                <w:szCs w:val="21"/>
                <w14:textFill>
                  <w14:solidFill>
                    <w14:schemeClr w14:val="tx1"/>
                  </w14:solidFill>
                </w14:textFill>
              </w:rPr>
              <w:t>。</w:t>
            </w:r>
          </w:p>
        </w:tc>
        <w:tc>
          <w:tcPr>
            <w:tcW w:w="414" w:type="pct"/>
            <w:noWrap w:val="0"/>
            <w:vAlign w:val="center"/>
          </w:tcPr>
          <w:p w14:paraId="478B910E">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10F5D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112FFADE">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06B7A67F">
            <w:pPr>
              <w:pStyle w:val="50"/>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在同一灭火器配置场所，当选用同一类型灭火器时，宜选用操作方法相同的灭火器。</w:t>
            </w:r>
          </w:p>
        </w:tc>
        <w:tc>
          <w:tcPr>
            <w:tcW w:w="1258" w:type="pct"/>
            <w:noWrap w:val="0"/>
            <w:vAlign w:val="center"/>
          </w:tcPr>
          <w:p w14:paraId="019F883F">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2005）第3.0.3条</w:t>
            </w:r>
          </w:p>
        </w:tc>
        <w:tc>
          <w:tcPr>
            <w:tcW w:w="994" w:type="pct"/>
            <w:noWrap w:val="0"/>
            <w:vAlign w:val="center"/>
          </w:tcPr>
          <w:p w14:paraId="6FF7FED2">
            <w:pPr>
              <w:pStyle w:val="50"/>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p>
          <w:p w14:paraId="3225D08A">
            <w:pPr>
              <w:pStyle w:val="50"/>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箱变</w:t>
            </w:r>
            <w:r>
              <w:rPr>
                <w:color w:val="000000" w:themeColor="text1"/>
                <w:sz w:val="21"/>
                <w:szCs w:val="21"/>
                <w14:textFill>
                  <w14:solidFill>
                    <w14:schemeClr w14:val="tx1"/>
                  </w14:solidFill>
                </w14:textFill>
              </w:rPr>
              <w:t>等场所的灭火器类型统一。</w:t>
            </w:r>
          </w:p>
        </w:tc>
        <w:tc>
          <w:tcPr>
            <w:tcW w:w="414" w:type="pct"/>
            <w:noWrap w:val="0"/>
            <w:vAlign w:val="center"/>
          </w:tcPr>
          <w:p w14:paraId="6D2CC09C">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66CCB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6DD5BCF5">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380A8E82">
            <w:pPr>
              <w:pStyle w:val="50"/>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灭火器应设置在明显和便于取用的地方，且不得影响安全疏散。</w:t>
            </w:r>
          </w:p>
        </w:tc>
        <w:tc>
          <w:tcPr>
            <w:tcW w:w="1258" w:type="pct"/>
            <w:noWrap w:val="0"/>
            <w:vAlign w:val="center"/>
          </w:tcPr>
          <w:p w14:paraId="26A0F442">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2005）第5.1.1条</w:t>
            </w:r>
          </w:p>
        </w:tc>
        <w:tc>
          <w:tcPr>
            <w:tcW w:w="994" w:type="pct"/>
            <w:noWrap w:val="0"/>
            <w:vAlign w:val="center"/>
          </w:tcPr>
          <w:p w14:paraId="3874ADF1">
            <w:pPr>
              <w:pStyle w:val="50"/>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配置点的灭火器的存放位置明显、便于取用。</w:t>
            </w:r>
          </w:p>
        </w:tc>
        <w:tc>
          <w:tcPr>
            <w:tcW w:w="414" w:type="pct"/>
            <w:noWrap w:val="0"/>
            <w:vAlign w:val="center"/>
          </w:tcPr>
          <w:p w14:paraId="3909C214">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39856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2961515F">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6BE8980B">
            <w:pPr>
              <w:pStyle w:val="50"/>
              <w:keepNext w:val="0"/>
              <w:keepLines w:val="0"/>
              <w:pageBreakBefore w:val="0"/>
              <w:widowControl w:val="0"/>
              <w:kinsoku/>
              <w:bidi w:val="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灭火器的摆放应稳固，其铭牌应朝外。</w:t>
            </w:r>
          </w:p>
        </w:tc>
        <w:tc>
          <w:tcPr>
            <w:tcW w:w="1258" w:type="pct"/>
            <w:noWrap w:val="0"/>
            <w:vAlign w:val="center"/>
          </w:tcPr>
          <w:p w14:paraId="27FC184E">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w:t>
            </w:r>
            <w:r>
              <w:rPr>
                <w:rFonts w:hint="eastAsia"/>
                <w:color w:val="000000" w:themeColor="text1"/>
                <w:sz w:val="21"/>
                <w:szCs w:val="21"/>
                <w:lang w:val="en-US" w:eastAsia="zh-CN"/>
                <w14:textFill>
                  <w14:solidFill>
                    <w14:schemeClr w14:val="tx1"/>
                  </w14:solidFill>
                </w14:textFill>
              </w:rPr>
              <w:t>-</w:t>
            </w:r>
            <w:r>
              <w:rPr>
                <w:color w:val="000000" w:themeColor="text1"/>
                <w:sz w:val="21"/>
                <w:szCs w:val="21"/>
                <w14:textFill>
                  <w14:solidFill>
                    <w14:schemeClr w14:val="tx1"/>
                  </w14:solidFill>
                </w14:textFill>
              </w:rPr>
              <w:t>2005）第5.1.2条</w:t>
            </w:r>
          </w:p>
        </w:tc>
        <w:tc>
          <w:tcPr>
            <w:tcW w:w="994" w:type="pct"/>
            <w:noWrap w:val="0"/>
            <w:vAlign w:val="center"/>
          </w:tcPr>
          <w:p w14:paraId="1DA6FE43">
            <w:pPr>
              <w:pStyle w:val="50"/>
              <w:keepNext w:val="0"/>
              <w:keepLines w:val="0"/>
              <w:pageBreakBefore w:val="0"/>
              <w:widowControl w:val="0"/>
              <w:kinsoku/>
              <w:bidi w:val="0"/>
              <w:ind w:left="0" w:leftChars="0"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各存放点的灭火器采用箱式贮存，铭牌显著。</w:t>
            </w:r>
          </w:p>
        </w:tc>
        <w:tc>
          <w:tcPr>
            <w:tcW w:w="414" w:type="pct"/>
            <w:noWrap w:val="0"/>
            <w:vAlign w:val="center"/>
          </w:tcPr>
          <w:p w14:paraId="295B8C5C">
            <w:pPr>
              <w:pStyle w:val="50"/>
              <w:keepNext w:val="0"/>
              <w:keepLines w:val="0"/>
              <w:pageBreakBefore w:val="0"/>
              <w:widowControl w:val="0"/>
              <w:kinsoku/>
              <w:bidi w:val="0"/>
              <w:ind w:left="0" w:leftChars="0" w:right="0" w:rightChars="0"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14:paraId="20669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4AA46616">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6F479442">
            <w:pPr>
              <w:pStyle w:val="42"/>
              <w:spacing w:before="166" w:line="244" w:lineRule="auto"/>
              <w:ind w:left="112" w:leftChars="0" w:right="105" w:rightChars="0" w:firstLine="0" w:firstLineChars="0"/>
              <w:jc w:val="both"/>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7"/>
                <w14:textFill>
                  <w14:solidFill>
                    <w14:schemeClr w14:val="tx1"/>
                  </w14:solidFill>
                </w14:textFill>
              </w:rPr>
              <w:t>建（构）筑物构件的燃烧性能和耐火极限应</w:t>
            </w:r>
            <w:r>
              <w:rPr>
                <w:color w:val="000000" w:themeColor="text1"/>
                <w:spacing w:val="15"/>
                <w14:textFill>
                  <w14:solidFill>
                    <w14:schemeClr w14:val="tx1"/>
                  </w14:solidFill>
                </w14:textFill>
              </w:rPr>
              <w:t xml:space="preserve"> </w:t>
            </w:r>
            <w:r>
              <w:rPr>
                <w:color w:val="000000" w:themeColor="text1"/>
                <w:spacing w:val="8"/>
                <w14:textFill>
                  <w14:solidFill>
                    <w14:schemeClr w14:val="tx1"/>
                  </w14:solidFill>
                </w14:textFill>
              </w:rPr>
              <w:t>符合现行国家标准《建筑设计防火规范》</w:t>
            </w:r>
            <w:r>
              <w:rPr>
                <w:color w:val="000000" w:themeColor="text1"/>
                <w14:textFill>
                  <w14:solidFill>
                    <w14:schemeClr w14:val="tx1"/>
                  </w14:solidFill>
                </w14:textFill>
              </w:rPr>
              <w:t>GB</w:t>
            </w:r>
            <w:r>
              <w:rPr>
                <w:color w:val="000000" w:themeColor="text1"/>
                <w:spacing w:val="6"/>
                <w14:textFill>
                  <w14:solidFill>
                    <w14:schemeClr w14:val="tx1"/>
                  </w14:solidFill>
                </w14:textFill>
              </w:rPr>
              <w:t xml:space="preserve"> </w:t>
            </w:r>
            <w:r>
              <w:rPr>
                <w:color w:val="000000" w:themeColor="text1"/>
                <w:spacing w:val="2"/>
                <w14:textFill>
                  <w14:solidFill>
                    <w14:schemeClr w14:val="tx1"/>
                  </w14:solidFill>
                </w14:textFill>
              </w:rPr>
              <w:t>50016</w:t>
            </w:r>
            <w:r>
              <w:rPr>
                <w:color w:val="000000" w:themeColor="text1"/>
                <w:spacing w:val="-21"/>
                <w14:textFill>
                  <w14:solidFill>
                    <w14:schemeClr w14:val="tx1"/>
                  </w14:solidFill>
                </w14:textFill>
              </w:rPr>
              <w:t xml:space="preserve"> </w:t>
            </w:r>
            <w:r>
              <w:rPr>
                <w:color w:val="000000" w:themeColor="text1"/>
                <w:spacing w:val="2"/>
                <w14:textFill>
                  <w14:solidFill>
                    <w14:schemeClr w14:val="tx1"/>
                  </w14:solidFill>
                </w14:textFill>
              </w:rPr>
              <w:t>的规定。</w:t>
            </w:r>
          </w:p>
        </w:tc>
        <w:tc>
          <w:tcPr>
            <w:tcW w:w="1258" w:type="pct"/>
            <w:shd w:val="clear" w:color="auto" w:fill="auto"/>
            <w:noWrap w:val="0"/>
            <w:vAlign w:val="top"/>
          </w:tcPr>
          <w:p w14:paraId="7BFDB410">
            <w:pPr>
              <w:pStyle w:val="42"/>
              <w:spacing w:before="33"/>
              <w:ind w:left="698" w:right="167" w:hanging="521"/>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r>
              <w:rPr>
                <w:color w:val="000000" w:themeColor="text1"/>
                <w14:textFill>
                  <w14:solidFill>
                    <w14:schemeClr w14:val="tx1"/>
                  </w14:solidFill>
                </w14:textFill>
              </w:rPr>
              <w:t xml:space="preserve"> </w:t>
            </w:r>
            <w:r>
              <w:rPr>
                <w:color w:val="000000" w:themeColor="text1"/>
                <w:spacing w:val="2"/>
                <w14:textFill>
                  <w14:solidFill>
                    <w14:schemeClr w14:val="tx1"/>
                  </w14:solidFill>
                </w14:textFill>
              </w:rPr>
              <w:t>规范》</w:t>
            </w:r>
          </w:p>
          <w:p w14:paraId="54B7A747">
            <w:pPr>
              <w:pStyle w:val="42"/>
              <w:spacing w:before="22" w:line="234" w:lineRule="auto"/>
              <w:ind w:left="382" w:leftChars="0" w:right="161" w:rightChars="0" w:hanging="22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3"/>
                <w14:textFill>
                  <w14:solidFill>
                    <w14:schemeClr w14:val="tx1"/>
                  </w14:solidFill>
                </w14:textFill>
              </w:rPr>
              <w:t>50797-2012</w:t>
            </w:r>
            <w:r>
              <w:rPr>
                <w:color w:val="000000" w:themeColor="text1"/>
                <w:spacing w:val="3"/>
                <w14:textFill>
                  <w14:solidFill>
                    <w14:schemeClr w14:val="tx1"/>
                  </w14:solidFill>
                </w14:textFill>
              </w:rPr>
              <w:t>）</w:t>
            </w:r>
            <w:r>
              <w:rPr>
                <w:color w:val="000000" w:themeColor="text1"/>
                <w:spacing w:val="5"/>
                <w14:textFill>
                  <w14:solidFill>
                    <w14:schemeClr w14:val="tx1"/>
                  </w14:solidFill>
                </w14:textFill>
              </w:rPr>
              <w:t xml:space="preserve"> </w:t>
            </w:r>
            <w:r>
              <w:rPr>
                <w:color w:val="000000" w:themeColor="text1"/>
                <w:spacing w:val="-3"/>
                <w14:textFill>
                  <w14:solidFill>
                    <w14:schemeClr w14:val="tx1"/>
                  </w14:solidFill>
                </w14:textFill>
              </w:rPr>
              <w:t>第</w:t>
            </w:r>
            <w:r>
              <w:rPr>
                <w:color w:val="000000" w:themeColor="text1"/>
                <w:spacing w:val="-22"/>
                <w14:textFill>
                  <w14:solidFill>
                    <w14:schemeClr w14:val="tx1"/>
                  </w14:solidFill>
                </w14:textFill>
              </w:rPr>
              <w:t xml:space="preserve"> </w:t>
            </w:r>
            <w:r>
              <w:rPr>
                <w:rFonts w:ascii="Times New Roman" w:hAnsi="Times New Roman" w:eastAsia="Times New Roman" w:cs="Times New Roman"/>
                <w:color w:val="000000" w:themeColor="text1"/>
                <w:spacing w:val="-3"/>
                <w14:textFill>
                  <w14:solidFill>
                    <w14:schemeClr w14:val="tx1"/>
                  </w14:solidFill>
                </w14:textFill>
              </w:rPr>
              <w:t>14.</w:t>
            </w:r>
            <w:r>
              <w:rPr>
                <w:rFonts w:ascii="Times New Roman" w:hAnsi="Times New Roman" w:eastAsia="Times New Roman" w:cs="Times New Roman"/>
                <w:color w:val="000000" w:themeColor="text1"/>
                <w:spacing w:val="-25"/>
                <w14:textFill>
                  <w14:solidFill>
                    <w14:schemeClr w14:val="tx1"/>
                  </w14:solidFill>
                </w14:textFill>
              </w:rPr>
              <w:t xml:space="preserve"> </w:t>
            </w:r>
            <w:r>
              <w:rPr>
                <w:rFonts w:ascii="Times New Roman" w:hAnsi="Times New Roman" w:eastAsia="Times New Roman" w:cs="Times New Roman"/>
                <w:color w:val="000000" w:themeColor="text1"/>
                <w:spacing w:val="-3"/>
                <w14:textFill>
                  <w14:solidFill>
                    <w14:schemeClr w14:val="tx1"/>
                  </w14:solidFill>
                </w14:textFill>
              </w:rPr>
              <w:t>1.2</w:t>
            </w:r>
            <w:r>
              <w:rPr>
                <w:rFonts w:ascii="Times New Roman" w:hAnsi="Times New Roman" w:eastAsia="Times New Roman" w:cs="Times New Roman"/>
                <w:color w:val="000000" w:themeColor="text1"/>
                <w:spacing w:val="13"/>
                <w:w w:val="101"/>
                <w14:textFill>
                  <w14:solidFill>
                    <w14:schemeClr w14:val="tx1"/>
                  </w14:solidFill>
                </w14:textFill>
              </w:rPr>
              <w:t xml:space="preserve"> </w:t>
            </w:r>
            <w:r>
              <w:rPr>
                <w:color w:val="000000" w:themeColor="text1"/>
                <w:spacing w:val="-3"/>
                <w14:textFill>
                  <w14:solidFill>
                    <w14:schemeClr w14:val="tx1"/>
                  </w14:solidFill>
                </w14:textFill>
              </w:rPr>
              <w:t>条。</w:t>
            </w:r>
          </w:p>
        </w:tc>
        <w:tc>
          <w:tcPr>
            <w:tcW w:w="994" w:type="pct"/>
            <w:shd w:val="clear" w:color="auto" w:fill="auto"/>
            <w:noWrap w:val="0"/>
            <w:vAlign w:val="top"/>
          </w:tcPr>
          <w:p w14:paraId="5B9CB18D">
            <w:pPr>
              <w:pStyle w:val="42"/>
              <w:spacing w:before="303"/>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298E34E4">
            <w:pPr>
              <w:spacing w:line="373" w:lineRule="auto"/>
              <w:rPr>
                <w:rFonts w:ascii="Arial"/>
                <w:color w:val="000000" w:themeColor="text1"/>
                <w:sz w:val="21"/>
                <w14:textFill>
                  <w14:solidFill>
                    <w14:schemeClr w14:val="tx1"/>
                  </w14:solidFill>
                </w14:textFill>
              </w:rPr>
            </w:pPr>
          </w:p>
          <w:p w14:paraId="3C0127DF">
            <w:pPr>
              <w:pStyle w:val="42"/>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59297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6C290724">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41065104">
            <w:pPr>
              <w:pStyle w:val="42"/>
              <w:spacing w:before="169" w:line="243" w:lineRule="auto"/>
              <w:ind w:left="111" w:leftChars="0" w:right="106" w:rightChars="0" w:firstLine="12" w:firstLineChars="0"/>
              <w:jc w:val="both"/>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8"/>
                <w14:textFill>
                  <w14:solidFill>
                    <w14:schemeClr w14:val="tx1"/>
                  </w14:solidFill>
                </w14:textFill>
              </w:rPr>
              <w:t>当控制电缆或通信电缆与电力电缆敷设在</w:t>
            </w:r>
            <w:r>
              <w:rPr>
                <w:color w:val="000000" w:themeColor="text1"/>
                <w:spacing w:val="13"/>
                <w14:textFill>
                  <w14:solidFill>
                    <w14:schemeClr w14:val="tx1"/>
                  </w14:solidFill>
                </w14:textFill>
              </w:rPr>
              <w:t xml:space="preserve"> </w:t>
            </w:r>
            <w:r>
              <w:rPr>
                <w:color w:val="000000" w:themeColor="text1"/>
                <w:spacing w:val="7"/>
                <w14:textFill>
                  <w14:solidFill>
                    <w14:schemeClr w14:val="tx1"/>
                  </w14:solidFill>
                </w14:textFill>
              </w:rPr>
              <w:t>同一电缆沟内时，宜采用防火槽盒或防火隔</w:t>
            </w:r>
            <w:r>
              <w:rPr>
                <w:color w:val="000000" w:themeColor="text1"/>
                <w:spacing w:val="6"/>
                <w14:textFill>
                  <w14:solidFill>
                    <w14:schemeClr w14:val="tx1"/>
                  </w14:solidFill>
                </w14:textFill>
              </w:rPr>
              <w:t>板进行分隔。</w:t>
            </w:r>
          </w:p>
        </w:tc>
        <w:tc>
          <w:tcPr>
            <w:tcW w:w="1258" w:type="pct"/>
            <w:shd w:val="clear" w:color="auto" w:fill="auto"/>
            <w:noWrap w:val="0"/>
            <w:vAlign w:val="top"/>
          </w:tcPr>
          <w:p w14:paraId="2098CAF4">
            <w:pPr>
              <w:pStyle w:val="42"/>
              <w:spacing w:before="33"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59B422B8">
            <w:pPr>
              <w:pStyle w:val="42"/>
              <w:spacing w:before="25"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15BF2777">
            <w:pPr>
              <w:pStyle w:val="42"/>
              <w:spacing w:before="24"/>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37B5A65E">
            <w:pPr>
              <w:pStyle w:val="42"/>
              <w:spacing w:before="11" w:line="216" w:lineRule="auto"/>
              <w:ind w:left="58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14:textFill>
                  <w14:solidFill>
                    <w14:schemeClr w14:val="tx1"/>
                  </w14:solidFill>
                </w14:textFill>
              </w:rPr>
              <w:t>14.3.1</w:t>
            </w:r>
            <w:r>
              <w:rPr>
                <w:color w:val="000000" w:themeColor="text1"/>
                <w:spacing w:val="-31"/>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4ACBB12D">
            <w:pPr>
              <w:pStyle w:val="42"/>
              <w:spacing w:before="304" w:line="241" w:lineRule="auto"/>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27F65765">
            <w:pPr>
              <w:spacing w:line="374" w:lineRule="auto"/>
              <w:rPr>
                <w:rFonts w:ascii="Arial"/>
                <w:color w:val="000000" w:themeColor="text1"/>
                <w:sz w:val="21"/>
                <w14:textFill>
                  <w14:solidFill>
                    <w14:schemeClr w14:val="tx1"/>
                  </w14:solidFill>
                </w14:textFill>
              </w:rPr>
            </w:pPr>
          </w:p>
          <w:p w14:paraId="1D2F53B2">
            <w:pPr>
              <w:pStyle w:val="42"/>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6F536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2706FEA3">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3C5769D9">
            <w:pPr>
              <w:pStyle w:val="42"/>
              <w:spacing w:before="33" w:line="228" w:lineRule="auto"/>
              <w:ind w:left="135"/>
              <w:rPr>
                <w:color w:val="000000" w:themeColor="text1"/>
                <w14:textFill>
                  <w14:solidFill>
                    <w14:schemeClr w14:val="tx1"/>
                  </w14:solidFill>
                </w14:textFill>
              </w:rPr>
            </w:pPr>
            <w:r>
              <w:rPr>
                <w:color w:val="000000" w:themeColor="text1"/>
                <w:spacing w:val="7"/>
                <w14:textFill>
                  <w14:solidFill>
                    <w14:schemeClr w14:val="tx1"/>
                  </w14:solidFill>
                </w14:textFill>
              </w:rPr>
              <w:t>电缆沟的下列部位应设置防火分隔措施：</w:t>
            </w:r>
          </w:p>
          <w:p w14:paraId="52FD330C">
            <w:pPr>
              <w:pStyle w:val="42"/>
              <w:spacing w:before="24"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7"/>
                <w14:textFill>
                  <w14:solidFill>
                    <w14:schemeClr w14:val="tx1"/>
                  </w14:solidFill>
                </w14:textFill>
              </w:rPr>
              <w:t>(1)</w:t>
            </w:r>
            <w:r>
              <w:rPr>
                <w:color w:val="000000" w:themeColor="text1"/>
                <w:spacing w:val="7"/>
                <w14:textFill>
                  <w14:solidFill>
                    <w14:schemeClr w14:val="tx1"/>
                  </w14:solidFill>
                </w14:textFill>
              </w:rPr>
              <w:t>电缆从室外进入室内的入口处。</w:t>
            </w:r>
          </w:p>
          <w:p w14:paraId="69EE1B45">
            <w:pPr>
              <w:pStyle w:val="42"/>
              <w:spacing w:before="34"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7"/>
                <w14:textFill>
                  <w14:solidFill>
                    <w14:schemeClr w14:val="tx1"/>
                  </w14:solidFill>
                </w14:textFill>
              </w:rPr>
              <w:t>(2)</w:t>
            </w:r>
            <w:r>
              <w:rPr>
                <w:color w:val="000000" w:themeColor="text1"/>
                <w:spacing w:val="7"/>
                <w14:textFill>
                  <w14:solidFill>
                    <w14:schemeClr w14:val="tx1"/>
                  </w14:solidFill>
                </w14:textFill>
              </w:rPr>
              <w:t>穿越控制室、配电装置室处。</w:t>
            </w:r>
          </w:p>
          <w:p w14:paraId="332E0A59">
            <w:pPr>
              <w:pStyle w:val="42"/>
              <w:spacing w:before="31"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3"/>
                <w14:textFill>
                  <w14:solidFill>
                    <w14:schemeClr w14:val="tx1"/>
                  </w14:solidFill>
                </w14:textFill>
              </w:rPr>
              <w:t>(3)</w:t>
            </w:r>
            <w:r>
              <w:rPr>
                <w:color w:val="000000" w:themeColor="text1"/>
                <w:spacing w:val="3"/>
                <w14:textFill>
                  <w14:solidFill>
                    <w14:schemeClr w14:val="tx1"/>
                  </w14:solidFill>
                </w14:textFill>
              </w:rPr>
              <w:t>电缆沟道每隔</w:t>
            </w:r>
            <w:r>
              <w:rPr>
                <w:color w:val="000000" w:themeColor="text1"/>
                <w:spacing w:val="-13"/>
                <w14:textFill>
                  <w14:solidFill>
                    <w14:schemeClr w14:val="tx1"/>
                  </w14:solidFill>
                </w14:textFill>
              </w:rPr>
              <w:t xml:space="preserve"> </w:t>
            </w:r>
            <w:r>
              <w:rPr>
                <w:rFonts w:ascii="Times New Roman" w:hAnsi="Times New Roman" w:eastAsia="Times New Roman" w:cs="Times New Roman"/>
                <w:color w:val="000000" w:themeColor="text1"/>
                <w:spacing w:val="3"/>
                <w14:textFill>
                  <w14:solidFill>
                    <w14:schemeClr w14:val="tx1"/>
                  </w14:solidFill>
                </w14:textFill>
              </w:rPr>
              <w:t>100m</w:t>
            </w:r>
            <w:r>
              <w:rPr>
                <w:color w:val="000000" w:themeColor="text1"/>
                <w:spacing w:val="3"/>
                <w14:textFill>
                  <w14:solidFill>
                    <w14:schemeClr w14:val="tx1"/>
                  </w14:solidFill>
                </w14:textFill>
              </w:rPr>
              <w:t>处。</w:t>
            </w:r>
          </w:p>
          <w:p w14:paraId="1C6E048A">
            <w:pPr>
              <w:pStyle w:val="42"/>
              <w:spacing w:before="34" w:line="221" w:lineRule="auto"/>
              <w:ind w:left="111"/>
              <w:rPr>
                <w:color w:val="000000" w:themeColor="text1"/>
                <w14:textFill>
                  <w14:solidFill>
                    <w14:schemeClr w14:val="tx1"/>
                  </w14:solidFill>
                </w14:textFill>
              </w:rPr>
            </w:pPr>
            <w:r>
              <w:rPr>
                <w:rFonts w:ascii="Times New Roman" w:hAnsi="Times New Roman" w:eastAsia="Times New Roman" w:cs="Times New Roman"/>
                <w:color w:val="000000" w:themeColor="text1"/>
                <w:spacing w:val="7"/>
                <w14:textFill>
                  <w14:solidFill>
                    <w14:schemeClr w14:val="tx1"/>
                  </w14:solidFill>
                </w14:textFill>
              </w:rPr>
              <w:t>(4)</w:t>
            </w:r>
            <w:r>
              <w:rPr>
                <w:color w:val="000000" w:themeColor="text1"/>
                <w:spacing w:val="7"/>
                <w14:textFill>
                  <w14:solidFill>
                    <w14:schemeClr w14:val="tx1"/>
                  </w14:solidFill>
                </w14:textFill>
              </w:rPr>
              <w:t>电缆沟道分支引接处。</w:t>
            </w:r>
          </w:p>
          <w:p w14:paraId="429F2EB1">
            <w:pPr>
              <w:pStyle w:val="42"/>
              <w:spacing w:before="32" w:line="215" w:lineRule="auto"/>
              <w:ind w:left="147"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4"/>
                <w14:textFill>
                  <w14:solidFill>
                    <w14:schemeClr w14:val="tx1"/>
                  </w14:solidFill>
                </w14:textFill>
              </w:rPr>
              <w:t>(5)控制室与电缆夹层之间。</w:t>
            </w:r>
          </w:p>
        </w:tc>
        <w:tc>
          <w:tcPr>
            <w:tcW w:w="1258" w:type="pct"/>
            <w:shd w:val="clear" w:color="auto" w:fill="auto"/>
            <w:noWrap w:val="0"/>
            <w:vAlign w:val="top"/>
          </w:tcPr>
          <w:p w14:paraId="0A0501E3">
            <w:pPr>
              <w:pStyle w:val="42"/>
              <w:spacing w:before="305"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309B7185">
            <w:pPr>
              <w:pStyle w:val="42"/>
              <w:spacing w:before="27"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4C04BF86">
            <w:pPr>
              <w:pStyle w:val="42"/>
              <w:spacing w:before="22"/>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60D80B09">
            <w:pPr>
              <w:pStyle w:val="42"/>
              <w:spacing w:before="13" w:line="228" w:lineRule="auto"/>
              <w:ind w:left="58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14:textFill>
                  <w14:solidFill>
                    <w14:schemeClr w14:val="tx1"/>
                  </w14:solidFill>
                </w14:textFill>
              </w:rPr>
              <w:t>14.3.2</w:t>
            </w:r>
            <w:r>
              <w:rPr>
                <w:color w:val="000000" w:themeColor="text1"/>
                <w:spacing w:val="-31"/>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6A824510">
            <w:pPr>
              <w:spacing w:line="255" w:lineRule="auto"/>
              <w:rPr>
                <w:rFonts w:ascii="Arial"/>
                <w:color w:val="000000" w:themeColor="text1"/>
                <w:sz w:val="21"/>
                <w14:textFill>
                  <w14:solidFill>
                    <w14:schemeClr w14:val="tx1"/>
                  </w14:solidFill>
                </w14:textFill>
              </w:rPr>
            </w:pPr>
          </w:p>
          <w:p w14:paraId="31B7367A">
            <w:pPr>
              <w:spacing w:line="255" w:lineRule="auto"/>
              <w:rPr>
                <w:rFonts w:ascii="Arial"/>
                <w:color w:val="000000" w:themeColor="text1"/>
                <w:sz w:val="21"/>
                <w14:textFill>
                  <w14:solidFill>
                    <w14:schemeClr w14:val="tx1"/>
                  </w14:solidFill>
                </w14:textFill>
              </w:rPr>
            </w:pPr>
          </w:p>
          <w:p w14:paraId="5D190167">
            <w:pPr>
              <w:pStyle w:val="42"/>
              <w:spacing w:before="65"/>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7AA88915">
            <w:pPr>
              <w:spacing w:line="322" w:lineRule="auto"/>
              <w:rPr>
                <w:rFonts w:ascii="Arial"/>
                <w:color w:val="000000" w:themeColor="text1"/>
                <w:sz w:val="21"/>
                <w14:textFill>
                  <w14:solidFill>
                    <w14:schemeClr w14:val="tx1"/>
                  </w14:solidFill>
                </w14:textFill>
              </w:rPr>
            </w:pPr>
          </w:p>
          <w:p w14:paraId="5C570E91">
            <w:pPr>
              <w:spacing w:line="322" w:lineRule="auto"/>
              <w:rPr>
                <w:rFonts w:ascii="Arial"/>
                <w:color w:val="000000" w:themeColor="text1"/>
                <w:sz w:val="21"/>
                <w14:textFill>
                  <w14:solidFill>
                    <w14:schemeClr w14:val="tx1"/>
                  </w14:solidFill>
                </w14:textFill>
              </w:rPr>
            </w:pPr>
          </w:p>
          <w:p w14:paraId="67624253">
            <w:pPr>
              <w:pStyle w:val="42"/>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22AD2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44FA0B34">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52A56394">
            <w:pPr>
              <w:pStyle w:val="42"/>
              <w:spacing w:before="65"/>
              <w:ind w:left="114" w:leftChars="0" w:right="106" w:rightChars="0" w:hanging="3"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7"/>
                <w14:textFill>
                  <w14:solidFill>
                    <w14:schemeClr w14:val="tx1"/>
                  </w14:solidFill>
                </w14:textFill>
              </w:rPr>
              <w:t>含逆变器室、就地升压变压器的光伏方阵区不宜设置消防水系统。</w:t>
            </w:r>
          </w:p>
        </w:tc>
        <w:tc>
          <w:tcPr>
            <w:tcW w:w="1258" w:type="pct"/>
            <w:shd w:val="clear" w:color="auto" w:fill="auto"/>
            <w:noWrap w:val="0"/>
            <w:vAlign w:val="top"/>
          </w:tcPr>
          <w:p w14:paraId="4FD556E7">
            <w:pPr>
              <w:pStyle w:val="42"/>
              <w:spacing w:before="35"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21F1B448">
            <w:pPr>
              <w:pStyle w:val="42"/>
              <w:spacing w:before="25"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4B1685CD">
            <w:pPr>
              <w:pStyle w:val="42"/>
              <w:spacing w:before="24"/>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4E6477F1">
            <w:pPr>
              <w:pStyle w:val="42"/>
              <w:spacing w:before="11" w:line="215" w:lineRule="auto"/>
              <w:ind w:left="58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14:textFill>
                  <w14:solidFill>
                    <w14:schemeClr w14:val="tx1"/>
                  </w14:solidFill>
                </w14:textFill>
              </w:rPr>
              <w:t>14.5.4</w:t>
            </w:r>
            <w:r>
              <w:rPr>
                <w:color w:val="000000" w:themeColor="text1"/>
                <w:spacing w:val="-31"/>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225520BF">
            <w:pPr>
              <w:pStyle w:val="42"/>
              <w:spacing w:before="306" w:line="241" w:lineRule="auto"/>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4009257A">
            <w:pPr>
              <w:spacing w:line="375" w:lineRule="auto"/>
              <w:rPr>
                <w:rFonts w:ascii="Arial"/>
                <w:color w:val="000000" w:themeColor="text1"/>
                <w:sz w:val="21"/>
                <w14:textFill>
                  <w14:solidFill>
                    <w14:schemeClr w14:val="tx1"/>
                  </w14:solidFill>
                </w14:textFill>
              </w:rPr>
            </w:pPr>
          </w:p>
          <w:p w14:paraId="0863CFED">
            <w:pPr>
              <w:pStyle w:val="42"/>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2564F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233" w:type="pct"/>
            <w:noWrap w:val="0"/>
            <w:vAlign w:val="center"/>
          </w:tcPr>
          <w:p w14:paraId="0EBED801">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shd w:val="clear" w:color="auto" w:fill="auto"/>
            <w:noWrap w:val="0"/>
            <w:vAlign w:val="top"/>
          </w:tcPr>
          <w:p w14:paraId="0915524D">
            <w:pPr>
              <w:pStyle w:val="42"/>
              <w:spacing w:before="65"/>
              <w:ind w:left="112" w:leftChars="0" w:right="106" w:rightChars="0" w:firstLine="1"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7"/>
                <w14:textFill>
                  <w14:solidFill>
                    <w14:schemeClr w14:val="tx1"/>
                  </w14:solidFill>
                </w14:textFill>
              </w:rPr>
              <w:t>灭火器的设置应符合现行国家标准《建筑灭</w:t>
            </w:r>
            <w:r>
              <w:rPr>
                <w:color w:val="000000" w:themeColor="text1"/>
                <w:spacing w:val="14"/>
                <w14:textFill>
                  <w14:solidFill>
                    <w14:schemeClr w14:val="tx1"/>
                  </w14:solidFill>
                </w14:textFill>
              </w:rPr>
              <w:t xml:space="preserve"> </w:t>
            </w:r>
            <w:r>
              <w:rPr>
                <w:color w:val="000000" w:themeColor="text1"/>
                <w:spacing w:val="6"/>
                <w14:textFill>
                  <w14:solidFill>
                    <w14:schemeClr w14:val="tx1"/>
                  </w14:solidFill>
                </w14:textFill>
              </w:rPr>
              <w:t>火器配置设计规范》</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6"/>
                <w14:textFill>
                  <w14:solidFill>
                    <w14:schemeClr w14:val="tx1"/>
                  </w14:solidFill>
                </w14:textFill>
              </w:rPr>
              <w:t xml:space="preserve"> 50140</w:t>
            </w:r>
            <w:r>
              <w:rPr>
                <w:rFonts w:ascii="Times New Roman" w:hAnsi="Times New Roman" w:eastAsia="Times New Roman" w:cs="Times New Roman"/>
                <w:color w:val="000000" w:themeColor="text1"/>
                <w:spacing w:val="20"/>
                <w:w w:val="101"/>
                <w14:textFill>
                  <w14:solidFill>
                    <w14:schemeClr w14:val="tx1"/>
                  </w14:solidFill>
                </w14:textFill>
              </w:rPr>
              <w:t xml:space="preserve">  </w:t>
            </w:r>
            <w:r>
              <w:rPr>
                <w:color w:val="000000" w:themeColor="text1"/>
                <w:spacing w:val="6"/>
                <w14:textFill>
                  <w14:solidFill>
                    <w14:schemeClr w14:val="tx1"/>
                  </w14:solidFill>
                </w14:textFill>
              </w:rPr>
              <w:t>的规定。</w:t>
            </w:r>
          </w:p>
        </w:tc>
        <w:tc>
          <w:tcPr>
            <w:tcW w:w="1258" w:type="pct"/>
            <w:shd w:val="clear" w:color="auto" w:fill="auto"/>
            <w:noWrap w:val="0"/>
            <w:vAlign w:val="top"/>
          </w:tcPr>
          <w:p w14:paraId="7D2E6C50">
            <w:pPr>
              <w:pStyle w:val="42"/>
              <w:spacing w:before="35" w:line="227" w:lineRule="auto"/>
              <w:ind w:left="177"/>
              <w:rPr>
                <w:color w:val="000000" w:themeColor="text1"/>
                <w14:textFill>
                  <w14:solidFill>
                    <w14:schemeClr w14:val="tx1"/>
                  </w14:solidFill>
                </w14:textFill>
              </w:rPr>
            </w:pPr>
            <w:r>
              <w:rPr>
                <w:color w:val="000000" w:themeColor="text1"/>
                <w:spacing w:val="8"/>
                <w14:textFill>
                  <w14:solidFill>
                    <w14:schemeClr w14:val="tx1"/>
                  </w14:solidFill>
                </w14:textFill>
              </w:rPr>
              <w:t>《光伏发电站设计</w:t>
            </w:r>
          </w:p>
          <w:p w14:paraId="47042A3E">
            <w:pPr>
              <w:pStyle w:val="42"/>
              <w:spacing w:before="25" w:line="230" w:lineRule="auto"/>
              <w:ind w:left="698"/>
              <w:rPr>
                <w:color w:val="000000" w:themeColor="text1"/>
                <w14:textFill>
                  <w14:solidFill>
                    <w14:schemeClr w14:val="tx1"/>
                  </w14:solidFill>
                </w14:textFill>
              </w:rPr>
            </w:pPr>
            <w:r>
              <w:rPr>
                <w:color w:val="000000" w:themeColor="text1"/>
                <w:spacing w:val="2"/>
                <w14:textFill>
                  <w14:solidFill>
                    <w14:schemeClr w14:val="tx1"/>
                  </w14:solidFill>
                </w14:textFill>
              </w:rPr>
              <w:t>规范》</w:t>
            </w:r>
          </w:p>
          <w:p w14:paraId="4843C2BA">
            <w:pPr>
              <w:pStyle w:val="42"/>
              <w:spacing w:before="24"/>
              <w:ind w:left="160"/>
              <w:rPr>
                <w:color w:val="000000" w:themeColor="text1"/>
                <w14:textFill>
                  <w14:solidFill>
                    <w14:schemeClr w14:val="tx1"/>
                  </w14:solidFill>
                </w14:textFill>
              </w:rPr>
            </w:pPr>
            <w:r>
              <w:rPr>
                <w:color w:val="000000" w:themeColor="text1"/>
                <w:spacing w:val="4"/>
                <w14:textFill>
                  <w14:solidFill>
                    <w14:schemeClr w14:val="tx1"/>
                  </w14:solidFill>
                </w14:textFill>
              </w:rPr>
              <w:t>（</w:t>
            </w:r>
            <w:r>
              <w:rPr>
                <w:rFonts w:ascii="Times New Roman" w:hAnsi="Times New Roman" w:eastAsia="Times New Roman" w:cs="Times New Roman"/>
                <w:color w:val="000000" w:themeColor="text1"/>
                <w14:textFill>
                  <w14:solidFill>
                    <w14:schemeClr w14:val="tx1"/>
                  </w14:solidFill>
                </w14:textFill>
              </w:rPr>
              <w:t>GB</w:t>
            </w:r>
            <w:r>
              <w:rPr>
                <w:rFonts w:ascii="Times New Roman" w:hAnsi="Times New Roman" w:eastAsia="Times New Roman" w:cs="Times New Roman"/>
                <w:color w:val="000000" w:themeColor="text1"/>
                <w:spacing w:val="4"/>
                <w14:textFill>
                  <w14:solidFill>
                    <w14:schemeClr w14:val="tx1"/>
                  </w14:solidFill>
                </w14:textFill>
              </w:rPr>
              <w:t>50797-2012</w:t>
            </w:r>
            <w:r>
              <w:rPr>
                <w:color w:val="000000" w:themeColor="text1"/>
                <w:spacing w:val="4"/>
                <w14:textFill>
                  <w14:solidFill>
                    <w14:schemeClr w14:val="tx1"/>
                  </w14:solidFill>
                </w14:textFill>
              </w:rPr>
              <w:t>）</w:t>
            </w:r>
          </w:p>
          <w:p w14:paraId="364767EA">
            <w:pPr>
              <w:pStyle w:val="42"/>
              <w:spacing w:before="11" w:line="218" w:lineRule="auto"/>
              <w:ind w:left="582"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rFonts w:ascii="Times New Roman" w:hAnsi="Times New Roman" w:eastAsia="Times New Roman" w:cs="Times New Roman"/>
                <w:color w:val="000000" w:themeColor="text1"/>
                <w14:textFill>
                  <w14:solidFill>
                    <w14:schemeClr w14:val="tx1"/>
                  </w14:solidFill>
                </w14:textFill>
              </w:rPr>
              <w:t>14.5.13</w:t>
            </w:r>
            <w:r>
              <w:rPr>
                <w:rFonts w:ascii="Times New Roman" w:hAnsi="Times New Roman" w:eastAsia="Times New Roman" w:cs="Times New Roman"/>
                <w:color w:val="000000" w:themeColor="text1"/>
                <w:spacing w:val="18"/>
                <w14:textFill>
                  <w14:solidFill>
                    <w14:schemeClr w14:val="tx1"/>
                  </w14:solidFill>
                </w14:textFill>
              </w:rPr>
              <w:t xml:space="preserve"> </w:t>
            </w:r>
            <w:r>
              <w:rPr>
                <w:color w:val="000000" w:themeColor="text1"/>
                <w14:textFill>
                  <w14:solidFill>
                    <w14:schemeClr w14:val="tx1"/>
                  </w14:solidFill>
                </w14:textFill>
              </w:rPr>
              <w:t>条</w:t>
            </w:r>
          </w:p>
        </w:tc>
        <w:tc>
          <w:tcPr>
            <w:tcW w:w="994" w:type="pct"/>
            <w:shd w:val="clear" w:color="auto" w:fill="auto"/>
            <w:noWrap w:val="0"/>
            <w:vAlign w:val="top"/>
          </w:tcPr>
          <w:p w14:paraId="0634F337">
            <w:pPr>
              <w:pStyle w:val="42"/>
              <w:spacing w:before="306" w:line="241" w:lineRule="auto"/>
              <w:ind w:left="114" w:leftChars="0" w:right="105" w:rightChars="0" w:firstLine="2"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13"/>
                <w14:textFill>
                  <w14:solidFill>
                    <w14:schemeClr w14:val="tx1"/>
                  </w14:solidFill>
                </w14:textFill>
              </w:rPr>
              <w:t>项</w:t>
            </w:r>
            <w:r>
              <w:rPr>
                <w:color w:val="000000" w:themeColor="text1"/>
                <w:spacing w:val="-29"/>
                <w14:textFill>
                  <w14:solidFill>
                    <w14:schemeClr w14:val="tx1"/>
                  </w14:solidFill>
                </w14:textFill>
              </w:rPr>
              <w:t xml:space="preserve"> </w:t>
            </w:r>
            <w:r>
              <w:rPr>
                <w:color w:val="000000" w:themeColor="text1"/>
                <w:spacing w:val="13"/>
                <w14:textFill>
                  <w14:solidFill>
                    <w14:schemeClr w14:val="tx1"/>
                  </w14:solidFill>
                </w14:textFill>
              </w:rPr>
              <w:t>目建设现场符</w:t>
            </w:r>
            <w:r>
              <w:rPr>
                <w:color w:val="000000" w:themeColor="text1"/>
                <w14:textFill>
                  <w14:solidFill>
                    <w14:schemeClr w14:val="tx1"/>
                  </w14:solidFill>
                </w14:textFill>
              </w:rPr>
              <w:t xml:space="preserve"> </w:t>
            </w:r>
            <w:r>
              <w:rPr>
                <w:color w:val="000000" w:themeColor="text1"/>
                <w:spacing w:val="6"/>
                <w14:textFill>
                  <w14:solidFill>
                    <w14:schemeClr w14:val="tx1"/>
                  </w14:solidFill>
                </w14:textFill>
              </w:rPr>
              <w:t>合设计要求。</w:t>
            </w:r>
          </w:p>
        </w:tc>
        <w:tc>
          <w:tcPr>
            <w:tcW w:w="414" w:type="pct"/>
            <w:shd w:val="clear" w:color="auto" w:fill="auto"/>
            <w:noWrap w:val="0"/>
            <w:vAlign w:val="top"/>
          </w:tcPr>
          <w:p w14:paraId="4A764BF1">
            <w:pPr>
              <w:spacing w:line="375" w:lineRule="auto"/>
              <w:rPr>
                <w:rFonts w:ascii="Arial"/>
                <w:color w:val="000000" w:themeColor="text1"/>
                <w:sz w:val="21"/>
                <w14:textFill>
                  <w14:solidFill>
                    <w14:schemeClr w14:val="tx1"/>
                  </w14:solidFill>
                </w14:textFill>
              </w:rPr>
            </w:pPr>
          </w:p>
          <w:p w14:paraId="06EA7E94">
            <w:pPr>
              <w:pStyle w:val="42"/>
              <w:spacing w:before="65" w:line="228" w:lineRule="auto"/>
              <w:ind w:left="141" w:leftChars="0" w:firstLine="0" w:firstLineChars="0"/>
              <w:rPr>
                <w:rFonts w:ascii="宋体" w:hAnsi="宋体" w:eastAsia="宋体" w:cs="宋体"/>
                <w:color w:val="000000" w:themeColor="text1"/>
                <w:kern w:val="2"/>
                <w:sz w:val="21"/>
                <w:szCs w:val="21"/>
                <w:lang w:val="en-US" w:eastAsia="en-US" w:bidi="ar-SA"/>
                <w14:textFill>
                  <w14:solidFill>
                    <w14:schemeClr w14:val="tx1"/>
                  </w14:solidFill>
                </w14:textFill>
              </w:rPr>
            </w:pPr>
            <w:r>
              <w:rPr>
                <w:color w:val="000000" w:themeColor="text1"/>
                <w:spacing w:val="3"/>
                <w14:textFill>
                  <w14:solidFill>
                    <w14:schemeClr w14:val="tx1"/>
                  </w14:solidFill>
                </w14:textFill>
              </w:rPr>
              <w:t>符合</w:t>
            </w:r>
          </w:p>
        </w:tc>
      </w:tr>
      <w:tr w14:paraId="5DF4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3" w:type="pct"/>
            <w:noWrap w:val="0"/>
            <w:vAlign w:val="center"/>
          </w:tcPr>
          <w:p w14:paraId="7FB56D66">
            <w:pPr>
              <w:pStyle w:val="51"/>
              <w:keepNext w:val="0"/>
              <w:keepLines w:val="0"/>
              <w:pageBreakBefore w:val="0"/>
              <w:widowControl w:val="0"/>
              <w:numPr>
                <w:ilvl w:val="0"/>
                <w:numId w:val="47"/>
              </w:numPr>
              <w:kinsoku/>
              <w:bidi w:val="0"/>
              <w:ind w:left="425" w:leftChars="0" w:hanging="425" w:firstLineChars="0"/>
              <w:rPr>
                <w:color w:val="000000" w:themeColor="text1"/>
                <w:sz w:val="21"/>
                <w:szCs w:val="21"/>
                <w14:textFill>
                  <w14:solidFill>
                    <w14:schemeClr w14:val="tx1"/>
                  </w14:solidFill>
                </w14:textFill>
              </w:rPr>
            </w:pPr>
          </w:p>
        </w:tc>
        <w:tc>
          <w:tcPr>
            <w:tcW w:w="2099" w:type="pct"/>
            <w:noWrap w:val="0"/>
            <w:vAlign w:val="center"/>
          </w:tcPr>
          <w:p w14:paraId="2F0D3AB2">
            <w:pPr>
              <w:pStyle w:val="50"/>
              <w:keepNext w:val="0"/>
              <w:keepLines w:val="0"/>
              <w:pageBreakBefore w:val="0"/>
              <w:widowControl w:val="0"/>
              <w:kinsoku/>
              <w:bidi w:val="0"/>
              <w:ind w:left="0" w:leftChars="0" w:firstLine="0" w:firstLineChars="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本项目不设升压站，主要为场区消防。光伏电池组件的防雷接地，可将光伏电池组件边框与支架可靠连接，然后与接地网连接，雷电流可以通 过光伏电池组件边框直接散流入地。光伏阵列内35kV 箱变位置设干粉灭火 器，每台箱变设备配置2具，共计30具，用于扑灭可能的电气火灾。</w:t>
            </w:r>
          </w:p>
        </w:tc>
        <w:tc>
          <w:tcPr>
            <w:tcW w:w="1258" w:type="pct"/>
            <w:noWrap w:val="0"/>
            <w:vAlign w:val="center"/>
          </w:tcPr>
          <w:p w14:paraId="63CDC4C0">
            <w:pPr>
              <w:pStyle w:val="50"/>
              <w:keepNext w:val="0"/>
              <w:keepLines w:val="0"/>
              <w:pageBreakBefore w:val="0"/>
              <w:widowControl w:val="0"/>
              <w:kinsoku/>
              <w:bidi w:val="0"/>
              <w:ind w:left="0" w:leftChars="0" w:firstLine="0" w:firstLineChars="0"/>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安全设施设计</w:t>
            </w:r>
            <w:r>
              <w:rPr>
                <w:rFonts w:hint="eastAsia" w:ascii="宋体" w:hAnsi="宋体" w:eastAsia="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2.2.5</w:t>
            </w:r>
          </w:p>
        </w:tc>
        <w:tc>
          <w:tcPr>
            <w:tcW w:w="994" w:type="pct"/>
            <w:noWrap w:val="0"/>
            <w:vAlign w:val="center"/>
          </w:tcPr>
          <w:p w14:paraId="7E1054C3">
            <w:pPr>
              <w:pStyle w:val="50"/>
              <w:keepNext w:val="0"/>
              <w:keepLines w:val="0"/>
              <w:pageBreakBefore w:val="0"/>
              <w:widowControl w:val="0"/>
              <w:kinsoku/>
              <w:bidi w:val="0"/>
              <w:ind w:left="0" w:leftChars="0" w:firstLine="0" w:firstLineChars="0"/>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本项目不设升压站，光伏阵列内35kV 箱变位置设干粉灭火 器，每台箱变设备配置2具</w:t>
            </w:r>
            <w:r>
              <w:rPr>
                <w:rFonts w:hint="eastAsia" w:ascii="宋体" w:hAnsi="宋体" w:eastAsia="宋体" w:cs="宋体"/>
                <w:color w:val="000000" w:themeColor="text1"/>
                <w:sz w:val="21"/>
                <w:szCs w:val="21"/>
                <w:lang w:eastAsia="zh-CN"/>
                <w14:textFill>
                  <w14:solidFill>
                    <w14:schemeClr w14:val="tx1"/>
                  </w14:solidFill>
                </w14:textFill>
              </w:rPr>
              <w:t>。</w:t>
            </w:r>
          </w:p>
        </w:tc>
        <w:tc>
          <w:tcPr>
            <w:tcW w:w="414" w:type="pct"/>
            <w:noWrap w:val="0"/>
            <w:vAlign w:val="center"/>
          </w:tcPr>
          <w:p w14:paraId="5E814D4D">
            <w:pPr>
              <w:pStyle w:val="50"/>
              <w:keepNext w:val="0"/>
              <w:keepLines w:val="0"/>
              <w:pageBreakBefore w:val="0"/>
              <w:widowControl w:val="0"/>
              <w:kinsoku/>
              <w:bidi w:val="0"/>
              <w:ind w:left="0" w:leftChars="0" w:right="0" w:rightChars="0"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bl>
    <w:p w14:paraId="760DE5AD">
      <w:pPr>
        <w:keepNext w:val="0"/>
        <w:keepLines w:val="0"/>
        <w:pageBreakBefore w:val="0"/>
        <w:widowControl w:val="0"/>
        <w:kinsoku/>
        <w:wordWrap/>
        <w:overflowPunct/>
        <w:topLinePunct w:val="0"/>
        <w:autoSpaceDE/>
        <w:autoSpaceDN/>
        <w:bidi w:val="0"/>
        <w:adjustRightInd/>
        <w:snapToGrid/>
        <w:ind w:left="0" w:leftChars="0" w:firstLine="568"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spacing w:val="2"/>
          <w14:textFill>
            <w14:solidFill>
              <w14:schemeClr w14:val="tx1"/>
            </w14:solidFill>
          </w14:textFill>
        </w:rPr>
        <w:t>评价分析：针对</w:t>
      </w:r>
      <w:r>
        <w:rPr>
          <w:rFonts w:hint="eastAsia" w:ascii="宋体" w:hAnsi="宋体" w:eastAsia="宋体" w:cs="宋体"/>
          <w:color w:val="000000" w:themeColor="text1"/>
          <w:spacing w:val="2"/>
          <w:lang w:val="en-US" w:eastAsia="zh-CN"/>
          <w14:textFill>
            <w14:solidFill>
              <w14:schemeClr w14:val="tx1"/>
            </w14:solidFill>
          </w14:textFill>
        </w:rPr>
        <w:t>消防</w:t>
      </w:r>
      <w:r>
        <w:rPr>
          <w:rFonts w:hint="eastAsia" w:ascii="宋体" w:hAnsi="宋体" w:eastAsia="宋体" w:cs="宋体"/>
          <w:color w:val="000000" w:themeColor="text1"/>
          <w:spacing w:val="2"/>
          <w14:textFill>
            <w14:solidFill>
              <w14:schemeClr w14:val="tx1"/>
            </w14:solidFill>
          </w14:textFill>
        </w:rPr>
        <w:t>系统安全检查表内的</w:t>
      </w:r>
      <w:r>
        <w:rPr>
          <w:rFonts w:hint="eastAsia" w:ascii="宋体" w:hAnsi="宋体" w:cs="宋体"/>
          <w:color w:val="000000" w:themeColor="text1"/>
          <w:spacing w:val="2"/>
          <w:lang w:val="en-US" w:eastAsia="zh-CN"/>
          <w14:textFill>
            <w14:solidFill>
              <w14:schemeClr w14:val="tx1"/>
            </w14:solidFill>
          </w14:textFill>
        </w:rPr>
        <w:t>11</w:t>
      </w:r>
      <w:r>
        <w:rPr>
          <w:rFonts w:hint="eastAsia" w:ascii="宋体" w:hAnsi="宋体" w:eastAsia="宋体" w:cs="宋体"/>
          <w:color w:val="000000" w:themeColor="text1"/>
          <w:spacing w:val="2"/>
          <w14:textFill>
            <w14:solidFill>
              <w14:schemeClr w14:val="tx1"/>
            </w14:solidFill>
          </w14:textFill>
        </w:rPr>
        <w:t>项内容，其中</w:t>
      </w:r>
      <w:r>
        <w:rPr>
          <w:rFonts w:hint="eastAsia" w:ascii="宋体" w:hAnsi="宋体" w:cs="宋体"/>
          <w:color w:val="000000" w:themeColor="text1"/>
          <w:spacing w:val="2"/>
          <w:lang w:val="en-US" w:eastAsia="zh-CN"/>
          <w14:textFill>
            <w14:solidFill>
              <w14:schemeClr w14:val="tx1"/>
            </w14:solidFill>
          </w14:textFill>
        </w:rPr>
        <w:t>11</w:t>
      </w:r>
      <w:r>
        <w:rPr>
          <w:rFonts w:hint="eastAsia" w:ascii="宋体" w:hAnsi="宋体" w:eastAsia="宋体" w:cs="宋体"/>
          <w:color w:val="000000" w:themeColor="text1"/>
          <w:spacing w:val="2"/>
          <w14:textFill>
            <w14:solidFill>
              <w14:schemeClr w14:val="tx1"/>
            </w14:solidFill>
          </w14:textFill>
        </w:rPr>
        <w:t>项合格，0</w:t>
      </w:r>
      <w:r>
        <w:rPr>
          <w:rFonts w:hint="eastAsia" w:ascii="宋体" w:hAnsi="宋体" w:eastAsia="宋体" w:cs="宋体"/>
          <w:color w:val="000000" w:themeColor="text1"/>
          <w:spacing w:val="2"/>
          <w:lang w:val="en-US" w:eastAsia="zh-CN"/>
          <w14:textFill>
            <w14:solidFill>
              <w14:schemeClr w14:val="tx1"/>
            </w14:solidFill>
          </w14:textFill>
        </w:rPr>
        <w:t>不合格。</w:t>
      </w:r>
    </w:p>
    <w:p w14:paraId="1CB7BDD6">
      <w:pPr>
        <w:pStyle w:val="5"/>
        <w:keepNext w:val="0"/>
        <w:keepLines w:val="0"/>
        <w:pageBreakBefore w:val="0"/>
        <w:widowControl w:val="0"/>
        <w:tabs>
          <w:tab w:val="left" w:pos="0"/>
          <w:tab w:val="clear" w:pos="420"/>
        </w:tabs>
        <w:kinsoku/>
        <w:bidi w:val="0"/>
        <w:outlineLvl w:val="3"/>
        <w:rPr>
          <w:rFonts w:hint="eastAsia"/>
          <w:color w:val="000000" w:themeColor="text1"/>
          <w:lang w:val="en-US" w:eastAsia="zh-CN"/>
          <w14:textFill>
            <w14:solidFill>
              <w14:schemeClr w14:val="tx1"/>
            </w14:solidFill>
          </w14:textFill>
        </w:rPr>
      </w:pPr>
      <w:r>
        <w:rPr>
          <w:rFonts w:hint="eastAsia"/>
          <w:b/>
          <w:bCs/>
          <w:color w:val="000000" w:themeColor="text1"/>
          <w14:textFill>
            <w14:solidFill>
              <w14:schemeClr w14:val="tx1"/>
            </w14:solidFill>
          </w14:textFill>
        </w:rPr>
        <w:t>消防</w:t>
      </w:r>
      <w:r>
        <w:rPr>
          <w:b/>
          <w:bCs/>
          <w:color w:val="000000" w:themeColor="text1"/>
          <w14:textFill>
            <w14:solidFill>
              <w14:schemeClr w14:val="tx1"/>
            </w14:solidFill>
          </w14:textFill>
        </w:rPr>
        <w:t>子单元小结</w:t>
      </w:r>
    </w:p>
    <w:p w14:paraId="10E2EF0A">
      <w:pPr>
        <w:keepNext w:val="0"/>
        <w:keepLines w:val="0"/>
        <w:pageBreakBefore w:val="0"/>
        <w:widowControl w:val="0"/>
        <w:kinsoku/>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项目箱变及逆变器等设备均配置了相应的灭火器，光伏电站消防工程项目通过了竣工验收，满足设计及相关规范要求。</w:t>
      </w:r>
    </w:p>
    <w:p w14:paraId="32C2C27E">
      <w:pPr>
        <w:keepNext w:val="0"/>
        <w:keepLines w:val="0"/>
        <w:pageBreakBefore w:val="0"/>
        <w:widowControl w:val="0"/>
        <w:kinsoku/>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消防系统子单元符合《中华人民共和国消防法》《建筑设计防火规范（2018年版）》（GB50016-2014）、《建筑灭火器配置设计规范》（GB50140-2005）、《光伏发电站设计规范》（GB50797-2012）等法律法规及标准规范的要求。</w:t>
      </w:r>
    </w:p>
    <w:p w14:paraId="6B9B82AD">
      <w:pPr>
        <w:pStyle w:val="4"/>
        <w:bidi w:val="0"/>
        <w:rPr>
          <w:color w:val="000000" w:themeColor="text1"/>
          <w14:textFill>
            <w14:solidFill>
              <w14:schemeClr w14:val="tx1"/>
            </w14:solidFill>
          </w14:textFill>
        </w:rPr>
      </w:pPr>
      <w:bookmarkStart w:id="339" w:name="_Toc23591"/>
      <w:bookmarkStart w:id="340" w:name="_Toc1303"/>
      <w:r>
        <w:rPr>
          <w:color w:val="000000" w:themeColor="text1"/>
          <w14:textFill>
            <w14:solidFill>
              <w14:schemeClr w14:val="tx1"/>
            </w14:solidFill>
          </w14:textFill>
        </w:rPr>
        <w:t>给排水系统子单元</w:t>
      </w:r>
      <w:bookmarkEnd w:id="339"/>
      <w:bookmarkEnd w:id="340"/>
    </w:p>
    <w:p w14:paraId="19C02413">
      <w:pPr>
        <w:pStyle w:val="5"/>
        <w:bidi w:val="0"/>
        <w:rPr>
          <w:b/>
          <w:bCs/>
          <w:color w:val="000000" w:themeColor="text1"/>
          <w14:textFill>
            <w14:solidFill>
              <w14:schemeClr w14:val="tx1"/>
            </w14:solidFill>
          </w14:textFill>
        </w:rPr>
      </w:pPr>
      <w:r>
        <w:rPr>
          <w:b/>
          <w:bCs/>
          <w:color w:val="000000" w:themeColor="text1"/>
          <w14:textFill>
            <w14:solidFill>
              <w14:schemeClr w14:val="tx1"/>
            </w14:solidFill>
          </w14:textFill>
        </w:rPr>
        <w:t>给排水系统子单元安全检查表</w:t>
      </w:r>
    </w:p>
    <w:p w14:paraId="19A20313">
      <w:pPr>
        <w:pStyle w:val="12"/>
        <w:keepNext w:val="0"/>
        <w:keepLines w:val="0"/>
        <w:pageBreakBefore w:val="0"/>
        <w:widowControl w:val="0"/>
        <w:numPr>
          <w:ilvl w:val="0"/>
          <w:numId w:val="0"/>
        </w:numPr>
        <w:kinsoku/>
        <w:bidi w:val="0"/>
        <w:spacing w:line="360" w:lineRule="auto"/>
        <w:ind w:left="0" w:leftChars="0" w:firstLine="482" w:firstLineChars="200"/>
        <w:jc w:val="center"/>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t>给排水系统子单元安全检查表</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3765"/>
        <w:gridCol w:w="2126"/>
        <w:gridCol w:w="1930"/>
        <w:gridCol w:w="714"/>
      </w:tblGrid>
      <w:tr w14:paraId="6096A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blHeader/>
          <w:jc w:val="center"/>
        </w:trPr>
        <w:tc>
          <w:tcPr>
            <w:tcW w:w="537" w:type="dxa"/>
            <w:noWrap w:val="0"/>
            <w:vAlign w:val="center"/>
          </w:tcPr>
          <w:p w14:paraId="3451BC94">
            <w:pPr>
              <w:pStyle w:val="5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3765" w:type="dxa"/>
            <w:noWrap w:val="0"/>
            <w:vAlign w:val="center"/>
          </w:tcPr>
          <w:p w14:paraId="4C643E5F">
            <w:pPr>
              <w:pStyle w:val="5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检查内容</w:t>
            </w:r>
          </w:p>
        </w:tc>
        <w:tc>
          <w:tcPr>
            <w:tcW w:w="2126" w:type="dxa"/>
            <w:noWrap w:val="0"/>
            <w:vAlign w:val="center"/>
          </w:tcPr>
          <w:p w14:paraId="491622EA">
            <w:pPr>
              <w:pStyle w:val="5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依据标准</w:t>
            </w:r>
          </w:p>
        </w:tc>
        <w:tc>
          <w:tcPr>
            <w:tcW w:w="1930" w:type="dxa"/>
            <w:noWrap w:val="0"/>
            <w:vAlign w:val="center"/>
          </w:tcPr>
          <w:p w14:paraId="71C7271E">
            <w:pPr>
              <w:pStyle w:val="5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检查情况</w:t>
            </w:r>
          </w:p>
        </w:tc>
        <w:tc>
          <w:tcPr>
            <w:tcW w:w="714" w:type="dxa"/>
            <w:noWrap w:val="0"/>
            <w:vAlign w:val="center"/>
          </w:tcPr>
          <w:p w14:paraId="5304AACC">
            <w:pPr>
              <w:pStyle w:val="50"/>
              <w:keepNext w:val="0"/>
              <w:keepLines w:val="0"/>
              <w:pageBreakBefore w:val="0"/>
              <w:widowControl w:val="0"/>
              <w:kinsoku/>
              <w:bidi w:val="0"/>
              <w:ind w:left="0" w:leftChars="0" w:right="0" w:rightChars="0" w:firstLine="0" w:firstLineChars="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检查结果</w:t>
            </w:r>
          </w:p>
        </w:tc>
      </w:tr>
      <w:tr w14:paraId="13F87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583103B2">
            <w:pPr>
              <w:pStyle w:val="51"/>
              <w:keepNext w:val="0"/>
              <w:keepLines w:val="0"/>
              <w:pageBreakBefore w:val="0"/>
              <w:widowControl w:val="0"/>
              <w:numPr>
                <w:ilvl w:val="0"/>
                <w:numId w:val="48"/>
              </w:numPr>
              <w:kinsoku/>
              <w:bidi w:val="0"/>
              <w:ind w:left="425" w:leftChars="0" w:hanging="425" w:firstLineChars="0"/>
              <w:rPr>
                <w:color w:val="000000" w:themeColor="text1"/>
                <w14:textFill>
                  <w14:solidFill>
                    <w14:schemeClr w14:val="tx1"/>
                  </w14:solidFill>
                </w14:textFill>
              </w:rPr>
            </w:pPr>
          </w:p>
        </w:tc>
        <w:tc>
          <w:tcPr>
            <w:tcW w:w="3765" w:type="dxa"/>
            <w:noWrap w:val="0"/>
            <w:vAlign w:val="center"/>
          </w:tcPr>
          <w:p w14:paraId="61EBE2DD">
            <w:pPr>
              <w:pStyle w:val="50"/>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变电站应具备可靠的水源，饮用水的水质应符合国家饮用水卫生标准。变电站的生产及生活污水应符合国家或地方排放标准。</w:t>
            </w:r>
          </w:p>
        </w:tc>
        <w:tc>
          <w:tcPr>
            <w:tcW w:w="2126" w:type="dxa"/>
            <w:noWrap w:val="0"/>
            <w:vAlign w:val="center"/>
          </w:tcPr>
          <w:p w14:paraId="4ABB1EA5">
            <w:pPr>
              <w:pStyle w:val="50"/>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w:t>《变电站总布置设计技术规程》（DL/T5056-2007）第4.0.5条</w:t>
            </w:r>
          </w:p>
        </w:tc>
        <w:tc>
          <w:tcPr>
            <w:tcW w:w="1930" w:type="dxa"/>
            <w:noWrap w:val="0"/>
            <w:vAlign w:val="center"/>
          </w:tcPr>
          <w:p w14:paraId="04E68D26">
            <w:pPr>
              <w:pStyle w:val="50"/>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本项目无生产废水；生活污水处理后作为绿化水使用。</w:t>
            </w:r>
          </w:p>
        </w:tc>
        <w:tc>
          <w:tcPr>
            <w:tcW w:w="714" w:type="dxa"/>
            <w:noWrap w:val="0"/>
            <w:vAlign w:val="center"/>
          </w:tcPr>
          <w:p w14:paraId="273404A3">
            <w:pPr>
              <w:pStyle w:val="50"/>
              <w:keepNext w:val="0"/>
              <w:keepLines w:val="0"/>
              <w:pageBreakBefore w:val="0"/>
              <w:widowControl w:val="0"/>
              <w:kinsoku/>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符合</w:t>
            </w:r>
          </w:p>
        </w:tc>
      </w:tr>
      <w:tr w14:paraId="7922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537" w:type="dxa"/>
            <w:noWrap w:val="0"/>
            <w:vAlign w:val="center"/>
          </w:tcPr>
          <w:p w14:paraId="31129A13">
            <w:pPr>
              <w:pStyle w:val="51"/>
              <w:keepNext w:val="0"/>
              <w:keepLines w:val="0"/>
              <w:pageBreakBefore w:val="0"/>
              <w:widowControl w:val="0"/>
              <w:numPr>
                <w:ilvl w:val="0"/>
                <w:numId w:val="48"/>
              </w:numPr>
              <w:kinsoku/>
              <w:bidi w:val="0"/>
              <w:ind w:left="425" w:leftChars="0" w:hanging="425"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p>
        </w:tc>
        <w:tc>
          <w:tcPr>
            <w:tcW w:w="3765" w:type="dxa"/>
            <w:noWrap w:val="0"/>
            <w:vAlign w:val="center"/>
          </w:tcPr>
          <w:p w14:paraId="5EB3C0DB">
            <w:pPr>
              <w:pStyle w:val="50"/>
              <w:keepNext w:val="0"/>
              <w:keepLines w:val="0"/>
              <w:pageBreakBefore w:val="0"/>
              <w:widowControl w:val="0"/>
              <w:kinsoku/>
              <w:bidi w:val="0"/>
              <w:ind w:left="0" w:leftChars="0" w:firstLine="0"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站区生活污水、生产废水和雨水宜采用分流制。</w:t>
            </w:r>
          </w:p>
        </w:tc>
        <w:tc>
          <w:tcPr>
            <w:tcW w:w="2126" w:type="dxa"/>
            <w:noWrap w:val="0"/>
            <w:vAlign w:val="center"/>
          </w:tcPr>
          <w:p w14:paraId="51AE9B90">
            <w:pPr>
              <w:pStyle w:val="50"/>
              <w:keepNext w:val="0"/>
              <w:keepLines w:val="0"/>
              <w:pageBreakBefore w:val="0"/>
              <w:widowControl w:val="0"/>
              <w:kinsoku/>
              <w:bidi w:val="0"/>
              <w:ind w:left="0" w:leftChars="0" w:firstLine="0"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《220kV～750kV变电站设计技术规程》（DL/T5218-2012）9.0.4</w:t>
            </w:r>
          </w:p>
        </w:tc>
        <w:tc>
          <w:tcPr>
            <w:tcW w:w="1930" w:type="dxa"/>
            <w:noWrap w:val="0"/>
            <w:vAlign w:val="center"/>
          </w:tcPr>
          <w:p w14:paraId="350180D2">
            <w:pPr>
              <w:pStyle w:val="50"/>
              <w:keepNext w:val="0"/>
              <w:keepLines w:val="0"/>
              <w:pageBreakBefore w:val="0"/>
              <w:widowControl w:val="0"/>
              <w:kinsoku/>
              <w:bidi w:val="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本项目无生产废水；生活污水和雨水分流；生活污水处理后作为绿化水使用。</w:t>
            </w:r>
          </w:p>
        </w:tc>
        <w:tc>
          <w:tcPr>
            <w:tcW w:w="714" w:type="dxa"/>
            <w:noWrap w:val="0"/>
            <w:vAlign w:val="center"/>
          </w:tcPr>
          <w:p w14:paraId="0A524DC5">
            <w:pPr>
              <w:pStyle w:val="50"/>
              <w:keepNext w:val="0"/>
              <w:keepLines w:val="0"/>
              <w:pageBreakBefore w:val="0"/>
              <w:widowControl w:val="0"/>
              <w:kinsoku/>
              <w:bidi w:val="0"/>
              <w:ind w:left="0" w:leftChars="0" w:right="0" w:rightChars="0" w:firstLine="0" w:firstLineChars="0"/>
              <w:jc w:val="cente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符合</w:t>
            </w:r>
          </w:p>
        </w:tc>
      </w:tr>
      <w:tr w14:paraId="6125D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27E5D5E1">
            <w:pPr>
              <w:pStyle w:val="51"/>
              <w:keepNext w:val="0"/>
              <w:keepLines w:val="0"/>
              <w:pageBreakBefore w:val="0"/>
              <w:widowControl w:val="0"/>
              <w:numPr>
                <w:ilvl w:val="0"/>
                <w:numId w:val="48"/>
              </w:numPr>
              <w:kinsoku/>
              <w:bidi w:val="0"/>
              <w:ind w:left="425" w:leftChars="0" w:hanging="425" w:firstLineChars="0"/>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p>
        </w:tc>
        <w:tc>
          <w:tcPr>
            <w:tcW w:w="3765" w:type="dxa"/>
            <w:shd w:val="clear" w:color="auto" w:fill="auto"/>
            <w:noWrap w:val="0"/>
            <w:vAlign w:val="top"/>
          </w:tcPr>
          <w:p w14:paraId="5FDDF744">
            <w:pPr>
              <w:pStyle w:val="42"/>
              <w:spacing w:before="56" w:line="233" w:lineRule="auto"/>
              <w:ind w:left="104" w:leftChars="0" w:right="104" w:rightChars="0" w:firstLine="0" w:firstLineChars="0"/>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生活饮用水的水质应符合现行国家标准《生活饮 用水卫生标准》GB 5749-2022 的规定。</w:t>
            </w:r>
          </w:p>
        </w:tc>
        <w:tc>
          <w:tcPr>
            <w:tcW w:w="2126" w:type="dxa"/>
            <w:shd w:val="clear" w:color="auto" w:fill="auto"/>
            <w:noWrap w:val="0"/>
            <w:vAlign w:val="top"/>
          </w:tcPr>
          <w:p w14:paraId="43B12860">
            <w:pPr>
              <w:pStyle w:val="50"/>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《光伏发电站设计规范》（GB 50797-2012）</w:t>
            </w:r>
          </w:p>
          <w:p w14:paraId="25A4A623">
            <w:pPr>
              <w:pStyle w:val="42"/>
              <w:spacing w:before="56" w:line="233" w:lineRule="auto"/>
              <w:ind w:left="117" w:leftChars="0" w:right="97" w:rightChars="0" w:firstLine="4" w:firstLineChars="0"/>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第11.1.3条</w:t>
            </w:r>
          </w:p>
        </w:tc>
        <w:tc>
          <w:tcPr>
            <w:tcW w:w="1930" w:type="dxa"/>
            <w:shd w:val="clear" w:color="auto" w:fill="auto"/>
            <w:noWrap w:val="0"/>
            <w:vAlign w:val="top"/>
          </w:tcPr>
          <w:p w14:paraId="7BE960EC">
            <w:pPr>
              <w:pStyle w:val="42"/>
              <w:spacing w:before="56" w:line="233" w:lineRule="auto"/>
              <w:ind w:left="123" w:leftChars="0" w:right="66" w:rightChars="0" w:firstLine="1" w:firstLineChars="0"/>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项目建设现场 符合设计要求。</w:t>
            </w:r>
          </w:p>
        </w:tc>
        <w:tc>
          <w:tcPr>
            <w:tcW w:w="714" w:type="dxa"/>
            <w:shd w:val="clear" w:color="auto" w:fill="auto"/>
            <w:noWrap w:val="0"/>
            <w:vAlign w:val="top"/>
          </w:tcPr>
          <w:p w14:paraId="2FCB844B">
            <w:pPr>
              <w:pStyle w:val="42"/>
              <w:spacing w:before="189" w:line="228" w:lineRule="auto"/>
              <w:rPr>
                <w:rFonts w:ascii="Times New Roman" w:hAnsi="Times New Roman" w:eastAsia="宋体" w:cs="Times New Roman"/>
                <w:color w:val="000000" w:themeColor="text1"/>
                <w:kern w:val="2"/>
                <w:sz w:val="21"/>
                <w:szCs w:val="22"/>
                <w:lang w:val="en-US" w:eastAsia="en-US"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符合</w:t>
            </w:r>
          </w:p>
        </w:tc>
      </w:tr>
      <w:tr w14:paraId="0926F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7FF89627">
            <w:pPr>
              <w:pStyle w:val="51"/>
              <w:keepNext w:val="0"/>
              <w:keepLines w:val="0"/>
              <w:pageBreakBefore w:val="0"/>
              <w:widowControl w:val="0"/>
              <w:numPr>
                <w:ilvl w:val="0"/>
                <w:numId w:val="48"/>
              </w:numPr>
              <w:kinsoku/>
              <w:bidi w:val="0"/>
              <w:ind w:left="425" w:leftChars="0" w:hanging="425"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p>
        </w:tc>
        <w:tc>
          <w:tcPr>
            <w:tcW w:w="3765" w:type="dxa"/>
            <w:noWrap w:val="0"/>
            <w:vAlign w:val="center"/>
          </w:tcPr>
          <w:p w14:paraId="6C706B06">
            <w:pPr>
              <w:pStyle w:val="50"/>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地上、地下设施中的基础、管线，管架、管沟、隧道及地下室等的标高和布置，应统一安排，合理交叉，维修、扩建便利，排水畅通。</w:t>
            </w:r>
          </w:p>
        </w:tc>
        <w:tc>
          <w:tcPr>
            <w:tcW w:w="2126" w:type="dxa"/>
            <w:noWrap w:val="0"/>
            <w:vAlign w:val="center"/>
          </w:tcPr>
          <w:p w14:paraId="1B26254D">
            <w:pPr>
              <w:pStyle w:val="50"/>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《光伏发电站设计规范》（GB 50797-2012）</w:t>
            </w:r>
          </w:p>
          <w:p w14:paraId="66E5541F">
            <w:pPr>
              <w:pStyle w:val="50"/>
              <w:keepNext w:val="0"/>
              <w:keepLines w:val="0"/>
              <w:pageBreakBefore w:val="0"/>
              <w:widowControl w:val="0"/>
              <w:kinsoku/>
              <w:bidi w:val="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第7.1.8条</w:t>
            </w:r>
          </w:p>
        </w:tc>
        <w:tc>
          <w:tcPr>
            <w:tcW w:w="1930" w:type="dxa"/>
            <w:noWrap w:val="0"/>
            <w:vAlign w:val="center"/>
          </w:tcPr>
          <w:p w14:paraId="11C379F4">
            <w:pPr>
              <w:pStyle w:val="50"/>
              <w:keepNext w:val="0"/>
              <w:keepLines w:val="0"/>
              <w:pageBreakBefore w:val="0"/>
              <w:widowControl w:val="0"/>
              <w:kinsoku/>
              <w:bidi w:val="0"/>
              <w:ind w:left="0" w:leftChars="0" w:firstLine="0" w:firstLineChars="0"/>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2"/>
                <w:lang w:val="en-US" w:eastAsia="zh-CN" w:bidi="ar-SA"/>
                <w14:textFill>
                  <w14:solidFill>
                    <w14:schemeClr w14:val="tx1"/>
                  </w14:solidFill>
                </w14:textFill>
              </w:rPr>
              <w:t>维修便利，排水畅通。</w:t>
            </w:r>
          </w:p>
        </w:tc>
        <w:tc>
          <w:tcPr>
            <w:tcW w:w="714" w:type="dxa"/>
            <w:noWrap w:val="0"/>
            <w:vAlign w:val="center"/>
          </w:tcPr>
          <w:p w14:paraId="3815A250">
            <w:pPr>
              <w:pStyle w:val="50"/>
              <w:keepNext w:val="0"/>
              <w:keepLines w:val="0"/>
              <w:pageBreakBefore w:val="0"/>
              <w:widowControl w:val="0"/>
              <w:kinsoku/>
              <w:bidi w:val="0"/>
              <w:ind w:left="0" w:leftChars="0" w:right="0" w:rightChars="0" w:firstLine="0" w:firstLineChars="0"/>
              <w:jc w:val="cente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pPr>
            <w:r>
              <w:rPr>
                <w:rFonts w:ascii="Times New Roman" w:hAnsi="Times New Roman" w:eastAsia="宋体" w:cs="Times New Roman"/>
                <w:color w:val="000000" w:themeColor="text1"/>
                <w:kern w:val="2"/>
                <w:sz w:val="21"/>
                <w:szCs w:val="22"/>
                <w:lang w:val="en-US" w:eastAsia="zh-CN" w:bidi="ar-SA"/>
                <w14:textFill>
                  <w14:solidFill>
                    <w14:schemeClr w14:val="tx1"/>
                  </w14:solidFill>
                </w14:textFill>
              </w:rPr>
              <w:t>符合</w:t>
            </w:r>
          </w:p>
        </w:tc>
      </w:tr>
      <w:tr w14:paraId="62C55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37" w:type="dxa"/>
            <w:noWrap w:val="0"/>
            <w:vAlign w:val="center"/>
          </w:tcPr>
          <w:p w14:paraId="124F22ED">
            <w:pPr>
              <w:pStyle w:val="51"/>
              <w:keepNext w:val="0"/>
              <w:keepLines w:val="0"/>
              <w:pageBreakBefore w:val="0"/>
              <w:widowControl w:val="0"/>
              <w:numPr>
                <w:ilvl w:val="0"/>
                <w:numId w:val="48"/>
              </w:numPr>
              <w:kinsoku/>
              <w:bidi w:val="0"/>
              <w:ind w:left="425" w:leftChars="0" w:hanging="425" w:firstLineChars="0"/>
              <w:rPr>
                <w:color w:val="000000" w:themeColor="text1"/>
                <w14:textFill>
                  <w14:solidFill>
                    <w14:schemeClr w14:val="tx1"/>
                  </w14:solidFill>
                </w14:textFill>
              </w:rPr>
            </w:pPr>
          </w:p>
        </w:tc>
        <w:tc>
          <w:tcPr>
            <w:tcW w:w="3765" w:type="dxa"/>
            <w:noWrap w:val="0"/>
            <w:vAlign w:val="center"/>
          </w:tcPr>
          <w:p w14:paraId="38246750">
            <w:pPr>
              <w:pStyle w:val="50"/>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对建在山区或丘陵地区的光伏发电站，在站</w:t>
            </w:r>
            <w:r>
              <w:rPr>
                <w:rFonts w:hint="eastAsia"/>
                <w:color w:val="000000" w:themeColor="text1"/>
                <w:lang w:val="en-US" w:eastAsia="zh-CN"/>
                <w14:textFill>
                  <w14:solidFill>
                    <w14:schemeClr w14:val="tx1"/>
                  </w14:solidFill>
                </w14:textFill>
              </w:rPr>
              <w:t>区</w:t>
            </w:r>
            <w:r>
              <w:rPr>
                <w:rFonts w:hint="eastAsia"/>
                <w:color w:val="000000" w:themeColor="text1"/>
                <w14:textFill>
                  <w14:solidFill>
                    <w14:schemeClr w14:val="tx1"/>
                  </w14:solidFill>
                </w14:textFill>
              </w:rPr>
              <w:t>边界处应有防止山洪流</w:t>
            </w:r>
            <w:r>
              <w:rPr>
                <w:rFonts w:hint="eastAsia"/>
                <w:color w:val="000000" w:themeColor="text1"/>
                <w:lang w:eastAsia="zh-CN"/>
                <w14:textFill>
                  <w14:solidFill>
                    <w14:schemeClr w14:val="tx1"/>
                  </w14:solidFill>
                </w14:textFill>
              </w:rPr>
              <w:t>入</w:t>
            </w:r>
            <w:r>
              <w:rPr>
                <w:rFonts w:hint="eastAsia"/>
                <w:color w:val="000000" w:themeColor="text1"/>
                <w14:textFill>
                  <w14:solidFill>
                    <w14:schemeClr w14:val="tx1"/>
                  </w14:solidFill>
                </w14:textFill>
              </w:rPr>
              <w:t>站区的设施。</w:t>
            </w:r>
          </w:p>
        </w:tc>
        <w:tc>
          <w:tcPr>
            <w:tcW w:w="2126" w:type="dxa"/>
            <w:noWrap w:val="0"/>
            <w:vAlign w:val="center"/>
          </w:tcPr>
          <w:p w14:paraId="2F429BE9">
            <w:pPr>
              <w:pStyle w:val="50"/>
              <w:keepNext w:val="0"/>
              <w:keepLines w:val="0"/>
              <w:pageBreakBefore w:val="0"/>
              <w:widowControl w:val="0"/>
              <w:kinsoku/>
              <w:bidi w:val="0"/>
              <w:ind w:left="0" w:lef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《光伏发电站设计规范》（GB 50797-2012）</w:t>
            </w:r>
          </w:p>
          <w:p w14:paraId="6104704F">
            <w:pPr>
              <w:pStyle w:val="50"/>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第7.1.9条</w:t>
            </w:r>
          </w:p>
        </w:tc>
        <w:tc>
          <w:tcPr>
            <w:tcW w:w="1930" w:type="dxa"/>
            <w:noWrap w:val="0"/>
            <w:vAlign w:val="center"/>
          </w:tcPr>
          <w:p w14:paraId="66664F57">
            <w:pPr>
              <w:pStyle w:val="50"/>
              <w:keepNext w:val="0"/>
              <w:keepLines w:val="0"/>
              <w:pageBreakBefore w:val="0"/>
              <w:widowControl w:val="0"/>
              <w:kinsoku/>
              <w:bidi w:val="0"/>
              <w:ind w:left="0" w:leftChars="0"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站址位于山坡顶上，避开山沟。</w:t>
            </w:r>
          </w:p>
        </w:tc>
        <w:tc>
          <w:tcPr>
            <w:tcW w:w="714" w:type="dxa"/>
            <w:noWrap w:val="0"/>
            <w:vAlign w:val="center"/>
          </w:tcPr>
          <w:p w14:paraId="12372576">
            <w:pPr>
              <w:pStyle w:val="50"/>
              <w:keepNext w:val="0"/>
              <w:keepLines w:val="0"/>
              <w:pageBreakBefore w:val="0"/>
              <w:widowControl w:val="0"/>
              <w:kinsoku/>
              <w:bidi w:val="0"/>
              <w:ind w:left="0" w:leftChars="0" w:right="0" w:rightChars="0"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t>符合</w:t>
            </w:r>
          </w:p>
        </w:tc>
      </w:tr>
    </w:tbl>
    <w:p w14:paraId="62CC3482">
      <w:pPr>
        <w:keepNext w:val="0"/>
        <w:keepLines w:val="0"/>
        <w:pageBreakBefore w:val="0"/>
        <w:widowControl w:val="0"/>
        <w:kinsoku/>
        <w:wordWrap/>
        <w:overflowPunct/>
        <w:topLinePunct w:val="0"/>
        <w:autoSpaceDE/>
        <w:autoSpaceDN/>
        <w:bidi w:val="0"/>
        <w:adjustRightInd/>
        <w:snapToGrid/>
        <w:ind w:left="0" w:leftChars="0" w:firstLine="568"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pacing w:val="2"/>
          <w14:textFill>
            <w14:solidFill>
              <w14:schemeClr w14:val="tx1"/>
            </w14:solidFill>
          </w14:textFill>
        </w:rPr>
        <w:t>评价分析：针对</w:t>
      </w:r>
      <w:r>
        <w:rPr>
          <w:rFonts w:hint="eastAsia" w:ascii="宋体" w:hAnsi="宋体" w:eastAsia="宋体" w:cs="宋体"/>
          <w:color w:val="000000" w:themeColor="text1"/>
          <w:spacing w:val="2"/>
          <w:lang w:val="en-US" w:eastAsia="zh-CN"/>
          <w14:textFill>
            <w14:solidFill>
              <w14:schemeClr w14:val="tx1"/>
            </w14:solidFill>
          </w14:textFill>
        </w:rPr>
        <w:t>给排水</w:t>
      </w:r>
      <w:r>
        <w:rPr>
          <w:rFonts w:hint="eastAsia" w:ascii="宋体" w:hAnsi="宋体" w:eastAsia="宋体" w:cs="宋体"/>
          <w:color w:val="000000" w:themeColor="text1"/>
          <w:spacing w:val="2"/>
          <w14:textFill>
            <w14:solidFill>
              <w14:schemeClr w14:val="tx1"/>
            </w14:solidFill>
          </w14:textFill>
        </w:rPr>
        <w:t>系统</w:t>
      </w:r>
      <w:r>
        <w:rPr>
          <w:rFonts w:hint="eastAsia" w:ascii="宋体" w:hAnsi="宋体" w:eastAsia="宋体" w:cs="宋体"/>
          <w:color w:val="000000" w:themeColor="text1"/>
          <w:spacing w:val="2"/>
          <w:lang w:val="en-US" w:eastAsia="zh-CN"/>
          <w14:textFill>
            <w14:solidFill>
              <w14:schemeClr w14:val="tx1"/>
            </w14:solidFill>
          </w14:textFill>
        </w:rPr>
        <w:t>子单元</w:t>
      </w:r>
      <w:r>
        <w:rPr>
          <w:rFonts w:hint="eastAsia" w:ascii="宋体" w:hAnsi="宋体" w:eastAsia="宋体" w:cs="宋体"/>
          <w:color w:val="000000" w:themeColor="text1"/>
          <w:spacing w:val="2"/>
          <w14:textFill>
            <w14:solidFill>
              <w14:schemeClr w14:val="tx1"/>
            </w14:solidFill>
          </w14:textFill>
        </w:rPr>
        <w:t>安全检查表内的</w:t>
      </w:r>
      <w:r>
        <w:rPr>
          <w:rFonts w:hint="eastAsia" w:ascii="宋体" w:hAnsi="宋体" w:eastAsia="宋体" w:cs="宋体"/>
          <w:color w:val="000000" w:themeColor="text1"/>
          <w:spacing w:val="2"/>
          <w:lang w:val="en-US" w:eastAsia="zh-CN"/>
          <w14:textFill>
            <w14:solidFill>
              <w14:schemeClr w14:val="tx1"/>
            </w14:solidFill>
          </w14:textFill>
        </w:rPr>
        <w:t>5</w:t>
      </w:r>
      <w:r>
        <w:rPr>
          <w:rFonts w:hint="eastAsia" w:ascii="宋体" w:hAnsi="宋体" w:eastAsia="宋体" w:cs="宋体"/>
          <w:color w:val="000000" w:themeColor="text1"/>
          <w:spacing w:val="2"/>
          <w14:textFill>
            <w14:solidFill>
              <w14:schemeClr w14:val="tx1"/>
            </w14:solidFill>
          </w14:textFill>
        </w:rPr>
        <w:t>项内容，其中</w:t>
      </w:r>
      <w:r>
        <w:rPr>
          <w:rFonts w:hint="eastAsia" w:ascii="宋体" w:hAnsi="宋体" w:eastAsia="宋体" w:cs="宋体"/>
          <w:color w:val="000000" w:themeColor="text1"/>
          <w:spacing w:val="2"/>
          <w:lang w:val="en-US" w:eastAsia="zh-CN"/>
          <w14:textFill>
            <w14:solidFill>
              <w14:schemeClr w14:val="tx1"/>
            </w14:solidFill>
          </w14:textFill>
        </w:rPr>
        <w:t>5</w:t>
      </w:r>
      <w:r>
        <w:rPr>
          <w:rFonts w:hint="eastAsia" w:ascii="宋体" w:hAnsi="宋体" w:eastAsia="宋体" w:cs="宋体"/>
          <w:color w:val="000000" w:themeColor="text1"/>
          <w:spacing w:val="2"/>
          <w14:textFill>
            <w14:solidFill>
              <w14:schemeClr w14:val="tx1"/>
            </w14:solidFill>
          </w14:textFill>
        </w:rPr>
        <w:t>项合格，0</w:t>
      </w:r>
      <w:r>
        <w:rPr>
          <w:rFonts w:hint="eastAsia" w:ascii="宋体" w:hAnsi="宋体" w:eastAsia="宋体" w:cs="宋体"/>
          <w:color w:val="000000" w:themeColor="text1"/>
          <w:spacing w:val="2"/>
          <w:lang w:val="en-US" w:eastAsia="zh-CN"/>
          <w14:textFill>
            <w14:solidFill>
              <w14:schemeClr w14:val="tx1"/>
            </w14:solidFill>
          </w14:textFill>
        </w:rPr>
        <w:t>不合格。</w:t>
      </w:r>
    </w:p>
    <w:p w14:paraId="69405EF3">
      <w:pPr>
        <w:pStyle w:val="5"/>
        <w:bidi w:val="0"/>
        <w:rPr>
          <w:rFonts w:hint="eastAsia" w:ascii="宋体" w:hAnsi="宋体" w:eastAsia="宋体" w:cs="宋体"/>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防排水系统</w:t>
      </w:r>
      <w:r>
        <w:rPr>
          <w:b/>
          <w:bCs/>
          <w:color w:val="000000" w:themeColor="text1"/>
          <w14:textFill>
            <w14:solidFill>
              <w14:schemeClr w14:val="tx1"/>
            </w14:solidFill>
          </w14:textFill>
        </w:rPr>
        <w:t>子单元小结</w:t>
      </w:r>
    </w:p>
    <w:p w14:paraId="6589D61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给排水子单元符合《变电站总布置设计技术规程》和《光伏发电站设计规范》（GB 50797-2012）的要求。</w:t>
      </w:r>
    </w:p>
    <w:p w14:paraId="45FA1AB0">
      <w:pPr>
        <w:pStyle w:val="4"/>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通讯</w:t>
      </w:r>
      <w:r>
        <w:rPr>
          <w:color w:val="000000" w:themeColor="text1"/>
          <w14:textFill>
            <w14:solidFill>
              <w14:schemeClr w14:val="tx1"/>
            </w14:solidFill>
          </w14:textFill>
        </w:rPr>
        <w:t>系统子单元</w:t>
      </w:r>
    </w:p>
    <w:p w14:paraId="7230009D">
      <w:pPr>
        <w:pStyle w:val="14"/>
        <w:keepNext w:val="0"/>
        <w:keepLines w:val="0"/>
        <w:pageBreakBefore w:val="0"/>
        <w:widowControl w:val="0"/>
        <w:kinsoku/>
        <w:wordWrap/>
        <w:overflowPunct/>
        <w:topLinePunct w:val="0"/>
        <w:autoSpaceDE/>
        <w:autoSpaceDN/>
        <w:bidi w:val="0"/>
        <w:adjustRightInd/>
        <w:snapToGrid/>
        <w:spacing w:after="0" w:line="500" w:lineRule="exact"/>
        <w:ind w:left="0" w:firstLine="563"/>
        <w:jc w:val="both"/>
        <w:textAlignment w:val="auto"/>
        <w:rPr>
          <w:color w:val="000000" w:themeColor="text1"/>
          <w:sz w:val="28"/>
          <w:szCs w:val="28"/>
          <w14:textFill>
            <w14:solidFill>
              <w14:schemeClr w14:val="tx1"/>
            </w14:solidFill>
          </w14:textFill>
        </w:rPr>
      </w:pPr>
      <w:r>
        <w:rPr>
          <w:color w:val="000000" w:themeColor="text1"/>
          <w:spacing w:val="-2"/>
          <w:sz w:val="28"/>
          <w:szCs w:val="28"/>
          <w14:textFill>
            <w14:solidFill>
              <w14:schemeClr w14:val="tx1"/>
            </w14:solidFill>
          </w14:textFill>
        </w:rPr>
        <w:t>通讯联络不通畅会导致信息不能及时传达，发</w:t>
      </w:r>
      <w:r>
        <w:rPr>
          <w:color w:val="000000" w:themeColor="text1"/>
          <w:spacing w:val="-3"/>
          <w:sz w:val="28"/>
          <w:szCs w:val="28"/>
          <w14:textFill>
            <w14:solidFill>
              <w14:schemeClr w14:val="tx1"/>
            </w14:solidFill>
          </w14:textFill>
        </w:rPr>
        <w:t>生安全事故时不能及时</w:t>
      </w:r>
      <w:r>
        <w:rPr>
          <w:color w:val="000000" w:themeColor="text1"/>
          <w:sz w:val="28"/>
          <w:szCs w:val="28"/>
          <w14:textFill>
            <w14:solidFill>
              <w14:schemeClr w14:val="tx1"/>
            </w14:solidFill>
          </w14:textFill>
        </w:rPr>
        <w:t xml:space="preserve"> </w:t>
      </w:r>
      <w:r>
        <w:rPr>
          <w:color w:val="000000" w:themeColor="text1"/>
          <w:spacing w:val="-2"/>
          <w:sz w:val="28"/>
          <w:szCs w:val="28"/>
          <w14:textFill>
            <w14:solidFill>
              <w14:schemeClr w14:val="tx1"/>
            </w14:solidFill>
          </w14:textFill>
        </w:rPr>
        <w:t>进行应急安全救援。项目场区周边村庄有中国移动、中国联通、中国</w:t>
      </w:r>
      <w:r>
        <w:rPr>
          <w:color w:val="000000" w:themeColor="text1"/>
          <w:spacing w:val="-3"/>
          <w:sz w:val="28"/>
          <w:szCs w:val="28"/>
          <w14:textFill>
            <w14:solidFill>
              <w14:schemeClr w14:val="tx1"/>
            </w14:solidFill>
          </w14:textFill>
        </w:rPr>
        <w:t>电信</w:t>
      </w:r>
      <w:r>
        <w:rPr>
          <w:color w:val="000000" w:themeColor="text1"/>
          <w:sz w:val="28"/>
          <w:szCs w:val="28"/>
          <w14:textFill>
            <w14:solidFill>
              <w14:schemeClr w14:val="tx1"/>
            </w14:solidFill>
          </w14:textFill>
        </w:rPr>
        <w:t xml:space="preserve"> </w:t>
      </w:r>
      <w:r>
        <w:rPr>
          <w:color w:val="000000" w:themeColor="text1"/>
          <w:spacing w:val="-2"/>
          <w:sz w:val="28"/>
          <w:szCs w:val="28"/>
          <w14:textFill>
            <w14:solidFill>
              <w14:schemeClr w14:val="tx1"/>
            </w14:solidFill>
          </w14:textFill>
        </w:rPr>
        <w:t>基站分布，手机通讯信号覆盖良好，能保证项目通讯所需。升压</w:t>
      </w:r>
      <w:r>
        <w:rPr>
          <w:color w:val="000000" w:themeColor="text1"/>
          <w:spacing w:val="-3"/>
          <w:sz w:val="28"/>
          <w:szCs w:val="28"/>
          <w14:textFill>
            <w14:solidFill>
              <w14:schemeClr w14:val="tx1"/>
            </w14:solidFill>
          </w14:textFill>
        </w:rPr>
        <w:t>站还通过</w:t>
      </w:r>
      <w:r>
        <w:rPr>
          <w:color w:val="000000" w:themeColor="text1"/>
          <w:sz w:val="28"/>
          <w:szCs w:val="28"/>
          <w14:textFill>
            <w14:solidFill>
              <w14:schemeClr w14:val="tx1"/>
            </w14:solidFill>
          </w14:textFill>
        </w:rPr>
        <w:t xml:space="preserve"> </w:t>
      </w:r>
      <w:r>
        <w:rPr>
          <w:color w:val="000000" w:themeColor="text1"/>
          <w:spacing w:val="-8"/>
          <w:sz w:val="28"/>
          <w:szCs w:val="28"/>
          <w14:textFill>
            <w14:solidFill>
              <w14:schemeClr w14:val="tx1"/>
            </w14:solidFill>
          </w14:textFill>
        </w:rPr>
        <w:t>电信网络与外部互联，内部建有区域网，用于各智能控制设备和视频监控。</w:t>
      </w:r>
    </w:p>
    <w:p w14:paraId="24CD9BC6">
      <w:pPr>
        <w:pStyle w:val="14"/>
        <w:keepNext w:val="0"/>
        <w:keepLines w:val="0"/>
        <w:pageBreakBefore w:val="0"/>
        <w:widowControl w:val="0"/>
        <w:kinsoku/>
        <w:wordWrap/>
        <w:overflowPunct/>
        <w:topLinePunct w:val="0"/>
        <w:autoSpaceDE/>
        <w:autoSpaceDN/>
        <w:bidi w:val="0"/>
        <w:adjustRightInd/>
        <w:snapToGrid/>
        <w:spacing w:after="0" w:line="500" w:lineRule="exact"/>
        <w:ind w:left="0"/>
        <w:textAlignment w:val="auto"/>
        <w:rPr>
          <w:color w:val="000000" w:themeColor="text1"/>
          <w:sz w:val="28"/>
          <w:szCs w:val="28"/>
          <w14:textFill>
            <w14:solidFill>
              <w14:schemeClr w14:val="tx1"/>
            </w14:solidFill>
          </w14:textFill>
        </w:rPr>
      </w:pPr>
      <w:r>
        <w:rPr>
          <w:color w:val="000000" w:themeColor="text1"/>
          <w:spacing w:val="-1"/>
          <w:sz w:val="28"/>
          <w:szCs w:val="28"/>
          <w14:textFill>
            <w14:solidFill>
              <w14:schemeClr w14:val="tx1"/>
            </w14:solidFill>
          </w14:textFill>
        </w:rPr>
        <w:t>经评价认为电站的通信系统单元满足安全生产要求。</w:t>
      </w:r>
    </w:p>
    <w:p w14:paraId="4E11BD47">
      <w:pPr>
        <w:pStyle w:val="4"/>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视频安防</w:t>
      </w:r>
      <w:r>
        <w:rPr>
          <w:color w:val="000000" w:themeColor="text1"/>
          <w14:textFill>
            <w14:solidFill>
              <w14:schemeClr w14:val="tx1"/>
            </w14:solidFill>
          </w14:textFill>
        </w:rPr>
        <w:t>系统子单元</w:t>
      </w:r>
    </w:p>
    <w:p w14:paraId="3E29D7B1">
      <w:pPr>
        <w:pStyle w:val="6"/>
        <w:bidi w:val="0"/>
        <w:rPr>
          <w:color w:val="000000" w:themeColor="text1"/>
          <w14:textFill>
            <w14:solidFill>
              <w14:schemeClr w14:val="tx1"/>
            </w14:solidFill>
          </w14:textFill>
        </w:rPr>
      </w:pPr>
      <w:r>
        <w:rPr>
          <w:color w:val="000000" w:themeColor="text1"/>
          <w14:textFill>
            <w14:solidFill>
              <w14:schemeClr w14:val="tx1"/>
            </w14:solidFill>
          </w14:textFill>
        </w:rPr>
        <w:t>视频安防系统子单元安全检查表</w:t>
      </w:r>
    </w:p>
    <w:p w14:paraId="4EF15421">
      <w:pPr>
        <w:pStyle w:val="12"/>
        <w:keepNext w:val="0"/>
        <w:keepLines w:val="0"/>
        <w:pageBreakBefore w:val="0"/>
        <w:widowControl w:val="0"/>
        <w:numPr>
          <w:ilvl w:val="0"/>
          <w:numId w:val="0"/>
        </w:numPr>
        <w:kinsoku/>
        <w:bidi w:val="0"/>
        <w:spacing w:line="360" w:lineRule="auto"/>
        <w:ind w:left="0" w:leftChars="0" w:firstLine="482" w:firstLineChars="200"/>
        <w:jc w:val="center"/>
        <w:rPr>
          <w:color w:val="000000" w:themeColor="text1"/>
          <w14:textFill>
            <w14:solidFill>
              <w14:schemeClr w14:val="tx1"/>
            </w14:solidFill>
          </w14:textFill>
        </w:rPr>
      </w:pPr>
    </w:p>
    <w:p w14:paraId="45ABEAB9">
      <w:pPr>
        <w:pStyle w:val="12"/>
        <w:keepNext w:val="0"/>
        <w:keepLines w:val="0"/>
        <w:pageBreakBefore w:val="0"/>
        <w:widowControl w:val="0"/>
        <w:numPr>
          <w:ilvl w:val="0"/>
          <w:numId w:val="0"/>
        </w:numPr>
        <w:kinsoku/>
        <w:bidi w:val="0"/>
        <w:spacing w:line="360" w:lineRule="auto"/>
        <w:ind w:left="0" w:leftChars="0" w:firstLine="482" w:firstLineChars="200"/>
        <w:jc w:val="center"/>
        <w:rPr>
          <w:color w:val="000000" w:themeColor="text1"/>
          <w14:textFill>
            <w14:solidFill>
              <w14:schemeClr w14:val="tx1"/>
            </w14:solidFill>
          </w14:textFill>
        </w:rPr>
      </w:pPr>
    </w:p>
    <w:p w14:paraId="3CF56245">
      <w:pPr>
        <w:pStyle w:val="12"/>
        <w:keepNext w:val="0"/>
        <w:keepLines w:val="0"/>
        <w:pageBreakBefore w:val="0"/>
        <w:widowControl w:val="0"/>
        <w:numPr>
          <w:ilvl w:val="0"/>
          <w:numId w:val="0"/>
        </w:numPr>
        <w:kinsoku/>
        <w:bidi w:val="0"/>
        <w:spacing w:line="360" w:lineRule="auto"/>
        <w:ind w:left="0" w:leftChars="0" w:firstLine="482" w:firstLineChars="200"/>
        <w:jc w:val="center"/>
        <w:rPr>
          <w:color w:val="000000" w:themeColor="text1"/>
          <w14:textFill>
            <w14:solidFill>
              <w14:schemeClr w14:val="tx1"/>
            </w14:solidFill>
          </w14:textFill>
        </w:rPr>
      </w:pPr>
    </w:p>
    <w:p w14:paraId="17C49076">
      <w:pPr>
        <w:pStyle w:val="12"/>
        <w:keepNext w:val="0"/>
        <w:keepLines w:val="0"/>
        <w:pageBreakBefore w:val="0"/>
        <w:widowControl w:val="0"/>
        <w:numPr>
          <w:ilvl w:val="0"/>
          <w:numId w:val="0"/>
        </w:numPr>
        <w:kinsoku/>
        <w:bidi w:val="0"/>
        <w:spacing w:line="360" w:lineRule="auto"/>
        <w:ind w:left="0" w:leftChars="0" w:firstLine="482" w:firstLineChars="200"/>
        <w:jc w:val="center"/>
        <w:rPr>
          <w:color w:val="000000" w:themeColor="text1"/>
          <w14:textFill>
            <w14:solidFill>
              <w14:schemeClr w14:val="tx1"/>
            </w14:solidFill>
          </w14:textFill>
        </w:rPr>
      </w:pPr>
    </w:p>
    <w:p w14:paraId="76999C77">
      <w:pPr>
        <w:pStyle w:val="12"/>
        <w:keepNext w:val="0"/>
        <w:keepLines w:val="0"/>
        <w:pageBreakBefore w:val="0"/>
        <w:widowControl w:val="0"/>
        <w:numPr>
          <w:ilvl w:val="0"/>
          <w:numId w:val="0"/>
        </w:numPr>
        <w:kinsoku/>
        <w:bidi w:val="0"/>
        <w:spacing w:line="240" w:lineRule="auto"/>
        <w:ind w:left="0" w:leftChars="0" w:firstLine="0" w:firstLineChars="0"/>
        <w:jc w:val="center"/>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16</w:t>
      </w:r>
      <w:r>
        <w:rPr>
          <w:rFonts w:hint="eastAsia"/>
          <w:color w:val="000000" w:themeColor="text1"/>
          <w:sz w:val="24"/>
          <w:szCs w:val="24"/>
          <w:lang w:val="en-US" w:eastAsia="zh-CN"/>
          <w14:textFill>
            <w14:solidFill>
              <w14:schemeClr w14:val="tx1"/>
            </w14:solidFill>
          </w14:textFill>
        </w:rPr>
        <w:t>视频安防</w:t>
      </w:r>
      <w:r>
        <w:rPr>
          <w:rFonts w:ascii="宋体" w:hAnsi="宋体"/>
          <w:color w:val="000000" w:themeColor="text1"/>
          <w:sz w:val="24"/>
          <w:szCs w:val="24"/>
          <w14:textFill>
            <w14:solidFill>
              <w14:schemeClr w14:val="tx1"/>
            </w14:solidFill>
          </w14:textFill>
        </w:rPr>
        <w:t>系统子单元安全检查表</w:t>
      </w:r>
    </w:p>
    <w:tbl>
      <w:tblPr>
        <w:tblStyle w:val="49"/>
        <w:tblW w:w="5016"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08"/>
        <w:gridCol w:w="3368"/>
        <w:gridCol w:w="2176"/>
        <w:gridCol w:w="1812"/>
        <w:gridCol w:w="873"/>
      </w:tblGrid>
      <w:tr w14:paraId="4EAB05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7" w:hRule="atLeast"/>
        </w:trPr>
        <w:tc>
          <w:tcPr>
            <w:tcW w:w="396" w:type="pct"/>
            <w:noWrap w:val="0"/>
            <w:textDirection w:val="tbRlV"/>
            <w:vAlign w:val="center"/>
          </w:tcPr>
          <w:p w14:paraId="53A9EE1A">
            <w:pPr>
              <w:pStyle w:val="42"/>
              <w:keepNext w:val="0"/>
              <w:keepLines w:val="0"/>
              <w:pageBreakBefore w:val="0"/>
              <w:widowControl w:val="0"/>
              <w:kinsoku/>
              <w:wordWrap/>
              <w:overflowPunct/>
              <w:topLinePunct w:val="0"/>
              <w:autoSpaceDE/>
              <w:autoSpaceDN/>
              <w:bidi w:val="0"/>
              <w:adjustRightInd/>
              <w:snapToGrid/>
              <w:spacing w:line="360" w:lineRule="exact"/>
              <w:ind w:left="224"/>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序</w:t>
            </w:r>
            <w:r>
              <w:rPr>
                <w:rFonts w:hint="eastAsia" w:ascii="宋体" w:hAnsi="宋体" w:eastAsia="宋体" w:cs="宋体"/>
                <w:color w:val="000000" w:themeColor="text1"/>
                <w:spacing w:val="45"/>
                <w:sz w:val="21"/>
                <w:szCs w:val="21"/>
                <w14:textFill>
                  <w14:solidFill>
                    <w14:schemeClr w14:val="tx1"/>
                  </w14:solidFill>
                </w14:textFill>
              </w:rPr>
              <w:t xml:space="preserve">  </w:t>
            </w:r>
            <w:r>
              <w:rPr>
                <w:rFonts w:hint="eastAsia" w:ascii="宋体" w:hAnsi="宋体" w:eastAsia="宋体" w:cs="宋体"/>
                <w:b/>
                <w:bCs/>
                <w:color w:val="000000" w:themeColor="text1"/>
                <w:spacing w:val="6"/>
                <w:sz w:val="21"/>
                <w:szCs w:val="21"/>
                <w14:textFill>
                  <w14:solidFill>
                    <w14:schemeClr w14:val="tx1"/>
                  </w14:solidFill>
                </w14:textFill>
              </w:rPr>
              <w:t>号</w:t>
            </w:r>
          </w:p>
        </w:tc>
        <w:tc>
          <w:tcPr>
            <w:tcW w:w="1883" w:type="pct"/>
            <w:noWrap w:val="0"/>
            <w:vAlign w:val="center"/>
          </w:tcPr>
          <w:p w14:paraId="45C53FA8">
            <w:pPr>
              <w:pStyle w:val="4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检查内容</w:t>
            </w:r>
          </w:p>
        </w:tc>
        <w:tc>
          <w:tcPr>
            <w:tcW w:w="1217" w:type="pct"/>
            <w:noWrap w:val="0"/>
            <w:vAlign w:val="center"/>
          </w:tcPr>
          <w:p w14:paraId="3DD5C02F">
            <w:pPr>
              <w:pStyle w:val="4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依据标准</w:t>
            </w:r>
          </w:p>
        </w:tc>
        <w:tc>
          <w:tcPr>
            <w:tcW w:w="1013" w:type="pct"/>
            <w:noWrap w:val="0"/>
            <w:vAlign w:val="center"/>
          </w:tcPr>
          <w:p w14:paraId="00796C6E">
            <w:pPr>
              <w:pStyle w:val="4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6"/>
                <w:sz w:val="21"/>
                <w:szCs w:val="21"/>
                <w14:textFill>
                  <w14:solidFill>
                    <w14:schemeClr w14:val="tx1"/>
                  </w14:solidFill>
                </w14:textFill>
              </w:rPr>
              <w:t>检查情况</w:t>
            </w:r>
          </w:p>
        </w:tc>
        <w:tc>
          <w:tcPr>
            <w:tcW w:w="488" w:type="pct"/>
            <w:noWrap w:val="0"/>
            <w:vAlign w:val="center"/>
          </w:tcPr>
          <w:p w14:paraId="0BF69E3C">
            <w:pPr>
              <w:pStyle w:val="42"/>
              <w:keepNext w:val="0"/>
              <w:keepLines w:val="0"/>
              <w:pageBreakBefore w:val="0"/>
              <w:widowControl w:val="0"/>
              <w:kinsoku/>
              <w:wordWrap/>
              <w:overflowPunct/>
              <w:topLinePunct w:val="0"/>
              <w:autoSpaceDE/>
              <w:autoSpaceDN/>
              <w:bidi w:val="0"/>
              <w:adjustRightInd/>
              <w:snapToGrid/>
              <w:spacing w:line="360" w:lineRule="exact"/>
              <w:ind w:left="158" w:right="147" w:hanging="5"/>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bCs/>
                <w:color w:val="000000" w:themeColor="text1"/>
                <w:spacing w:val="3"/>
                <w:sz w:val="21"/>
                <w:szCs w:val="21"/>
                <w14:textFill>
                  <w14:solidFill>
                    <w14:schemeClr w14:val="tx1"/>
                  </w14:solidFill>
                </w14:textFill>
              </w:rPr>
              <w:t>检查</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b/>
                <w:bCs/>
                <w:color w:val="000000" w:themeColor="text1"/>
                <w:spacing w:val="1"/>
                <w:sz w:val="21"/>
                <w:szCs w:val="21"/>
                <w14:textFill>
                  <w14:solidFill>
                    <w14:schemeClr w14:val="tx1"/>
                  </w14:solidFill>
                </w14:textFill>
              </w:rPr>
              <w:t>结果</w:t>
            </w:r>
          </w:p>
        </w:tc>
      </w:tr>
      <w:tr w14:paraId="0033C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5" w:hRule="atLeast"/>
        </w:trPr>
        <w:tc>
          <w:tcPr>
            <w:tcW w:w="396" w:type="pct"/>
            <w:noWrap w:val="0"/>
            <w:vAlign w:val="top"/>
          </w:tcPr>
          <w:p w14:paraId="07D751E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964266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1B57320">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w:t>
            </w:r>
          </w:p>
        </w:tc>
        <w:tc>
          <w:tcPr>
            <w:tcW w:w="1883" w:type="pct"/>
            <w:noWrap w:val="0"/>
            <w:vAlign w:val="top"/>
          </w:tcPr>
          <w:p w14:paraId="50ACF1C3">
            <w:pPr>
              <w:pStyle w:val="42"/>
              <w:keepNext w:val="0"/>
              <w:keepLines w:val="0"/>
              <w:pageBreakBefore w:val="0"/>
              <w:widowControl w:val="0"/>
              <w:kinsoku/>
              <w:wordWrap/>
              <w:overflowPunct/>
              <w:topLinePunct w:val="0"/>
              <w:autoSpaceDE/>
              <w:autoSpaceDN/>
              <w:bidi w:val="0"/>
              <w:adjustRightInd/>
              <w:snapToGrid/>
              <w:spacing w:line="360" w:lineRule="exact"/>
              <w:ind w:left="113" w:right="105"/>
              <w:jc w:val="center"/>
              <w:textAlignment w:val="auto"/>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光伏电站宜设置安全防护设施，该设施</w:t>
            </w:r>
            <w:r>
              <w:rPr>
                <w:rFonts w:hint="eastAsia" w:ascii="宋体" w:hAnsi="宋体" w:eastAsia="宋体" w:cs="宋体"/>
                <w:color w:val="000000" w:themeColor="text1"/>
                <w:spacing w:val="7"/>
                <w:sz w:val="21"/>
                <w:szCs w:val="21"/>
                <w14:textFill>
                  <w14:solidFill>
                    <w14:schemeClr w14:val="tx1"/>
                  </w14:solidFill>
                </w14:textFill>
              </w:rPr>
              <w:t>宜包括</w:t>
            </w:r>
            <w:r>
              <w:rPr>
                <w:rFonts w:hint="eastAsia" w:ascii="宋体" w:hAnsi="宋体" w:eastAsia="宋体" w:cs="宋体"/>
                <w:color w:val="000000" w:themeColor="text1"/>
                <w:spacing w:val="7"/>
                <w:sz w:val="21"/>
                <w:szCs w:val="21"/>
                <w:lang w:eastAsia="zh-CN"/>
                <w14:textFill>
                  <w14:solidFill>
                    <w14:schemeClr w14:val="tx1"/>
                  </w14:solidFill>
                </w14:textFill>
              </w:rPr>
              <w:t>：</w:t>
            </w:r>
            <w:r>
              <w:rPr>
                <w:rFonts w:hint="eastAsia" w:ascii="宋体" w:hAnsi="宋体" w:eastAsia="宋体" w:cs="宋体"/>
                <w:color w:val="000000" w:themeColor="text1"/>
                <w:spacing w:val="7"/>
                <w:sz w:val="21"/>
                <w:szCs w:val="21"/>
                <w14:textFill>
                  <w14:solidFill>
                    <w14:schemeClr w14:val="tx1"/>
                  </w14:solidFill>
                </w14:textFill>
              </w:rPr>
              <w:t>入侵报警系统、视频安防系统和出入口控制系</w:t>
            </w:r>
          </w:p>
          <w:p w14:paraId="04BEB37B">
            <w:pPr>
              <w:pStyle w:val="42"/>
              <w:keepNext w:val="0"/>
              <w:keepLines w:val="0"/>
              <w:pageBreakBefore w:val="0"/>
              <w:widowControl w:val="0"/>
              <w:kinsoku/>
              <w:wordWrap/>
              <w:overflowPunct/>
              <w:topLinePunct w:val="0"/>
              <w:autoSpaceDE/>
              <w:autoSpaceDN/>
              <w:bidi w:val="0"/>
              <w:adjustRightInd/>
              <w:snapToGrid/>
              <w:spacing w:line="360" w:lineRule="exact"/>
              <w:ind w:left="113" w:right="105"/>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统等，并能相互联动。</w:t>
            </w:r>
          </w:p>
        </w:tc>
        <w:tc>
          <w:tcPr>
            <w:tcW w:w="1217" w:type="pct"/>
            <w:noWrap w:val="0"/>
            <w:vAlign w:val="top"/>
          </w:tcPr>
          <w:p w14:paraId="5B6967AB">
            <w:pPr>
              <w:pStyle w:val="42"/>
              <w:keepNext w:val="0"/>
              <w:keepLines w:val="0"/>
              <w:pageBreakBefore w:val="0"/>
              <w:widowControl w:val="0"/>
              <w:kinsoku/>
              <w:wordWrap/>
              <w:overflowPunct/>
              <w:topLinePunct w:val="0"/>
              <w:autoSpaceDE/>
              <w:autoSpaceDN/>
              <w:bidi w:val="0"/>
              <w:adjustRightInd/>
              <w:snapToGrid/>
              <w:spacing w:line="360" w:lineRule="exact"/>
              <w:ind w:left="118"/>
              <w:jc w:val="center"/>
              <w:textAlignment w:val="auto"/>
              <w:rPr>
                <w:rFonts w:hint="eastAsia" w:ascii="宋体" w:hAnsi="宋体" w:eastAsia="宋体" w:cs="宋体"/>
                <w:color w:val="000000" w:themeColor="text1"/>
                <w:spacing w:val="8"/>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《光伏发电站设计</w:t>
            </w:r>
          </w:p>
          <w:p w14:paraId="035778A9">
            <w:pPr>
              <w:pStyle w:val="42"/>
              <w:keepNext w:val="0"/>
              <w:keepLines w:val="0"/>
              <w:pageBreakBefore w:val="0"/>
              <w:widowControl w:val="0"/>
              <w:kinsoku/>
              <w:wordWrap/>
              <w:overflowPunct/>
              <w:topLinePunct w:val="0"/>
              <w:autoSpaceDE/>
              <w:autoSpaceDN/>
              <w:bidi w:val="0"/>
              <w:adjustRightInd/>
              <w:snapToGrid/>
              <w:spacing w:line="360" w:lineRule="exact"/>
              <w:ind w:left="118"/>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规</w:t>
            </w:r>
            <w:r>
              <w:rPr>
                <w:rFonts w:hint="eastAsia" w:ascii="宋体" w:hAnsi="宋体" w:eastAsia="宋体" w:cs="宋体"/>
                <w:color w:val="000000" w:themeColor="text1"/>
                <w:spacing w:val="-8"/>
                <w:sz w:val="21"/>
                <w:szCs w:val="21"/>
                <w14:textFill>
                  <w14:solidFill>
                    <w14:schemeClr w14:val="tx1"/>
                  </w14:solidFill>
                </w14:textFill>
              </w:rPr>
              <w:t>范》（GB</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50797-2012）</w:t>
            </w:r>
          </w:p>
          <w:p w14:paraId="47A55E09">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7.3.1</w:t>
            </w:r>
          </w:p>
        </w:tc>
        <w:tc>
          <w:tcPr>
            <w:tcW w:w="1013" w:type="pct"/>
            <w:noWrap w:val="0"/>
            <w:vAlign w:val="top"/>
          </w:tcPr>
          <w:p w14:paraId="5DF85C78">
            <w:pPr>
              <w:pStyle w:val="42"/>
              <w:keepNext w:val="0"/>
              <w:keepLines w:val="0"/>
              <w:pageBreakBefore w:val="0"/>
              <w:widowControl w:val="0"/>
              <w:kinsoku/>
              <w:wordWrap/>
              <w:overflowPunct/>
              <w:topLinePunct w:val="0"/>
              <w:autoSpaceDE/>
              <w:autoSpaceDN/>
              <w:bidi w:val="0"/>
              <w:adjustRightInd/>
              <w:snapToGrid/>
              <w:spacing w:line="360" w:lineRule="exact"/>
              <w:ind w:left="115" w:right="139" w:hanging="2"/>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场区建设有视频安防系统，并能与入侵报警系统相互联</w:t>
            </w:r>
            <w:r>
              <w:rPr>
                <w:rFonts w:hint="eastAsia" w:ascii="宋体" w:hAnsi="宋体" w:eastAsia="宋体" w:cs="宋体"/>
                <w:color w:val="000000" w:themeColor="text1"/>
                <w:sz w:val="21"/>
                <w:szCs w:val="21"/>
                <w14:textFill>
                  <w14:solidFill>
                    <w14:schemeClr w14:val="tx1"/>
                  </w14:solidFill>
                </w14:textFill>
              </w:rPr>
              <w:t>动。</w:t>
            </w:r>
          </w:p>
        </w:tc>
        <w:tc>
          <w:tcPr>
            <w:tcW w:w="488" w:type="pct"/>
            <w:noWrap w:val="0"/>
            <w:vAlign w:val="top"/>
          </w:tcPr>
          <w:p w14:paraId="1BC491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B398B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9E7709C">
            <w:pPr>
              <w:pStyle w:val="42"/>
              <w:keepNext w:val="0"/>
              <w:keepLines w:val="0"/>
              <w:pageBreakBefore w:val="0"/>
              <w:widowControl w:val="0"/>
              <w:kinsoku/>
              <w:wordWrap/>
              <w:overflowPunct/>
              <w:topLinePunct w:val="0"/>
              <w:autoSpaceDE/>
              <w:autoSpaceDN/>
              <w:bidi w:val="0"/>
              <w:adjustRightInd/>
              <w:snapToGrid/>
              <w:spacing w:line="360" w:lineRule="exact"/>
              <w:ind w:left="157"/>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475EC0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96" w:type="pct"/>
            <w:noWrap w:val="0"/>
            <w:vAlign w:val="top"/>
          </w:tcPr>
          <w:p w14:paraId="3936989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883C40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618C26B4">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w:t>
            </w:r>
          </w:p>
        </w:tc>
        <w:tc>
          <w:tcPr>
            <w:tcW w:w="1883" w:type="pct"/>
            <w:noWrap w:val="0"/>
            <w:vAlign w:val="top"/>
          </w:tcPr>
          <w:p w14:paraId="34CEE6AD">
            <w:pPr>
              <w:pStyle w:val="42"/>
              <w:keepNext w:val="0"/>
              <w:keepLines w:val="0"/>
              <w:pageBreakBefore w:val="0"/>
              <w:widowControl w:val="0"/>
              <w:kinsoku/>
              <w:wordWrap/>
              <w:overflowPunct/>
              <w:topLinePunct w:val="0"/>
              <w:autoSpaceDE/>
              <w:autoSpaceDN/>
              <w:bidi w:val="0"/>
              <w:adjustRightInd/>
              <w:snapToGrid/>
              <w:spacing w:line="360" w:lineRule="exact"/>
              <w:ind w:left="117" w:right="295"/>
              <w:jc w:val="center"/>
              <w:textAlignment w:val="auto"/>
              <w:rPr>
                <w:rFonts w:hint="eastAsia" w:ascii="宋体" w:hAnsi="宋体" w:eastAsia="宋体" w:cs="宋体"/>
                <w:color w:val="000000" w:themeColor="text1"/>
                <w:spacing w:val="8"/>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安装于室外的安全防护设施应采取防</w:t>
            </w:r>
            <w:r>
              <w:rPr>
                <w:rFonts w:hint="eastAsia" w:ascii="宋体" w:hAnsi="宋体" w:eastAsia="宋体" w:cs="宋体"/>
                <w:color w:val="000000" w:themeColor="text1"/>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雷、防尘、防雨、防</w:t>
            </w:r>
          </w:p>
          <w:p w14:paraId="48B7237C">
            <w:pPr>
              <w:pStyle w:val="42"/>
              <w:keepNext w:val="0"/>
              <w:keepLines w:val="0"/>
              <w:pageBreakBefore w:val="0"/>
              <w:widowControl w:val="0"/>
              <w:kinsoku/>
              <w:wordWrap/>
              <w:overflowPunct/>
              <w:topLinePunct w:val="0"/>
              <w:autoSpaceDE/>
              <w:autoSpaceDN/>
              <w:bidi w:val="0"/>
              <w:adjustRightInd/>
              <w:snapToGrid/>
              <w:spacing w:line="360" w:lineRule="exact"/>
              <w:ind w:left="117" w:right="295"/>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冻等措施。</w:t>
            </w:r>
          </w:p>
        </w:tc>
        <w:tc>
          <w:tcPr>
            <w:tcW w:w="1217" w:type="pct"/>
            <w:noWrap w:val="0"/>
            <w:vAlign w:val="top"/>
          </w:tcPr>
          <w:p w14:paraId="7EC56B25">
            <w:pPr>
              <w:pStyle w:val="42"/>
              <w:keepNext w:val="0"/>
              <w:keepLines w:val="0"/>
              <w:pageBreakBefore w:val="0"/>
              <w:widowControl w:val="0"/>
              <w:kinsoku/>
              <w:wordWrap/>
              <w:overflowPunct/>
              <w:topLinePunct w:val="0"/>
              <w:autoSpaceDE/>
              <w:autoSpaceDN/>
              <w:bidi w:val="0"/>
              <w:adjustRightInd/>
              <w:snapToGrid/>
              <w:spacing w:line="360" w:lineRule="exact"/>
              <w:ind w:left="118"/>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《光伏发电站设计规</w:t>
            </w:r>
            <w:r>
              <w:rPr>
                <w:rFonts w:hint="eastAsia" w:ascii="宋体" w:hAnsi="宋体" w:eastAsia="宋体" w:cs="宋体"/>
                <w:color w:val="000000" w:themeColor="text1"/>
                <w:spacing w:val="-8"/>
                <w:sz w:val="21"/>
                <w:szCs w:val="21"/>
                <w14:textFill>
                  <w14:solidFill>
                    <w14:schemeClr w14:val="tx1"/>
                  </w14:solidFill>
                </w14:textFill>
              </w:rPr>
              <w:t>范》（GB</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50797-2012）</w:t>
            </w:r>
          </w:p>
          <w:p w14:paraId="33813212">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7.3.2</w:t>
            </w:r>
          </w:p>
        </w:tc>
        <w:tc>
          <w:tcPr>
            <w:tcW w:w="1013" w:type="pct"/>
            <w:noWrap w:val="0"/>
            <w:vAlign w:val="top"/>
          </w:tcPr>
          <w:p w14:paraId="6979DCAB">
            <w:pPr>
              <w:pStyle w:val="42"/>
              <w:keepNext w:val="0"/>
              <w:keepLines w:val="0"/>
              <w:pageBreakBefore w:val="0"/>
              <w:widowControl w:val="0"/>
              <w:kinsoku/>
              <w:wordWrap/>
              <w:overflowPunct/>
              <w:topLinePunct w:val="0"/>
              <w:autoSpaceDE/>
              <w:autoSpaceDN/>
              <w:bidi w:val="0"/>
              <w:adjustRightInd/>
              <w:snapToGrid/>
              <w:spacing w:line="360" w:lineRule="exact"/>
              <w:ind w:left="116"/>
              <w:jc w:val="center"/>
              <w:textAlignment w:val="auto"/>
              <w:rPr>
                <w:rFonts w:hint="eastAsia" w:ascii="宋体" w:hAnsi="宋体" w:eastAsia="宋体" w:cs="宋体"/>
                <w:color w:val="000000" w:themeColor="text1"/>
                <w:spacing w:val="8"/>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现场设置符合要</w:t>
            </w:r>
          </w:p>
          <w:p w14:paraId="13CB6D8B">
            <w:pPr>
              <w:pStyle w:val="42"/>
              <w:keepNext w:val="0"/>
              <w:keepLines w:val="0"/>
              <w:pageBreakBefore w:val="0"/>
              <w:widowControl w:val="0"/>
              <w:kinsoku/>
              <w:wordWrap/>
              <w:overflowPunct/>
              <w:topLinePunct w:val="0"/>
              <w:autoSpaceDE/>
              <w:autoSpaceDN/>
              <w:bidi w:val="0"/>
              <w:adjustRightInd/>
              <w:snapToGrid/>
              <w:spacing w:line="360" w:lineRule="exact"/>
              <w:ind w:left="116"/>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求</w:t>
            </w:r>
          </w:p>
        </w:tc>
        <w:tc>
          <w:tcPr>
            <w:tcW w:w="488" w:type="pct"/>
            <w:noWrap w:val="0"/>
            <w:vAlign w:val="top"/>
          </w:tcPr>
          <w:p w14:paraId="0B9B05CE">
            <w:pPr>
              <w:pStyle w:val="4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符合</w:t>
            </w:r>
          </w:p>
        </w:tc>
      </w:tr>
      <w:tr w14:paraId="0395F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46" w:hRule="atLeast"/>
        </w:trPr>
        <w:tc>
          <w:tcPr>
            <w:tcW w:w="396" w:type="pct"/>
            <w:noWrap w:val="0"/>
            <w:vAlign w:val="top"/>
          </w:tcPr>
          <w:p w14:paraId="5F13BCA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76CD57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67DBAA5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2BDA3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1E95C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DE9A8D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E2F274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5D7765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D6847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0C9AA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B6BEDE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26570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E0F07F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519021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1F2E7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CDC77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CD71A2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EF3EA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A0DDC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1CDF954">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w:t>
            </w:r>
          </w:p>
        </w:tc>
        <w:tc>
          <w:tcPr>
            <w:tcW w:w="1883" w:type="pct"/>
            <w:noWrap w:val="0"/>
            <w:vAlign w:val="top"/>
          </w:tcPr>
          <w:p w14:paraId="2FADDBE6">
            <w:pPr>
              <w:pStyle w:val="42"/>
              <w:keepNext w:val="0"/>
              <w:keepLines w:val="0"/>
              <w:pageBreakBefore w:val="0"/>
              <w:widowControl w:val="0"/>
              <w:kinsoku/>
              <w:wordWrap/>
              <w:overflowPunct/>
              <w:topLinePunct w:val="0"/>
              <w:autoSpaceDE/>
              <w:autoSpaceDN/>
              <w:bidi w:val="0"/>
              <w:adjustRightInd/>
              <w:snapToGrid/>
              <w:spacing w:line="360" w:lineRule="exact"/>
              <w:ind w:left="114" w:right="295" w:hanging="2"/>
              <w:jc w:val="center"/>
              <w:textAlignment w:val="auto"/>
              <w:rPr>
                <w:rFonts w:hint="eastAsia" w:ascii="宋体" w:hAnsi="宋体" w:eastAsia="宋体" w:cs="宋体"/>
                <w:color w:val="000000" w:themeColor="text1"/>
                <w:spacing w:val="9"/>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视频安防监控系统设计应符</w:t>
            </w:r>
          </w:p>
          <w:p w14:paraId="3EFF5CC4">
            <w:pPr>
              <w:pStyle w:val="42"/>
              <w:keepNext w:val="0"/>
              <w:keepLines w:val="0"/>
              <w:pageBreakBefore w:val="0"/>
              <w:widowControl w:val="0"/>
              <w:kinsoku/>
              <w:wordWrap/>
              <w:overflowPunct/>
              <w:topLinePunct w:val="0"/>
              <w:autoSpaceDE/>
              <w:autoSpaceDN/>
              <w:bidi w:val="0"/>
              <w:adjustRightInd/>
              <w:snapToGrid/>
              <w:spacing w:line="360" w:lineRule="exact"/>
              <w:ind w:left="114" w:right="295" w:hanging="2"/>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9"/>
                <w:sz w:val="21"/>
                <w:szCs w:val="21"/>
                <w14:textFill>
                  <w14:solidFill>
                    <w14:schemeClr w14:val="tx1"/>
                  </w14:solidFill>
                </w14:textFill>
              </w:rPr>
              <w:t>合下列要</w:t>
            </w:r>
            <w:r>
              <w:rPr>
                <w:rFonts w:hint="eastAsia" w:ascii="宋体" w:hAnsi="宋体" w:eastAsia="宋体" w:cs="宋体"/>
                <w:color w:val="000000" w:themeColor="text1"/>
                <w:spacing w:val="-1"/>
                <w:sz w:val="21"/>
                <w:szCs w:val="21"/>
                <w14:textFill>
                  <w14:solidFill>
                    <w14:schemeClr w14:val="tx1"/>
                  </w14:solidFill>
                </w14:textFill>
              </w:rPr>
              <w:t>求：</w:t>
            </w:r>
          </w:p>
          <w:p w14:paraId="2A63EF11">
            <w:pPr>
              <w:pStyle w:val="4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105" w:right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lang w:eastAsia="zh-CN"/>
                <w14:textFill>
                  <w14:solidFill>
                    <w14:schemeClr w14:val="tx1"/>
                  </w14:solidFill>
                </w14:textFill>
              </w:rPr>
              <w:t>（</w:t>
            </w:r>
            <w:r>
              <w:rPr>
                <w:rFonts w:hint="eastAsia" w:ascii="宋体" w:hAnsi="宋体" w:eastAsia="宋体" w:cs="宋体"/>
                <w:color w:val="000000" w:themeColor="text1"/>
                <w:spacing w:val="8"/>
                <w:sz w:val="21"/>
                <w:szCs w:val="21"/>
                <w:lang w:val="en-US" w:eastAsia="zh-CN"/>
                <w14:textFill>
                  <w14:solidFill>
                    <w14:schemeClr w14:val="tx1"/>
                  </w14:solidFill>
                </w14:textFill>
              </w:rPr>
              <w:t>1</w:t>
            </w:r>
            <w:r>
              <w:rPr>
                <w:rFonts w:hint="eastAsia" w:ascii="宋体" w:hAnsi="宋体" w:eastAsia="宋体" w:cs="宋体"/>
                <w:color w:val="000000" w:themeColor="text1"/>
                <w:spacing w:val="8"/>
                <w:sz w:val="21"/>
                <w:szCs w:val="21"/>
                <w:lang w:eastAsia="zh-CN"/>
                <w14:textFill>
                  <w14:solidFill>
                    <w14:schemeClr w14:val="tx1"/>
                  </w14:solidFill>
                </w14:textFill>
              </w:rPr>
              <w:t>）</w:t>
            </w:r>
            <w:r>
              <w:rPr>
                <w:rFonts w:hint="eastAsia" w:ascii="宋体" w:hAnsi="宋体" w:eastAsia="宋体" w:cs="宋体"/>
                <w:color w:val="000000" w:themeColor="text1"/>
                <w:spacing w:val="8"/>
                <w:sz w:val="21"/>
                <w:szCs w:val="21"/>
                <w14:textFill>
                  <w14:solidFill>
                    <w14:schemeClr w14:val="tx1"/>
                  </w14:solidFill>
                </w14:textFill>
              </w:rPr>
              <w:t>视频安防监控系统设置应符合现行</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国家标准《视频安防监控系统工程设计</w:t>
            </w:r>
            <w:r>
              <w:rPr>
                <w:rFonts w:hint="eastAsia" w:ascii="宋体" w:hAnsi="宋体" w:eastAsia="宋体" w:cs="宋体"/>
                <w:color w:val="000000" w:themeColor="text1"/>
                <w:spacing w:val="1"/>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规范》GB</w:t>
            </w:r>
            <w:r>
              <w:rPr>
                <w:rFonts w:hint="eastAsia" w:ascii="宋体" w:hAnsi="宋体" w:eastAsia="宋体" w:cs="宋体"/>
                <w:color w:val="000000" w:themeColor="text1"/>
                <w:spacing w:val="30"/>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50395</w:t>
            </w:r>
            <w:r>
              <w:rPr>
                <w:rFonts w:hint="eastAsia" w:ascii="宋体" w:hAnsi="宋体" w:eastAsia="宋体" w:cs="宋体"/>
                <w:color w:val="000000" w:themeColor="text1"/>
                <w:spacing w:val="29"/>
                <w:w w:val="101"/>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 xml:space="preserve">的规定，并应具有对图 </w:t>
            </w:r>
            <w:r>
              <w:rPr>
                <w:rFonts w:hint="eastAsia" w:ascii="宋体" w:hAnsi="宋体" w:eastAsia="宋体" w:cs="宋体"/>
                <w:color w:val="000000" w:themeColor="text1"/>
                <w:spacing w:val="8"/>
                <w:sz w:val="21"/>
                <w:szCs w:val="21"/>
                <w14:textFill>
                  <w14:solidFill>
                    <w14:schemeClr w14:val="tx1"/>
                  </w14:solidFill>
                </w14:textFill>
              </w:rPr>
              <w:t>像信号的分配、切换、存储、还原、</w:t>
            </w:r>
          </w:p>
          <w:p w14:paraId="6FE0E3C2">
            <w:pPr>
              <w:pStyle w:val="4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105" w:right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远</w:t>
            </w:r>
            <w:r>
              <w:rPr>
                <w:rFonts w:hint="eastAsia" w:ascii="宋体" w:hAnsi="宋体" w:eastAsia="宋体" w:cs="宋体"/>
                <w:color w:val="000000" w:themeColor="text1"/>
                <w:spacing w:val="6"/>
                <w:sz w:val="21"/>
                <w:szCs w:val="21"/>
                <w14:textFill>
                  <w14:solidFill>
                    <w14:schemeClr w14:val="tx1"/>
                  </w14:solidFill>
                </w14:textFill>
              </w:rPr>
              <w:t>传等功能。</w:t>
            </w:r>
          </w:p>
          <w:p w14:paraId="5232405A">
            <w:pPr>
              <w:pStyle w:val="4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35" w:rightChars="0"/>
              <w:jc w:val="both"/>
              <w:textAlignment w:val="auto"/>
              <w:rPr>
                <w:rFonts w:hint="eastAsia" w:ascii="宋体" w:hAnsi="宋体" w:eastAsia="宋体" w:cs="宋体"/>
                <w:color w:val="000000" w:themeColor="text1"/>
                <w:spacing w:val="9"/>
                <w:sz w:val="21"/>
                <w:szCs w:val="21"/>
                <w14:textFill>
                  <w14:solidFill>
                    <w14:schemeClr w14:val="tx1"/>
                  </w14:solidFill>
                </w14:textFill>
              </w:rPr>
            </w:pPr>
            <w:r>
              <w:rPr>
                <w:rFonts w:hint="eastAsia" w:ascii="宋体" w:hAnsi="宋体" w:eastAsia="宋体" w:cs="宋体"/>
                <w:color w:val="000000" w:themeColor="text1"/>
                <w:spacing w:val="9"/>
                <w:sz w:val="21"/>
                <w:szCs w:val="21"/>
                <w:lang w:eastAsia="zh-CN"/>
                <w14:textFill>
                  <w14:solidFill>
                    <w14:schemeClr w14:val="tx1"/>
                  </w14:solidFill>
                </w14:textFill>
              </w:rPr>
              <w:t>（</w:t>
            </w:r>
            <w:r>
              <w:rPr>
                <w:rFonts w:hint="eastAsia" w:ascii="宋体" w:hAnsi="宋体" w:eastAsia="宋体" w:cs="宋体"/>
                <w:color w:val="000000" w:themeColor="text1"/>
                <w:spacing w:val="9"/>
                <w:sz w:val="21"/>
                <w:szCs w:val="21"/>
                <w:lang w:val="en-US" w:eastAsia="zh-CN"/>
                <w14:textFill>
                  <w14:solidFill>
                    <w14:schemeClr w14:val="tx1"/>
                  </w14:solidFill>
                </w14:textFill>
              </w:rPr>
              <w:t>2</w:t>
            </w:r>
            <w:r>
              <w:rPr>
                <w:rFonts w:hint="eastAsia" w:ascii="宋体" w:hAnsi="宋体" w:eastAsia="宋体" w:cs="宋体"/>
                <w:color w:val="000000" w:themeColor="text1"/>
                <w:spacing w:val="9"/>
                <w:sz w:val="21"/>
                <w:szCs w:val="21"/>
                <w:lang w:eastAsia="zh-CN"/>
                <w14:textFill>
                  <w14:solidFill>
                    <w14:schemeClr w14:val="tx1"/>
                  </w14:solidFill>
                </w14:textFill>
              </w:rPr>
              <w:t>）</w:t>
            </w:r>
            <w:r>
              <w:rPr>
                <w:rFonts w:hint="eastAsia" w:ascii="宋体" w:hAnsi="宋体" w:eastAsia="宋体" w:cs="宋体"/>
                <w:color w:val="000000" w:themeColor="text1"/>
                <w:spacing w:val="9"/>
                <w:sz w:val="21"/>
                <w:szCs w:val="21"/>
                <w14:textFill>
                  <w14:solidFill>
                    <w14:schemeClr w14:val="tx1"/>
                  </w14:solidFill>
                </w14:textFill>
              </w:rPr>
              <w:t>系统设计应满足监控区域有效覆盖、</w:t>
            </w:r>
            <w:r>
              <w:rPr>
                <w:rFonts w:hint="eastAsia" w:ascii="宋体" w:hAnsi="宋体" w:eastAsia="宋体" w:cs="宋体"/>
                <w:color w:val="000000" w:themeColor="text1"/>
                <w:sz w:val="21"/>
                <w:szCs w:val="21"/>
                <w14:textFill>
                  <w14:solidFill>
                    <w14:schemeClr w14:val="tx1"/>
                  </w14:solidFill>
                </w14:textFill>
              </w:rPr>
              <w:t>布局合理、图像清晰、控制有效的要求。</w:t>
            </w:r>
            <w:r>
              <w:rPr>
                <w:rFonts w:hint="eastAsia" w:ascii="宋体" w:hAnsi="宋体" w:eastAsia="宋体" w:cs="宋体"/>
                <w:color w:val="000000" w:themeColor="text1"/>
                <w:spacing w:val="9"/>
                <w:sz w:val="21"/>
                <w:szCs w:val="21"/>
                <w14:textFill>
                  <w14:solidFill>
                    <w14:schemeClr w14:val="tx1"/>
                  </w14:solidFill>
                </w14:textFill>
              </w:rPr>
              <w:t xml:space="preserve"> </w:t>
            </w:r>
          </w:p>
          <w:p w14:paraId="626D54F0">
            <w:pPr>
              <w:pStyle w:val="4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35" w:rightChars="0"/>
              <w:jc w:val="both"/>
              <w:textAlignment w:val="auto"/>
              <w:rPr>
                <w:rFonts w:hint="eastAsia" w:ascii="宋体" w:hAnsi="宋体" w:eastAsia="宋体" w:cs="宋体"/>
                <w:color w:val="000000" w:themeColor="text1"/>
                <w:spacing w:val="9"/>
                <w:sz w:val="21"/>
                <w:szCs w:val="21"/>
                <w14:textFill>
                  <w14:solidFill>
                    <w14:schemeClr w14:val="tx1"/>
                  </w14:solidFill>
                </w14:textFill>
              </w:rPr>
            </w:pPr>
            <w:r>
              <w:rPr>
                <w:rFonts w:hint="eastAsia" w:ascii="宋体" w:hAnsi="宋体" w:eastAsia="宋体" w:cs="宋体"/>
                <w:color w:val="000000" w:themeColor="text1"/>
                <w:spacing w:val="5"/>
                <w:sz w:val="21"/>
                <w:szCs w:val="21"/>
                <w:lang w:eastAsia="zh-CN"/>
                <w14:textFill>
                  <w14:solidFill>
                    <w14:schemeClr w14:val="tx1"/>
                  </w14:solidFill>
                </w14:textFill>
              </w:rPr>
              <w:t>（</w:t>
            </w:r>
            <w:r>
              <w:rPr>
                <w:rFonts w:hint="eastAsia" w:ascii="宋体" w:hAnsi="宋体" w:eastAsia="宋体" w:cs="宋体"/>
                <w:color w:val="000000" w:themeColor="text1"/>
                <w:spacing w:val="5"/>
                <w:sz w:val="21"/>
                <w:szCs w:val="21"/>
                <w:lang w:val="en-US" w:eastAsia="zh-CN"/>
                <w14:textFill>
                  <w14:solidFill>
                    <w14:schemeClr w14:val="tx1"/>
                  </w14:solidFill>
                </w14:textFill>
              </w:rPr>
              <w:t>3</w:t>
            </w:r>
            <w:r>
              <w:rPr>
                <w:rFonts w:hint="eastAsia" w:ascii="宋体" w:hAnsi="宋体" w:eastAsia="宋体" w:cs="宋体"/>
                <w:color w:val="000000" w:themeColor="text1"/>
                <w:spacing w:val="5"/>
                <w:sz w:val="21"/>
                <w:szCs w:val="21"/>
                <w:lang w:eastAsia="zh-CN"/>
                <w14:textFill>
                  <w14:solidFill>
                    <w14:schemeClr w14:val="tx1"/>
                  </w14:solidFill>
                </w14:textFill>
              </w:rPr>
              <w:t>）</w:t>
            </w:r>
            <w:r>
              <w:rPr>
                <w:rFonts w:hint="eastAsia" w:ascii="宋体" w:hAnsi="宋体" w:eastAsia="宋体" w:cs="宋体"/>
                <w:color w:val="000000" w:themeColor="text1"/>
                <w:spacing w:val="5"/>
                <w:sz w:val="21"/>
                <w:szCs w:val="21"/>
                <w14:textFill>
                  <w14:solidFill>
                    <w14:schemeClr w14:val="tx1"/>
                  </w14:solidFill>
                </w14:textFill>
              </w:rPr>
              <w:t>视频监控系统宜与灯光系统联动。监</w:t>
            </w:r>
            <w:r>
              <w:rPr>
                <w:rFonts w:hint="eastAsia" w:ascii="宋体" w:hAnsi="宋体" w:eastAsia="宋体" w:cs="宋体"/>
                <w:color w:val="000000" w:themeColor="text1"/>
                <w:spacing w:val="10"/>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视场所的最低环境照度应高于摄像机</w:t>
            </w:r>
            <w:r>
              <w:rPr>
                <w:rFonts w:hint="eastAsia" w:ascii="宋体" w:hAnsi="宋体" w:eastAsia="宋体" w:cs="宋体"/>
                <w:color w:val="000000" w:themeColor="text1"/>
                <w:spacing w:val="7"/>
                <w:sz w:val="21"/>
                <w:szCs w:val="21"/>
                <w14:textFill>
                  <w14:solidFill>
                    <w14:schemeClr w14:val="tx1"/>
                  </w14:solidFill>
                </w14:textFill>
              </w:rPr>
              <w:t>要求最低照度（灵敏度）的</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10 倍，当</w:t>
            </w:r>
            <w:r>
              <w:rPr>
                <w:rFonts w:hint="eastAsia" w:ascii="宋体" w:hAnsi="宋体" w:eastAsia="宋体" w:cs="宋体"/>
                <w:color w:val="000000" w:themeColor="text1"/>
                <w:spacing w:val="9"/>
                <w:sz w:val="21"/>
                <w:szCs w:val="21"/>
                <w14:textFill>
                  <w14:solidFill>
                    <w14:schemeClr w14:val="tx1"/>
                  </w14:solidFill>
                </w14:textFill>
              </w:rPr>
              <w:t>被监视场所照度低于所采用摄像机要</w:t>
            </w:r>
            <w:r>
              <w:rPr>
                <w:rFonts w:hint="eastAsia" w:ascii="宋体" w:hAnsi="宋体" w:eastAsia="宋体" w:cs="宋体"/>
                <w:color w:val="000000" w:themeColor="text1"/>
                <w:spacing w:val="8"/>
                <w:sz w:val="21"/>
                <w:szCs w:val="21"/>
                <w14:textFill>
                  <w14:solidFill>
                    <w14:schemeClr w14:val="tx1"/>
                  </w14:solidFill>
                </w14:textFill>
              </w:rPr>
              <w:t>求的最低照度时，应在摄像机防护罩上</w:t>
            </w:r>
            <w:r>
              <w:rPr>
                <w:rFonts w:hint="eastAsia" w:ascii="宋体" w:hAnsi="宋体" w:eastAsia="宋体" w:cs="宋体"/>
                <w:color w:val="000000" w:themeColor="text1"/>
                <w:sz w:val="21"/>
                <w:szCs w:val="21"/>
                <w14:textFill>
                  <w14:solidFill>
                    <w14:schemeClr w14:val="tx1"/>
                  </w14:solidFill>
                </w14:textFill>
              </w:rPr>
              <w:t xml:space="preserve"> 或附近加装辅助照明（应急照明）设施。</w:t>
            </w:r>
            <w:r>
              <w:rPr>
                <w:rFonts w:hint="eastAsia" w:ascii="宋体" w:hAnsi="宋体" w:eastAsia="宋体" w:cs="宋体"/>
                <w:color w:val="000000" w:themeColor="text1"/>
                <w:spacing w:val="9"/>
                <w:sz w:val="21"/>
                <w:szCs w:val="21"/>
                <w14:textFill>
                  <w14:solidFill>
                    <w14:schemeClr w14:val="tx1"/>
                  </w14:solidFill>
                </w14:textFill>
              </w:rPr>
              <w:t xml:space="preserve"> </w:t>
            </w:r>
          </w:p>
          <w:p w14:paraId="6BD7C800">
            <w:pPr>
              <w:pStyle w:val="42"/>
              <w:keepNext w:val="0"/>
              <w:keepLines w:val="0"/>
              <w:pageBreakBefore w:val="0"/>
              <w:widowControl w:val="0"/>
              <w:numPr>
                <w:ilvl w:val="0"/>
                <w:numId w:val="0"/>
              </w:numPr>
              <w:kinsoku/>
              <w:wordWrap/>
              <w:overflowPunct/>
              <w:topLinePunct w:val="0"/>
              <w:autoSpaceDE/>
              <w:autoSpaceDN/>
              <w:bidi w:val="0"/>
              <w:adjustRightInd/>
              <w:snapToGrid/>
              <w:spacing w:line="360" w:lineRule="exact"/>
              <w:ind w:left="113" w:leftChars="0" w:right="35" w:rightChars="0"/>
              <w:jc w:val="both"/>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(4)摄像机、解码器等宜由控制中心专线</w:t>
            </w:r>
            <w:r>
              <w:rPr>
                <w:rFonts w:hint="eastAsia" w:ascii="宋体" w:hAnsi="宋体" w:eastAsia="宋体" w:cs="宋体"/>
                <w:color w:val="000000" w:themeColor="text1"/>
                <w:spacing w:val="7"/>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集中供电。距控制中心（机房）较远时，</w:t>
            </w:r>
            <w:r>
              <w:rPr>
                <w:rFonts w:hint="eastAsia" w:ascii="宋体" w:hAnsi="宋体" w:eastAsia="宋体" w:cs="宋体"/>
                <w:color w:val="000000" w:themeColor="text1"/>
                <w:spacing w:val="9"/>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可就地供电，但控制中心应能对其进行</w:t>
            </w:r>
            <w:r>
              <w:rPr>
                <w:rFonts w:hint="eastAsia" w:ascii="宋体" w:hAnsi="宋体" w:eastAsia="宋体" w:cs="宋体"/>
                <w:color w:val="000000" w:themeColor="text1"/>
                <w:spacing w:val="2"/>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开关控制。</w:t>
            </w:r>
          </w:p>
        </w:tc>
        <w:tc>
          <w:tcPr>
            <w:tcW w:w="1217" w:type="pct"/>
            <w:noWrap w:val="0"/>
            <w:vAlign w:val="top"/>
          </w:tcPr>
          <w:p w14:paraId="4C7D3C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0129A7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423D49A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786B3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301AD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2A30C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182314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ACF2C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CFA91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9224F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89CE6D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D60910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36127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0E402E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51F80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013B03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F4261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75892F40">
            <w:pPr>
              <w:pStyle w:val="42"/>
              <w:keepNext w:val="0"/>
              <w:keepLines w:val="0"/>
              <w:pageBreakBefore w:val="0"/>
              <w:widowControl w:val="0"/>
              <w:kinsoku/>
              <w:wordWrap/>
              <w:overflowPunct/>
              <w:topLinePunct w:val="0"/>
              <w:autoSpaceDE/>
              <w:autoSpaceDN/>
              <w:bidi w:val="0"/>
              <w:adjustRightInd/>
              <w:snapToGrid/>
              <w:spacing w:line="360" w:lineRule="exact"/>
              <w:ind w:left="118"/>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《光伏发电站设计规</w:t>
            </w:r>
            <w:r>
              <w:rPr>
                <w:rFonts w:hint="eastAsia" w:ascii="宋体" w:hAnsi="宋体" w:eastAsia="宋体" w:cs="宋体"/>
                <w:color w:val="000000" w:themeColor="text1"/>
                <w:spacing w:val="-8"/>
                <w:sz w:val="21"/>
                <w:szCs w:val="21"/>
                <w14:textFill>
                  <w14:solidFill>
                    <w14:schemeClr w14:val="tx1"/>
                  </w14:solidFill>
                </w14:textFill>
              </w:rPr>
              <w:t>范》（GB</w:t>
            </w:r>
            <w:r>
              <w:rPr>
                <w:rFonts w:hint="eastAsia" w:ascii="宋体" w:hAnsi="宋体" w:eastAsia="宋体" w:cs="宋体"/>
                <w:color w:val="000000" w:themeColor="text1"/>
                <w:spacing w:val="23"/>
                <w:sz w:val="21"/>
                <w:szCs w:val="21"/>
                <w14:textFill>
                  <w14:solidFill>
                    <w14:schemeClr w14:val="tx1"/>
                  </w14:solidFill>
                </w14:textFill>
              </w:rPr>
              <w:t xml:space="preserve"> </w:t>
            </w:r>
            <w:r>
              <w:rPr>
                <w:rFonts w:hint="eastAsia" w:ascii="宋体" w:hAnsi="宋体" w:eastAsia="宋体" w:cs="宋体"/>
                <w:color w:val="000000" w:themeColor="text1"/>
                <w:spacing w:val="-8"/>
                <w:sz w:val="21"/>
                <w:szCs w:val="21"/>
                <w14:textFill>
                  <w14:solidFill>
                    <w14:schemeClr w14:val="tx1"/>
                  </w14:solidFill>
                </w14:textFill>
              </w:rPr>
              <w:t>50797-2012）</w:t>
            </w:r>
          </w:p>
          <w:p w14:paraId="718AB338">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7.3.4</w:t>
            </w:r>
          </w:p>
        </w:tc>
        <w:tc>
          <w:tcPr>
            <w:tcW w:w="1013" w:type="pct"/>
            <w:noWrap w:val="0"/>
            <w:vAlign w:val="top"/>
          </w:tcPr>
          <w:p w14:paraId="0941D7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8969D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9D8428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299DF15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1ED4F3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5B8A02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57CFD1A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p w14:paraId="38D96291">
            <w:pPr>
              <w:pStyle w:val="42"/>
              <w:keepNext w:val="0"/>
              <w:keepLines w:val="0"/>
              <w:pageBreakBefore w:val="0"/>
              <w:widowControl w:val="0"/>
              <w:kinsoku/>
              <w:wordWrap/>
              <w:overflowPunct/>
              <w:topLinePunct w:val="0"/>
              <w:autoSpaceDE/>
              <w:autoSpaceDN/>
              <w:bidi w:val="0"/>
              <w:adjustRightInd/>
              <w:snapToGrid/>
              <w:spacing w:line="360" w:lineRule="exact"/>
              <w:ind w:left="107" w:right="123" w:firstLine="6"/>
              <w:jc w:val="center"/>
              <w:textAlignment w:val="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8"/>
                <w:sz w:val="21"/>
                <w:szCs w:val="21"/>
                <w14:textFill>
                  <w14:solidFill>
                    <w14:schemeClr w14:val="tx1"/>
                  </w14:solidFill>
                </w14:textFill>
              </w:rPr>
              <w:t>视频安防监控系统</w:t>
            </w:r>
            <w:r>
              <w:rPr>
                <w:rFonts w:hint="eastAsia" w:ascii="宋体" w:hAnsi="宋体" w:eastAsia="宋体" w:cs="宋体"/>
                <w:color w:val="000000" w:themeColor="text1"/>
                <w:spacing w:val="9"/>
                <w:sz w:val="21"/>
                <w:szCs w:val="21"/>
                <w14:textFill>
                  <w14:solidFill>
                    <w14:schemeClr w14:val="tx1"/>
                  </w14:solidFill>
                </w14:textFill>
              </w:rPr>
              <w:t>设置具有对图像信</w:t>
            </w:r>
            <w:r>
              <w:rPr>
                <w:rFonts w:hint="eastAsia" w:ascii="宋体" w:hAnsi="宋体" w:eastAsia="宋体" w:cs="宋体"/>
                <w:color w:val="000000" w:themeColor="text1"/>
                <w:spacing w:val="11"/>
                <w:sz w:val="21"/>
                <w:szCs w:val="21"/>
                <w14:textFill>
                  <w14:solidFill>
                    <w14:schemeClr w14:val="tx1"/>
                  </w14:solidFill>
                </w14:textFill>
              </w:rPr>
              <w:t>号的分配、切换、</w:t>
            </w:r>
            <w:r>
              <w:rPr>
                <w:rFonts w:hint="eastAsia" w:ascii="宋体" w:hAnsi="宋体" w:eastAsia="宋体" w:cs="宋体"/>
                <w:color w:val="000000" w:themeColor="text1"/>
                <w:spacing w:val="1"/>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存储、还原、远传</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等功能。监控区域</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有效覆盖、布局合理、图像清晰、控制有效。具有红外</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夜视功能。有现场</w:t>
            </w:r>
            <w:r>
              <w:rPr>
                <w:rFonts w:hint="eastAsia" w:ascii="宋体" w:hAnsi="宋体" w:eastAsia="宋体" w:cs="宋体"/>
                <w:color w:val="000000" w:themeColor="text1"/>
                <w:spacing w:val="6"/>
                <w:sz w:val="21"/>
                <w:szCs w:val="21"/>
                <w14:textFill>
                  <w14:solidFill>
                    <w14:schemeClr w14:val="tx1"/>
                  </w14:solidFill>
                </w14:textFill>
              </w:rPr>
              <w:t xml:space="preserve"> </w:t>
            </w:r>
            <w:r>
              <w:rPr>
                <w:rFonts w:hint="eastAsia" w:ascii="宋体" w:hAnsi="宋体" w:eastAsia="宋体" w:cs="宋体"/>
                <w:color w:val="000000" w:themeColor="text1"/>
                <w:sz w:val="21"/>
                <w:szCs w:val="21"/>
                <w14:textFill>
                  <w14:solidFill>
                    <w14:schemeClr w14:val="tx1"/>
                  </w14:solidFill>
                </w14:textFill>
              </w:rPr>
              <w:t>UPS</w:t>
            </w:r>
            <w:r>
              <w:rPr>
                <w:rFonts w:hint="eastAsia" w:ascii="宋体" w:hAnsi="宋体" w:eastAsia="宋体" w:cs="宋体"/>
                <w:color w:val="000000" w:themeColor="text1"/>
                <w:spacing w:val="10"/>
                <w:sz w:val="21"/>
                <w:szCs w:val="21"/>
                <w14:textFill>
                  <w14:solidFill>
                    <w14:schemeClr w14:val="tx1"/>
                  </w14:solidFill>
                </w14:textFill>
              </w:rPr>
              <w:t xml:space="preserve"> 就地供电。控</w:t>
            </w:r>
            <w:r>
              <w:rPr>
                <w:rFonts w:hint="eastAsia" w:ascii="宋体" w:hAnsi="宋体" w:eastAsia="宋体" w:cs="宋体"/>
                <w:color w:val="000000" w:themeColor="text1"/>
                <w:spacing w:val="5"/>
                <w:sz w:val="21"/>
                <w:szCs w:val="21"/>
                <w14:textFill>
                  <w14:solidFill>
                    <w14:schemeClr w14:val="tx1"/>
                  </w14:solidFill>
                </w14:textFill>
              </w:rPr>
              <w:t xml:space="preserve"> </w:t>
            </w:r>
            <w:r>
              <w:rPr>
                <w:rFonts w:hint="eastAsia" w:ascii="宋体" w:hAnsi="宋体" w:eastAsia="宋体" w:cs="宋体"/>
                <w:color w:val="000000" w:themeColor="text1"/>
                <w:spacing w:val="9"/>
                <w:sz w:val="21"/>
                <w:szCs w:val="21"/>
                <w14:textFill>
                  <w14:solidFill>
                    <w14:schemeClr w14:val="tx1"/>
                  </w14:solidFill>
                </w14:textFill>
              </w:rPr>
              <w:t>制中心应能对其进</w:t>
            </w:r>
            <w:r>
              <w:rPr>
                <w:rFonts w:hint="eastAsia" w:ascii="宋体" w:hAnsi="宋体" w:eastAsia="宋体" w:cs="宋体"/>
                <w:color w:val="000000" w:themeColor="text1"/>
                <w:spacing w:val="3"/>
                <w:sz w:val="21"/>
                <w:szCs w:val="21"/>
                <w14:textFill>
                  <w14:solidFill>
                    <w14:schemeClr w14:val="tx1"/>
                  </w14:solidFill>
                </w14:textFill>
              </w:rPr>
              <w:t xml:space="preserve"> </w:t>
            </w:r>
            <w:r>
              <w:rPr>
                <w:rFonts w:hint="eastAsia" w:ascii="宋体" w:hAnsi="宋体" w:eastAsia="宋体" w:cs="宋体"/>
                <w:color w:val="000000" w:themeColor="text1"/>
                <w:spacing w:val="7"/>
                <w:sz w:val="21"/>
                <w:szCs w:val="21"/>
                <w14:textFill>
                  <w14:solidFill>
                    <w14:schemeClr w14:val="tx1"/>
                  </w14:solidFill>
                </w14:textFill>
              </w:rPr>
              <w:t>行开关控制。</w:t>
            </w:r>
          </w:p>
        </w:tc>
        <w:tc>
          <w:tcPr>
            <w:tcW w:w="488" w:type="pct"/>
            <w:noWrap w:val="0"/>
            <w:vAlign w:val="top"/>
          </w:tcPr>
          <w:p w14:paraId="7E478F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themeColor="text1"/>
                <w:sz w:val="21"/>
                <w:szCs w:val="21"/>
                <w14:textFill>
                  <w14:solidFill>
                    <w14:schemeClr w14:val="tx1"/>
                  </w14:solidFill>
                </w14:textFill>
              </w:rPr>
            </w:pPr>
          </w:p>
        </w:tc>
      </w:tr>
    </w:tbl>
    <w:p w14:paraId="70FAAC2C">
      <w:pPr>
        <w:keepNext w:val="0"/>
        <w:keepLines w:val="0"/>
        <w:pageBreakBefore w:val="0"/>
        <w:widowControl w:val="0"/>
        <w:kinsoku/>
        <w:wordWrap/>
        <w:overflowPunct/>
        <w:topLinePunct w:val="0"/>
        <w:autoSpaceDE/>
        <w:autoSpaceDN/>
        <w:bidi w:val="0"/>
        <w:adjustRightInd/>
        <w:snapToGrid/>
        <w:ind w:left="0" w:leftChars="0" w:firstLine="568"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pacing w:val="2"/>
          <w14:textFill>
            <w14:solidFill>
              <w14:schemeClr w14:val="tx1"/>
            </w14:solidFill>
          </w14:textFill>
        </w:rPr>
        <w:t>评价分析：针对</w:t>
      </w:r>
      <w:r>
        <w:rPr>
          <w:rFonts w:hint="eastAsia" w:ascii="宋体" w:hAnsi="宋体" w:cs="宋体"/>
          <w:color w:val="000000" w:themeColor="text1"/>
          <w:spacing w:val="2"/>
          <w:lang w:val="en-US" w:eastAsia="zh-CN"/>
          <w14:textFill>
            <w14:solidFill>
              <w14:schemeClr w14:val="tx1"/>
            </w14:solidFill>
          </w14:textFill>
        </w:rPr>
        <w:t>视频安防</w:t>
      </w:r>
      <w:r>
        <w:rPr>
          <w:rFonts w:hint="eastAsia" w:ascii="宋体" w:hAnsi="宋体" w:eastAsia="宋体" w:cs="宋体"/>
          <w:color w:val="000000" w:themeColor="text1"/>
          <w:spacing w:val="2"/>
          <w14:textFill>
            <w14:solidFill>
              <w14:schemeClr w14:val="tx1"/>
            </w14:solidFill>
          </w14:textFill>
        </w:rPr>
        <w:t>系统</w:t>
      </w:r>
      <w:r>
        <w:rPr>
          <w:rFonts w:hint="eastAsia" w:ascii="宋体" w:hAnsi="宋体" w:eastAsia="宋体" w:cs="宋体"/>
          <w:color w:val="000000" w:themeColor="text1"/>
          <w:spacing w:val="2"/>
          <w:lang w:val="en-US" w:eastAsia="zh-CN"/>
          <w14:textFill>
            <w14:solidFill>
              <w14:schemeClr w14:val="tx1"/>
            </w14:solidFill>
          </w14:textFill>
        </w:rPr>
        <w:t>子单元</w:t>
      </w:r>
      <w:r>
        <w:rPr>
          <w:rFonts w:hint="eastAsia" w:ascii="宋体" w:hAnsi="宋体" w:eastAsia="宋体" w:cs="宋体"/>
          <w:color w:val="000000" w:themeColor="text1"/>
          <w:spacing w:val="2"/>
          <w14:textFill>
            <w14:solidFill>
              <w14:schemeClr w14:val="tx1"/>
            </w14:solidFill>
          </w14:textFill>
        </w:rPr>
        <w:t>安全检查表内的</w:t>
      </w:r>
      <w:r>
        <w:rPr>
          <w:rFonts w:hint="eastAsia" w:ascii="宋体" w:hAnsi="宋体" w:cs="宋体"/>
          <w:color w:val="000000" w:themeColor="text1"/>
          <w:spacing w:val="2"/>
          <w:lang w:val="en-US" w:eastAsia="zh-CN"/>
          <w14:textFill>
            <w14:solidFill>
              <w14:schemeClr w14:val="tx1"/>
            </w14:solidFill>
          </w14:textFill>
        </w:rPr>
        <w:t>3</w:t>
      </w:r>
      <w:r>
        <w:rPr>
          <w:rFonts w:hint="eastAsia" w:ascii="宋体" w:hAnsi="宋体" w:eastAsia="宋体" w:cs="宋体"/>
          <w:color w:val="000000" w:themeColor="text1"/>
          <w:spacing w:val="2"/>
          <w14:textFill>
            <w14:solidFill>
              <w14:schemeClr w14:val="tx1"/>
            </w14:solidFill>
          </w14:textFill>
        </w:rPr>
        <w:t>项内容，其中</w:t>
      </w:r>
      <w:r>
        <w:rPr>
          <w:rFonts w:hint="eastAsia" w:ascii="宋体" w:hAnsi="宋体" w:cs="宋体"/>
          <w:color w:val="000000" w:themeColor="text1"/>
          <w:spacing w:val="2"/>
          <w:lang w:val="en-US" w:eastAsia="zh-CN"/>
          <w14:textFill>
            <w14:solidFill>
              <w14:schemeClr w14:val="tx1"/>
            </w14:solidFill>
          </w14:textFill>
        </w:rPr>
        <w:t>3</w:t>
      </w:r>
      <w:r>
        <w:rPr>
          <w:rFonts w:hint="eastAsia" w:ascii="宋体" w:hAnsi="宋体" w:eastAsia="宋体" w:cs="宋体"/>
          <w:color w:val="000000" w:themeColor="text1"/>
          <w:spacing w:val="2"/>
          <w14:textFill>
            <w14:solidFill>
              <w14:schemeClr w14:val="tx1"/>
            </w14:solidFill>
          </w14:textFill>
        </w:rPr>
        <w:t>项合格，0</w:t>
      </w:r>
      <w:r>
        <w:rPr>
          <w:rFonts w:hint="eastAsia" w:ascii="宋体" w:hAnsi="宋体" w:eastAsia="宋体" w:cs="宋体"/>
          <w:color w:val="000000" w:themeColor="text1"/>
          <w:spacing w:val="2"/>
          <w:lang w:val="en-US" w:eastAsia="zh-CN"/>
          <w14:textFill>
            <w14:solidFill>
              <w14:schemeClr w14:val="tx1"/>
            </w14:solidFill>
          </w14:textFill>
        </w:rPr>
        <w:t>不合格。</w:t>
      </w:r>
    </w:p>
    <w:p w14:paraId="412F7FD1">
      <w:pPr>
        <w:pStyle w:val="6"/>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子单元小结</w:t>
      </w:r>
    </w:p>
    <w:p w14:paraId="65C9B8E7">
      <w:pPr>
        <w:keepNext w:val="0"/>
        <w:keepLines w:val="0"/>
        <w:pageBreakBefore w:val="0"/>
        <w:widowControl w:val="0"/>
        <w:kinsoku/>
        <w:bidi w:val="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视频安防系统子单元符合《光伏发电站设计规范》（GB 50797-2012）</w:t>
      </w:r>
      <w:r>
        <w:rPr>
          <w:rFonts w:hint="eastAsia" w:ascii="宋体" w:hAnsi="宋体" w:cs="宋体"/>
          <w:color w:val="000000" w:themeColor="text1"/>
          <w:lang w:val="en-US" w:eastAsia="zh-CN"/>
          <w14:textFill>
            <w14:solidFill>
              <w14:schemeClr w14:val="tx1"/>
            </w14:solidFill>
          </w14:textFill>
        </w:rPr>
        <w:t>要求。</w:t>
      </w:r>
    </w:p>
    <w:p w14:paraId="02608154">
      <w:pPr>
        <w:pStyle w:val="5"/>
        <w:bidi w:val="0"/>
        <w:rPr>
          <w:b/>
          <w:bCs/>
          <w:color w:val="000000" w:themeColor="text1"/>
          <w14:textFill>
            <w14:solidFill>
              <w14:schemeClr w14:val="tx1"/>
            </w14:solidFill>
          </w14:textFill>
        </w:rPr>
      </w:pPr>
      <w:bookmarkStart w:id="341" w:name="_Toc22298"/>
      <w:r>
        <w:rPr>
          <w:b/>
          <w:bCs/>
          <w:color w:val="000000" w:themeColor="text1"/>
          <w14:textFill>
            <w14:solidFill>
              <w14:schemeClr w14:val="tx1"/>
            </w14:solidFill>
          </w14:textFill>
        </w:rPr>
        <w:t>单元小结</w:t>
      </w:r>
      <w:bookmarkEnd w:id="341"/>
    </w:p>
    <w:p w14:paraId="649EB67F">
      <w:pPr>
        <w:keepNext w:val="0"/>
        <w:keepLines w:val="0"/>
        <w:pageBreakBefore w:val="0"/>
        <w:widowControl w:val="0"/>
        <w:kinsoku/>
        <w:wordWrap/>
        <w:overflowPunct/>
        <w:topLinePunct w:val="0"/>
        <w:autoSpaceDE/>
        <w:autoSpaceDN/>
        <w:bidi w:val="0"/>
        <w:adjustRightInd/>
        <w:snapToGrid/>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光伏电站设置了相应消防器材</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光伏</w:t>
      </w:r>
      <w:r>
        <w:rPr>
          <w:rFonts w:hint="eastAsia" w:ascii="宋体" w:hAnsi="宋体" w:eastAsia="宋体" w:cs="宋体"/>
          <w:color w:val="000000" w:themeColor="text1"/>
          <w14:textFill>
            <w14:solidFill>
              <w14:schemeClr w14:val="tx1"/>
            </w14:solidFill>
          </w14:textFill>
        </w:rPr>
        <w:t>场区公路等均设置了排水沟，</w:t>
      </w:r>
      <w:r>
        <w:rPr>
          <w:color w:val="000000" w:themeColor="text1"/>
          <w:spacing w:val="-1"/>
          <w:sz w:val="28"/>
          <w:szCs w:val="28"/>
          <w14:textFill>
            <w14:solidFill>
              <w14:schemeClr w14:val="tx1"/>
            </w14:solidFill>
          </w14:textFill>
        </w:rPr>
        <w:t>场区通信能够得到保障，场区设置有符合要求的视频安防系统。</w:t>
      </w:r>
    </w:p>
    <w:p w14:paraId="1926C04F">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公用工程及辅助设施验收单元符合《消防法</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建筑设计防火规范</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2018年版）</w:t>
      </w:r>
      <w:r>
        <w:rPr>
          <w:rFonts w:hint="eastAsia" w:ascii="宋体" w:hAnsi="宋体" w:eastAsia="宋体" w:cs="宋体"/>
          <w:color w:val="000000" w:themeColor="text1"/>
          <w14:textFill>
            <w14:solidFill>
              <w14:schemeClr w14:val="tx1"/>
            </w14:solidFill>
          </w14:textFill>
        </w:rPr>
        <w:t>》（GB50016</w:t>
      </w:r>
      <w:r>
        <w:rPr>
          <w:rFonts w:hint="eastAsia" w:ascii="宋体" w:hAnsi="宋体" w:cs="宋体"/>
          <w:color w:val="000000" w:themeColor="text1"/>
          <w:lang w:val="en-US"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2014）、《建筑灭火器配置设计规范》（GB50140-2005）</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《光伏发电站设计规范》（GB 50797-2012）</w:t>
      </w: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cs="宋体"/>
          <w:color w:val="000000" w:themeColor="text1"/>
          <w:szCs w:val="28"/>
          <w:lang w:val="zh-CN"/>
          <w14:textFill>
            <w14:solidFill>
              <w14:schemeClr w14:val="tx1"/>
            </w14:solidFill>
          </w14:textFill>
        </w:rPr>
        <w:t>华能澜沧江（景洪）新能源有限公司基诺乡巴卡村洛科新寨光伏电站</w:t>
      </w:r>
      <w:r>
        <w:rPr>
          <w:rFonts w:hint="eastAsia" w:ascii="宋体" w:hAnsi="宋体" w:eastAsia="宋体" w:cs="宋体"/>
          <w:color w:val="000000" w:themeColor="text1"/>
          <w:szCs w:val="28"/>
          <w:lang w:val="en-US" w:eastAsia="zh-CN"/>
          <w14:textFill>
            <w14:solidFill>
              <w14:schemeClr w14:val="tx1"/>
            </w14:solidFill>
          </w14:textFill>
        </w:rPr>
        <w:t>安全设施设计</w:t>
      </w:r>
      <w:r>
        <w:rPr>
          <w:rFonts w:hint="eastAsia" w:ascii="宋体" w:hAnsi="宋体" w:eastAsia="宋体" w:cs="宋体"/>
          <w:color w:val="000000" w:themeColor="text1"/>
          <w:szCs w:val="28"/>
          <w:lang w:val="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等相关要求。</w:t>
      </w:r>
    </w:p>
    <w:p w14:paraId="0DFBF4FC">
      <w:pPr>
        <w:pStyle w:val="3"/>
        <w:bidi w:val="0"/>
        <w:rPr>
          <w:rFonts w:hint="eastAsia"/>
          <w:color w:val="000000" w:themeColor="text1"/>
          <w14:textFill>
            <w14:solidFill>
              <w14:schemeClr w14:val="tx1"/>
            </w14:solidFill>
          </w14:textFill>
        </w:rPr>
      </w:pPr>
      <w:bookmarkStart w:id="342" w:name="_Toc4873"/>
      <w:bookmarkStart w:id="343" w:name="_Toc19180"/>
      <w:bookmarkStart w:id="344" w:name="_Toc24670"/>
      <w:r>
        <w:rPr>
          <w:rFonts w:hint="eastAsia"/>
          <w:color w:val="000000" w:themeColor="text1"/>
          <w14:textFill>
            <w14:solidFill>
              <w14:schemeClr w14:val="tx1"/>
            </w14:solidFill>
          </w14:textFill>
        </w:rPr>
        <w:t>安全管理单元</w:t>
      </w:r>
      <w:bookmarkEnd w:id="342"/>
      <w:bookmarkEnd w:id="343"/>
      <w:bookmarkEnd w:id="344"/>
    </w:p>
    <w:p w14:paraId="3EF06286">
      <w:pPr>
        <w:pStyle w:val="4"/>
        <w:bidi w:val="0"/>
        <w:rPr>
          <w:rFonts w:hint="eastAsia"/>
          <w:color w:val="000000" w:themeColor="text1"/>
          <w14:textFill>
            <w14:solidFill>
              <w14:schemeClr w14:val="tx1"/>
            </w14:solidFill>
          </w14:textFill>
        </w:rPr>
      </w:pPr>
      <w:bookmarkStart w:id="345" w:name="_Toc246"/>
      <w:r>
        <w:rPr>
          <w:rFonts w:hint="eastAsia"/>
          <w:color w:val="000000" w:themeColor="text1"/>
          <w14:textFill>
            <w14:solidFill>
              <w14:schemeClr w14:val="tx1"/>
            </w14:solidFill>
          </w14:textFill>
        </w:rPr>
        <w:t>安全生产管理检查表</w:t>
      </w:r>
      <w:bookmarkEnd w:id="345"/>
    </w:p>
    <w:p w14:paraId="775A1EB9">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根据《中华人民共和国安全生产法》等</w:t>
      </w:r>
      <w:r>
        <w:rPr>
          <w:rFonts w:hint="eastAsia"/>
          <w:color w:val="000000" w:themeColor="text1"/>
          <w:lang w:eastAsia="zh-CN"/>
          <w14:textFill>
            <w14:solidFill>
              <w14:schemeClr w14:val="tx1"/>
            </w14:solidFill>
          </w14:textFill>
        </w:rPr>
        <w:t>法律法规</w:t>
      </w:r>
      <w:r>
        <w:rPr>
          <w:rFonts w:hint="eastAsia"/>
          <w:color w:val="000000" w:themeColor="text1"/>
          <w14:textFill>
            <w14:solidFill>
              <w14:schemeClr w14:val="tx1"/>
            </w14:solidFill>
          </w14:textFill>
        </w:rPr>
        <w:t>及标准的规定，评价组对该公司安全管理组织机构、安全生产管理制度、运行规程、事故应急救援预案、特种作业人员培训及日常安全管理等安全检查。</w:t>
      </w:r>
    </w:p>
    <w:p w14:paraId="01C5379F">
      <w:pPr>
        <w:pStyle w:val="12"/>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t>安全管理安全检查表</w:t>
      </w:r>
    </w:p>
    <w:tbl>
      <w:tblPr>
        <w:tblStyle w:val="28"/>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4308"/>
        <w:gridCol w:w="1639"/>
        <w:gridCol w:w="1612"/>
        <w:gridCol w:w="734"/>
      </w:tblGrid>
      <w:tr w14:paraId="65FA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4329D71">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15FAC5F">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检查项目</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365F09E">
            <w:pPr>
              <w:pStyle w:val="51"/>
              <w:keepNext w:val="0"/>
              <w:keepLines w:val="0"/>
              <w:pageBreakBefore w:val="0"/>
              <w:widowControl w:val="0"/>
              <w:kinsoku/>
              <w:bidi w:val="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依据标准条款</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22CFE1BF">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实际情况</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AD89873">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检查结果</w:t>
            </w:r>
          </w:p>
        </w:tc>
      </w:tr>
      <w:tr w14:paraId="2B298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A344275">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F0BBC3D">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安全生产管理机构</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E05B6BC">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41F60D6A">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30AFDC0B">
            <w:pPr>
              <w:pStyle w:val="51"/>
              <w:keepNext w:val="0"/>
              <w:keepLines w:val="0"/>
              <w:pageBreakBefore w:val="0"/>
              <w:widowControl w:val="0"/>
              <w:kinsoku/>
              <w:bidi w:val="0"/>
              <w:rPr>
                <w:color w:val="000000" w:themeColor="text1"/>
                <w14:textFill>
                  <w14:solidFill>
                    <w14:schemeClr w14:val="tx1"/>
                  </w14:solidFill>
                </w14:textFill>
              </w:rPr>
            </w:pPr>
          </w:p>
        </w:tc>
      </w:tr>
      <w:tr w14:paraId="7CA64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529DC4F8">
            <w:pPr>
              <w:pStyle w:val="51"/>
              <w:keepNext w:val="0"/>
              <w:keepLines w:val="0"/>
              <w:pageBreakBefore w:val="0"/>
              <w:widowControl w:val="0"/>
              <w:numPr>
                <w:ilvl w:val="0"/>
                <w:numId w:val="50"/>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3B52CFB6">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矿山、金属冶炼、建筑施工、运输单位和危险物品的生产、经营、储存、装卸单位，应当设置安全生产管理机构或者配备专职安全生产管理人员。</w:t>
            </w:r>
          </w:p>
          <w:p w14:paraId="3D856060">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74BD1060">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第二十四条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EF7FC72">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本电站属前款规定以外的单位，从业人员100人以下，成立了安全生产委员会，</w:t>
            </w:r>
            <w:r>
              <w:rPr>
                <w:rFonts w:hint="eastAsia"/>
                <w:color w:val="000000" w:themeColor="text1"/>
                <w:lang w:val="en-US" w:eastAsia="zh-CN"/>
                <w14:textFill>
                  <w14:solidFill>
                    <w14:schemeClr w14:val="tx1"/>
                  </w14:solidFill>
                </w14:textFill>
              </w:rPr>
              <w:t>配备了</w:t>
            </w:r>
            <w:r>
              <w:rPr>
                <w:rFonts w:hint="eastAsia"/>
                <w:color w:val="000000" w:themeColor="text1"/>
                <w14:textFill>
                  <w14:solidFill>
                    <w14:schemeClr w14:val="tx1"/>
                  </w14:solidFill>
                </w14:textFill>
              </w:rPr>
              <w:t>兼职安全员。</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EC9E16D">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72E3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5E561BE">
            <w:pPr>
              <w:pStyle w:val="51"/>
              <w:keepNext w:val="0"/>
              <w:keepLines w:val="0"/>
              <w:pageBreakBefore w:val="0"/>
              <w:widowControl w:val="0"/>
              <w:numPr>
                <w:ilvl w:val="0"/>
                <w:numId w:val="50"/>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DDD38EF">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生产经营单位的安全生产管理机构以及安全生产管理人员履行下列职责</w:t>
            </w:r>
            <w:r>
              <w:rPr>
                <w:rFonts w:hint="eastAsia"/>
                <w:color w:val="000000" w:themeColor="text1"/>
                <w:lang w:eastAsia="zh-CN"/>
                <w14:textFill>
                  <w14:solidFill>
                    <w14:schemeClr w14:val="tx1"/>
                  </w14:solidFill>
                </w14:textFill>
              </w:rPr>
              <w:t>：</w:t>
            </w:r>
          </w:p>
          <w:p w14:paraId="03CC79E3">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（一）组织或者参与拟订本单位安全生产规章制度、操作规程和生产安全事故应急救援预案；</w:t>
            </w:r>
          </w:p>
          <w:p w14:paraId="3A039C4D">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（二）组织或者参与本单位安全生产教育和培训，如实记录安全生产教育和培训情况；</w:t>
            </w:r>
          </w:p>
          <w:p w14:paraId="61748757">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（三）组织开展危险源辨识和评估，督促落实本单位重大危险源的安全管理措施；</w:t>
            </w:r>
          </w:p>
          <w:p w14:paraId="61AA6DFD">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（四）组织或者参与本单位应急救援演练；</w:t>
            </w:r>
          </w:p>
          <w:p w14:paraId="50842D29">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（五）检查本单位的安全生产状况，及时排查生产安全事故隐患，提出改进安全生产管理的建议；</w:t>
            </w:r>
          </w:p>
          <w:p w14:paraId="4D91D428">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（六）制止和纠正违章指挥、强令冒险作业、违反操作规程的行为；</w:t>
            </w:r>
          </w:p>
          <w:p w14:paraId="58EB666B">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（七）督促落实本单位安全生产整改措施。</w:t>
            </w:r>
          </w:p>
          <w:p w14:paraId="7480F936">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生产经营单位可以设置专职安全生产分管负责人，协助本单位主要负责人履行安全生产管理职责。</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004785C4">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第二十五条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15D44747">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安委会、</w:t>
            </w:r>
            <w:r>
              <w:rPr>
                <w:rFonts w:hint="eastAsia"/>
                <w:color w:val="000000" w:themeColor="text1"/>
                <w:lang w:val="en-US" w:eastAsia="zh-CN"/>
                <w14:textFill>
                  <w14:solidFill>
                    <w14:schemeClr w14:val="tx1"/>
                  </w14:solidFill>
                </w14:textFill>
              </w:rPr>
              <w:t>安全生产管理人员</w:t>
            </w:r>
            <w:r>
              <w:rPr>
                <w:rFonts w:hint="eastAsia"/>
                <w:color w:val="000000" w:themeColor="text1"/>
                <w14:textFill>
                  <w14:solidFill>
                    <w14:schemeClr w14:val="tx1"/>
                  </w14:solidFill>
                </w14:textFill>
              </w:rPr>
              <w:t>履行相应职责；并完善运行规程、应急预案。</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1B2D3D31">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A56C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F96CB8A">
            <w:pPr>
              <w:pStyle w:val="51"/>
              <w:keepNext w:val="0"/>
              <w:keepLines w:val="0"/>
              <w:pageBreakBefore w:val="0"/>
              <w:widowControl w:val="0"/>
              <w:numPr>
                <w:ilvl w:val="0"/>
                <w:numId w:val="50"/>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A9554F7">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生产经营单位的主要负责人和安全生产管理人员必须具备与本单位所从事的生产经营活动相应的安全生产知识和管理能力。</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778C0547">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w:t>
            </w:r>
            <w:r>
              <w:rPr>
                <w:rFonts w:hint="eastAsia"/>
                <w:color w:val="000000" w:themeColor="text1"/>
                <w:lang w:val="en-US" w:eastAsia="zh-CN"/>
                <w14:textFill>
                  <w14:solidFill>
                    <w14:schemeClr w14:val="tx1"/>
                  </w14:solidFill>
                </w14:textFill>
              </w:rPr>
              <w:t>七</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43B97EA8">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主要负责人和安全生产管理人员</w:t>
            </w:r>
            <w:r>
              <w:rPr>
                <w:rFonts w:hint="eastAsia"/>
                <w:color w:val="000000" w:themeColor="text1"/>
                <w:lang w:val="en-US" w:eastAsia="zh-CN"/>
                <w14:textFill>
                  <w14:solidFill>
                    <w14:schemeClr w14:val="tx1"/>
                  </w14:solidFill>
                </w14:textFill>
              </w:rPr>
              <w:t>取得</w:t>
            </w:r>
            <w:r>
              <w:rPr>
                <w:rFonts w:hint="eastAsia"/>
                <w:color w:val="000000" w:themeColor="text1"/>
                <w14:textFill>
                  <w14:solidFill>
                    <w14:schemeClr w14:val="tx1"/>
                  </w14:solidFill>
                </w14:textFill>
              </w:rPr>
              <w:t>安全</w:t>
            </w:r>
            <w:r>
              <w:rPr>
                <w:rFonts w:hint="eastAsia"/>
                <w:color w:val="000000" w:themeColor="text1"/>
                <w:lang w:val="en-US" w:eastAsia="zh-CN"/>
                <w14:textFill>
                  <w14:solidFill>
                    <w14:schemeClr w14:val="tx1"/>
                  </w14:solidFill>
                </w14:textFill>
              </w:rPr>
              <w:t>生产知识和</w:t>
            </w:r>
            <w:r>
              <w:rPr>
                <w:rFonts w:hint="eastAsia"/>
                <w:color w:val="000000" w:themeColor="text1"/>
                <w14:textFill>
                  <w14:solidFill>
                    <w14:schemeClr w14:val="tx1"/>
                  </w14:solidFill>
                </w14:textFill>
              </w:rPr>
              <w:t>管理</w:t>
            </w:r>
            <w:r>
              <w:rPr>
                <w:rFonts w:hint="eastAsia"/>
                <w:color w:val="000000" w:themeColor="text1"/>
                <w:lang w:val="en-US" w:eastAsia="zh-CN"/>
                <w14:textFill>
                  <w14:solidFill>
                    <w14:schemeClr w14:val="tx1"/>
                  </w14:solidFill>
                </w14:textFill>
              </w:rPr>
              <w:t>能力培训合格</w:t>
            </w:r>
            <w:r>
              <w:rPr>
                <w:rFonts w:hint="eastAsia"/>
                <w:color w:val="000000" w:themeColor="text1"/>
                <w14:textFill>
                  <w14:solidFill>
                    <w14:schemeClr w14:val="tx1"/>
                  </w14:solidFill>
                </w14:textFill>
              </w:rPr>
              <w:t>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C35ECF9">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520E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0D434A84">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82EA157">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t>规程和规章制度</w:t>
            </w:r>
            <w:r>
              <w:rPr>
                <w:rFonts w:hint="eastAsia"/>
                <w:color w:val="000000" w:themeColor="text1"/>
                <w14:textFill>
                  <w14:solidFill>
                    <w14:schemeClr w14:val="tx1"/>
                  </w14:solidFill>
                </w14:textFill>
              </w:rPr>
              <w:t>、安全生产责任制</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EB0FA5C">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22361BBB">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379926FA">
            <w:pPr>
              <w:pStyle w:val="51"/>
              <w:keepNext w:val="0"/>
              <w:keepLines w:val="0"/>
              <w:pageBreakBefore w:val="0"/>
              <w:widowControl w:val="0"/>
              <w:kinsoku/>
              <w:bidi w:val="0"/>
              <w:rPr>
                <w:color w:val="000000" w:themeColor="text1"/>
                <w14:textFill>
                  <w14:solidFill>
                    <w14:schemeClr w14:val="tx1"/>
                  </w14:solidFill>
                </w14:textFill>
              </w:rPr>
            </w:pPr>
          </w:p>
        </w:tc>
      </w:tr>
      <w:tr w14:paraId="4FA52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8D3BB69">
            <w:pPr>
              <w:pStyle w:val="51"/>
              <w:keepNext w:val="0"/>
              <w:keepLines w:val="0"/>
              <w:pageBreakBefore w:val="0"/>
              <w:widowControl w:val="0"/>
              <w:numPr>
                <w:ilvl w:val="0"/>
                <w:numId w:val="51"/>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1D7606C9">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生产经营单位的主要负责人对本单位安全生产工作负有下列职责</w:t>
            </w:r>
            <w:r>
              <w:rPr>
                <w:rFonts w:hint="eastAsia"/>
                <w:color w:val="000000" w:themeColor="text1"/>
                <w:lang w:eastAsia="zh-CN"/>
                <w14:textFill>
                  <w14:solidFill>
                    <w14:schemeClr w14:val="tx1"/>
                  </w14:solidFill>
                </w14:textFill>
              </w:rPr>
              <w:t>：</w:t>
            </w:r>
          </w:p>
          <w:p w14:paraId="1D416B60">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（一）建立健全并落实本单位全员安全生产责任制，加强安全生产标准化建设；</w:t>
            </w:r>
          </w:p>
          <w:p w14:paraId="5A14CDDA">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（二）组织制定并实施本单位安全生产规章制度和操作规程；</w:t>
            </w:r>
          </w:p>
          <w:p w14:paraId="72F6D3C6">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（三）组织制定并实施本单位安全生产教育和培训计划；</w:t>
            </w:r>
          </w:p>
          <w:p w14:paraId="09160EA3">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（四）保证本单位安全生产投入的有效实施；</w:t>
            </w:r>
          </w:p>
          <w:p w14:paraId="615D525A">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（五）组织建立并落实安全风险分级管控和隐患排查治理双重预防工作机制，督促、检查本单位的安全生产工作，及时消除生产安全事故隐患；</w:t>
            </w:r>
          </w:p>
          <w:p w14:paraId="3EA785D1">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（六）组织制定并实施本单位的生产安全事故应急救援预案；</w:t>
            </w:r>
          </w:p>
          <w:p w14:paraId="650C04F6">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（七）及时、如实报告生产安全事故。</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7A32922">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w:t>
            </w:r>
            <w:r>
              <w:rPr>
                <w:rFonts w:hint="eastAsia"/>
                <w:color w:val="000000" w:themeColor="text1"/>
                <w:lang w:val="en-US" w:eastAsia="zh-CN"/>
                <w14:textFill>
                  <w14:solidFill>
                    <w14:schemeClr w14:val="tx1"/>
                  </w14:solidFill>
                </w14:textFill>
              </w:rPr>
              <w:t>一</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CD7F177">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电站制定了安全生产责任制度、《运行规程》，进行了安全生产教育和培训，制定了</w:t>
            </w:r>
            <w:r>
              <w:rPr>
                <w:rFonts w:hint="eastAsia"/>
                <w:color w:val="000000" w:themeColor="text1"/>
                <w:lang w:val="en-US" w:eastAsia="zh-CN"/>
                <w14:textFill>
                  <w14:solidFill>
                    <w14:schemeClr w14:val="tx1"/>
                  </w14:solidFill>
                </w14:textFill>
              </w:rPr>
              <w:t>应急救援</w:t>
            </w:r>
            <w:r>
              <w:rPr>
                <w:rFonts w:hint="eastAsia"/>
                <w:color w:val="000000" w:themeColor="text1"/>
                <w14:textFill>
                  <w14:solidFill>
                    <w14:schemeClr w14:val="tx1"/>
                  </w14:solidFill>
                </w14:textFill>
              </w:rPr>
              <w:t>预案。</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4AA5B07B">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12A9B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DB5EF8C">
            <w:pPr>
              <w:pStyle w:val="51"/>
              <w:keepNext w:val="0"/>
              <w:keepLines w:val="0"/>
              <w:pageBreakBefore w:val="0"/>
              <w:widowControl w:val="0"/>
              <w:numPr>
                <w:ilvl w:val="0"/>
                <w:numId w:val="51"/>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880D13C">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生产经营单位的全员安全生产责任制应当明确各岗位的责任人员、责任范围和考核标准等内容。</w:t>
            </w:r>
          </w:p>
          <w:p w14:paraId="442DA025">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生产经营单位应当建立相应的机制，加强对全员安全生产责任制落实情况的监督考核，保证全员安全生产责任制的落实。</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058C24D3">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第二十二条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046A3E7">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制定了安全生产责任制度，明确各岗位的责任人员。</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86F58A4">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904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BE3E0D3">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3728FCB2">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教育和培训</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43989714">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520F3B9E">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2BF0C916">
            <w:pPr>
              <w:pStyle w:val="51"/>
              <w:keepNext w:val="0"/>
              <w:keepLines w:val="0"/>
              <w:pageBreakBefore w:val="0"/>
              <w:widowControl w:val="0"/>
              <w:kinsoku/>
              <w:bidi w:val="0"/>
              <w:rPr>
                <w:color w:val="000000" w:themeColor="text1"/>
                <w14:textFill>
                  <w14:solidFill>
                    <w14:schemeClr w14:val="tx1"/>
                  </w14:solidFill>
                </w14:textFill>
              </w:rPr>
            </w:pPr>
          </w:p>
        </w:tc>
      </w:tr>
      <w:tr w14:paraId="316DA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4C0E7BC">
            <w:pPr>
              <w:pStyle w:val="51"/>
              <w:keepNext w:val="0"/>
              <w:keepLines w:val="0"/>
              <w:pageBreakBefore w:val="0"/>
              <w:widowControl w:val="0"/>
              <w:numPr>
                <w:ilvl w:val="0"/>
                <w:numId w:val="52"/>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4487474">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3E8B2D33">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生产经营单位接收中等职业学校、高等学校学生实习的，应当对实习学生进行相应的安全生产教育和培训，提供必要的劳动防护用品。学校应当协助生产经营单位对实习学生进行安全生产教育和培训。</w:t>
            </w:r>
          </w:p>
          <w:p w14:paraId="0AC8FF3E">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生产经营单位应当建立安全生产教育和培训档案，如实记录安全生产教育和培训的时间、内容、参加人员以及考核结果等情况。</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E265F19">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第二十</w:t>
            </w:r>
            <w:r>
              <w:rPr>
                <w:rFonts w:hint="eastAsia"/>
                <w:color w:val="000000" w:themeColor="text1"/>
                <w:lang w:val="en-US" w:eastAsia="zh-CN"/>
                <w14:textFill>
                  <w14:solidFill>
                    <w14:schemeClr w14:val="tx1"/>
                  </w14:solidFill>
                </w14:textFill>
              </w:rPr>
              <w:t>八</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688C4D27">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公司对从业人员进行了安全生产教育和培训，保证从业人员熟悉管理制度、操作规程。</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040F9FB7">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符合要求</w:t>
            </w:r>
          </w:p>
        </w:tc>
      </w:tr>
      <w:tr w14:paraId="75C6E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40B11FB4">
            <w:pPr>
              <w:pStyle w:val="51"/>
              <w:keepNext w:val="0"/>
              <w:keepLines w:val="0"/>
              <w:pageBreakBefore w:val="0"/>
              <w:widowControl w:val="0"/>
              <w:numPr>
                <w:ilvl w:val="0"/>
                <w:numId w:val="52"/>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3E3E1B6">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生产经营单位的特种作业人员必须按照国家有关规定经专门的安全作业培训，取得相应资格，方可上岗作业。</w:t>
            </w:r>
          </w:p>
          <w:p w14:paraId="405C21C4">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特种作业人员的范围由国务院安全生产监督管理部门会同国务院有关部门确定。</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11582879">
            <w:pPr>
              <w:pStyle w:val="51"/>
              <w:keepNext w:val="0"/>
              <w:keepLines w:val="0"/>
              <w:pageBreakBefore w:val="0"/>
              <w:widowControl w:val="0"/>
              <w:kinsoku/>
              <w:bidi w:val="0"/>
              <w:rPr>
                <w:rFonts w:hint="default"/>
                <w:color w:val="000000" w:themeColor="text1"/>
                <w:lang w:val="en-US"/>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第三十条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F8D88BE">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运行作业人员等取得了电工证。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7890134A">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6E31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B6A8C01">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B844B2C">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color w:val="000000" w:themeColor="text1"/>
                <w14:textFill>
                  <w14:solidFill>
                    <w14:schemeClr w14:val="tx1"/>
                  </w14:solidFill>
                </w14:textFill>
              </w:rPr>
              <w:t>应急救援</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1060A59">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B5C9252">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77F87590">
            <w:pPr>
              <w:pStyle w:val="51"/>
              <w:keepNext w:val="0"/>
              <w:keepLines w:val="0"/>
              <w:pageBreakBefore w:val="0"/>
              <w:widowControl w:val="0"/>
              <w:kinsoku/>
              <w:bidi w:val="0"/>
              <w:rPr>
                <w:color w:val="000000" w:themeColor="text1"/>
                <w14:textFill>
                  <w14:solidFill>
                    <w14:schemeClr w14:val="tx1"/>
                  </w14:solidFill>
                </w14:textFill>
              </w:rPr>
            </w:pPr>
          </w:p>
        </w:tc>
      </w:tr>
      <w:tr w14:paraId="2765B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533D8FB">
            <w:pPr>
              <w:pStyle w:val="51"/>
              <w:keepNext w:val="0"/>
              <w:keepLines w:val="0"/>
              <w:pageBreakBefore w:val="0"/>
              <w:widowControl w:val="0"/>
              <w:numPr>
                <w:ilvl w:val="0"/>
                <w:numId w:val="53"/>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C9603DF">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9988217">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第八十一条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C2B0543">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电站</w:t>
            </w:r>
            <w:r>
              <w:rPr>
                <w:rFonts w:hint="eastAsia"/>
                <w:color w:val="000000" w:themeColor="text1"/>
                <w:lang w:val="en-US" w:eastAsia="zh-CN"/>
                <w14:textFill>
                  <w14:solidFill>
                    <w14:schemeClr w14:val="tx1"/>
                  </w14:solidFill>
                </w14:textFill>
              </w:rPr>
              <w:t>编制</w:t>
            </w:r>
            <w:r>
              <w:rPr>
                <w:rFonts w:hint="eastAsia"/>
                <w:color w:val="000000" w:themeColor="text1"/>
                <w14:textFill>
                  <w14:solidFill>
                    <w14:schemeClr w14:val="tx1"/>
                  </w14:solidFill>
                </w14:textFill>
              </w:rPr>
              <w:t>了应急预案，</w:t>
            </w:r>
            <w:r>
              <w:rPr>
                <w:rFonts w:hint="eastAsia"/>
                <w:color w:val="000000" w:themeColor="text1"/>
                <w:lang w:val="en-US" w:eastAsia="zh-CN"/>
                <w14:textFill>
                  <w14:solidFill>
                    <w14:schemeClr w14:val="tx1"/>
                  </w14:solidFill>
                </w14:textFill>
              </w:rPr>
              <w:t>并</w:t>
            </w:r>
            <w:r>
              <w:rPr>
                <w:rFonts w:hint="eastAsia"/>
                <w:color w:val="000000" w:themeColor="text1"/>
                <w14:textFill>
                  <w14:solidFill>
                    <w14:schemeClr w14:val="tx1"/>
                  </w14:solidFill>
                </w14:textFill>
              </w:rPr>
              <w:t>进行了演练和总结</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EF73BFB">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63FEF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3AB0E024">
            <w:pPr>
              <w:pStyle w:val="51"/>
              <w:keepNext w:val="0"/>
              <w:keepLines w:val="0"/>
              <w:pageBreakBefore w:val="0"/>
              <w:widowControl w:val="0"/>
              <w:numPr>
                <w:ilvl w:val="0"/>
                <w:numId w:val="53"/>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62C352EB">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危险物品的生产、经营、储存单位以及矿山、金属冶炼企业、城市轨道交通运营企业、建筑施工单位应当建立应急救援组织；生产经营规模较小的，可以不建立应急救援组织，但应当指定兼职的应急救援人员。</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6B5251F">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第八十</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21A381CC">
            <w:pPr>
              <w:pStyle w:val="51"/>
              <w:keepNext w:val="0"/>
              <w:keepLines w:val="0"/>
              <w:pageBreakBefore w:val="0"/>
              <w:widowControl w:val="0"/>
              <w:kinsoku/>
              <w:bidi w:val="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从业人员兼职应急救援人员。</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031ED1F">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E0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F1006B7">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C8FEE66">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安全警示标志</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C183330">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5B54A81F">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20BFC15A">
            <w:pPr>
              <w:pStyle w:val="51"/>
              <w:keepNext w:val="0"/>
              <w:keepLines w:val="0"/>
              <w:pageBreakBefore w:val="0"/>
              <w:widowControl w:val="0"/>
              <w:kinsoku/>
              <w:bidi w:val="0"/>
              <w:rPr>
                <w:color w:val="000000" w:themeColor="text1"/>
                <w14:textFill>
                  <w14:solidFill>
                    <w14:schemeClr w14:val="tx1"/>
                  </w14:solidFill>
                </w14:textFill>
              </w:rPr>
            </w:pPr>
          </w:p>
        </w:tc>
      </w:tr>
      <w:tr w14:paraId="17D66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E7C3252">
            <w:pPr>
              <w:pStyle w:val="51"/>
              <w:keepNext w:val="0"/>
              <w:keepLines w:val="0"/>
              <w:pageBreakBefore w:val="0"/>
              <w:widowControl w:val="0"/>
              <w:numPr>
                <w:ilvl w:val="0"/>
                <w:numId w:val="54"/>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180BAA8C">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生产经营单位应当在有较大危险因素的生产经营场所和有关设施、设备上，设置明显的安全警示标志。</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11F4B33C">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）第三十五条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058EE7F">
            <w:pPr>
              <w:pStyle w:val="51"/>
              <w:keepNext w:val="0"/>
              <w:keepLines w:val="0"/>
              <w:pageBreakBefore w:val="0"/>
              <w:widowControl w:val="0"/>
              <w:kinsoku/>
              <w:bidi w:val="0"/>
              <w:jc w:val="both"/>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光伏场区</w:t>
            </w:r>
            <w:r>
              <w:rPr>
                <w:rFonts w:hint="eastAsia"/>
                <w:color w:val="000000" w:themeColor="text1"/>
                <w14:textFill>
                  <w14:solidFill>
                    <w14:schemeClr w14:val="tx1"/>
                  </w14:solidFill>
                </w14:textFill>
              </w:rPr>
              <w:t>设置</w:t>
            </w:r>
            <w:r>
              <w:rPr>
                <w:rFonts w:hint="eastAsia"/>
                <w:color w:val="FF0000"/>
                <w:lang w:eastAsia="zh-CN"/>
              </w:rPr>
              <w:t>的</w:t>
            </w:r>
            <w:r>
              <w:rPr>
                <w:rFonts w:hint="eastAsia"/>
                <w:color w:val="000000" w:themeColor="text1"/>
                <w14:textFill>
                  <w14:solidFill>
                    <w14:schemeClr w14:val="tx1"/>
                  </w14:solidFill>
                </w14:textFill>
              </w:rPr>
              <w:t>安全警示标志</w:t>
            </w:r>
            <w:r>
              <w:rPr>
                <w:rFonts w:hint="eastAsia"/>
                <w:color w:val="000000" w:themeColor="text1"/>
                <w:lang w:val="en-US" w:eastAsia="zh-CN"/>
                <w14:textFill>
                  <w14:solidFill>
                    <w14:schemeClr w14:val="tx1"/>
                  </w14:solidFill>
                </w14:textFill>
              </w:rPr>
              <w:t>不足</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3264E1D">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不</w:t>
            </w:r>
            <w:r>
              <w:rPr>
                <w:rFonts w:hint="eastAsia"/>
                <w:color w:val="000000" w:themeColor="text1"/>
                <w14:textFill>
                  <w14:solidFill>
                    <w14:schemeClr w14:val="tx1"/>
                  </w14:solidFill>
                </w14:textFill>
              </w:rPr>
              <w:t>符合</w:t>
            </w:r>
          </w:p>
        </w:tc>
      </w:tr>
      <w:tr w14:paraId="31357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2EBA4AB5">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E41E5B3">
            <w:pPr>
              <w:pStyle w:val="51"/>
              <w:keepNext w:val="0"/>
              <w:keepLines w:val="0"/>
              <w:pageBreakBefore w:val="0"/>
              <w:widowControl w:val="0"/>
              <w:kinsoku/>
              <w:bidi w:val="0"/>
              <w:ind w:left="0" w:leftChars="0" w:right="0" w:rightChars="0" w:firstLine="0" w:firstLineChars="0"/>
              <w:jc w:val="both"/>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事故隐患排查</w:t>
            </w:r>
            <w:r>
              <w:rPr>
                <w:rFonts w:hint="eastAsia"/>
                <w:color w:val="000000" w:themeColor="text1"/>
                <w:lang w:val="en-US" w:eastAsia="zh-CN"/>
                <w14:textFill>
                  <w14:solidFill>
                    <w14:schemeClr w14:val="tx1"/>
                  </w14:solidFill>
                </w14:textFill>
              </w:rPr>
              <w:t>治理</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28F0D338">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9CC5B3D">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489B2E03">
            <w:pPr>
              <w:pStyle w:val="51"/>
              <w:keepNext w:val="0"/>
              <w:keepLines w:val="0"/>
              <w:pageBreakBefore w:val="0"/>
              <w:widowControl w:val="0"/>
              <w:kinsoku/>
              <w:bidi w:val="0"/>
              <w:rPr>
                <w:color w:val="000000" w:themeColor="text1"/>
                <w14:textFill>
                  <w14:solidFill>
                    <w14:schemeClr w14:val="tx1"/>
                  </w14:solidFill>
                </w14:textFill>
              </w:rPr>
            </w:pPr>
          </w:p>
        </w:tc>
      </w:tr>
      <w:tr w14:paraId="16CF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18D4E924">
            <w:pPr>
              <w:pStyle w:val="51"/>
              <w:keepNext w:val="0"/>
              <w:keepLines w:val="0"/>
              <w:pageBreakBefore w:val="0"/>
              <w:widowControl w:val="0"/>
              <w:numPr>
                <w:ilvl w:val="0"/>
                <w:numId w:val="55"/>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66AF7BC">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生产经营单位应当建立健全并落实生产安全事故隐患排查治理制度，采取技术、管理措施，及时发现并消除事故隐患。</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F906904">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第四十一条　</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43CD541E">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制定了安全生产隐患排查治理制度，进行了安全隐患排查，并对存在隐患的设施设备进行维护、保养。</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C0DD2AC">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48227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8551569">
            <w:pPr>
              <w:pStyle w:val="51"/>
              <w:keepNext w:val="0"/>
              <w:keepLines w:val="0"/>
              <w:pageBreakBefore w:val="0"/>
              <w:widowControl w:val="0"/>
              <w:numPr>
                <w:ilvl w:val="0"/>
                <w:numId w:val="55"/>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9EB97D8">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生产经营单位应当教育和督促从业人员严格执行本单位的安全生产规章制度和安全操作规程；并向从业人员如实告知作业场所和工作岗位存在的危险因素、防范措施以及事故应急措施。</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524B4A63">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）第四十四条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18056CB6">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公司教育和督促从业人员严格执行本单位的规章制度和规程。</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67A0639">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86D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6BD5D086">
            <w:pPr>
              <w:pStyle w:val="51"/>
              <w:keepNext w:val="0"/>
              <w:keepLines w:val="0"/>
              <w:pageBreakBefore w:val="0"/>
              <w:widowControl w:val="0"/>
              <w:numPr>
                <w:ilvl w:val="0"/>
                <w:numId w:val="55"/>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45A37107">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662E66A1">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）第四十</w:t>
            </w:r>
            <w:r>
              <w:rPr>
                <w:rFonts w:hint="eastAsia"/>
                <w:color w:val="000000" w:themeColor="text1"/>
                <w:lang w:val="en-US" w:eastAsia="zh-CN"/>
                <w14:textFill>
                  <w14:solidFill>
                    <w14:schemeClr w14:val="tx1"/>
                  </w14:solidFill>
                </w14:textFill>
              </w:rPr>
              <w:t>六</w:t>
            </w:r>
            <w:r>
              <w:rPr>
                <w:rFonts w:hint="eastAsia"/>
                <w:color w:val="000000" w:themeColor="text1"/>
                <w:lang w:eastAsia="zh-CN"/>
                <w14:textFill>
                  <w14:solidFill>
                    <w14:schemeClr w14:val="tx1"/>
                  </w14:solidFill>
                </w14:textFill>
              </w:rPr>
              <w:t>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D49B49E">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安全员对本电站安全生产状况进行经常性检查。</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1EC53C40">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24793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3BD19616">
            <w:pPr>
              <w:pStyle w:val="51"/>
              <w:keepNext w:val="0"/>
              <w:keepLines w:val="0"/>
              <w:pageBreakBefore w:val="0"/>
              <w:widowControl w:val="0"/>
              <w:numPr>
                <w:ilvl w:val="0"/>
                <w:numId w:val="55"/>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7B0B9E76">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从业人员发现事故隐患或者其他不安全因素，应当立即向现场安全生产管理人员或者本单位负责人报告；接到报告的人员应当及时予以处理。</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1F14A5C1">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）第五十九条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FB06FBC">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从业人员发现事故隐患或者其他不安全因素，立即向现场安全生产管理人员或者本单位负责人报告，并在今后的工作中严格执行本条规定。</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54BB9C29">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符合要求</w:t>
            </w:r>
          </w:p>
        </w:tc>
      </w:tr>
      <w:tr w14:paraId="61117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7A82234F">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1C16A1D1">
            <w:pPr>
              <w:pStyle w:val="51"/>
              <w:keepNext w:val="0"/>
              <w:keepLines w:val="0"/>
              <w:pageBreakBefore w:val="0"/>
              <w:widowControl w:val="0"/>
              <w:kinsoku/>
              <w:bidi w:val="0"/>
              <w:ind w:left="0" w:leftChars="0" w:right="0" w:rightChars="0" w:firstLine="0" w:firstLineChars="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个体防护用品</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6C243795">
            <w:pPr>
              <w:pStyle w:val="51"/>
              <w:keepNext w:val="0"/>
              <w:keepLines w:val="0"/>
              <w:pageBreakBefore w:val="0"/>
              <w:widowControl w:val="0"/>
              <w:kinsoku/>
              <w:bidi w:val="0"/>
              <w:rPr>
                <w:rFonts w:hint="eastAsia"/>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3D2E4410">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0E4F7AE6">
            <w:pPr>
              <w:pStyle w:val="51"/>
              <w:keepNext w:val="0"/>
              <w:keepLines w:val="0"/>
              <w:pageBreakBefore w:val="0"/>
              <w:widowControl w:val="0"/>
              <w:kinsoku/>
              <w:bidi w:val="0"/>
              <w:rPr>
                <w:color w:val="000000" w:themeColor="text1"/>
                <w14:textFill>
                  <w14:solidFill>
                    <w14:schemeClr w14:val="tx1"/>
                  </w14:solidFill>
                </w14:textFill>
              </w:rPr>
            </w:pPr>
          </w:p>
        </w:tc>
      </w:tr>
      <w:tr w14:paraId="50FE1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680E4E85">
            <w:pPr>
              <w:pStyle w:val="51"/>
              <w:keepNext w:val="0"/>
              <w:keepLines w:val="0"/>
              <w:pageBreakBefore w:val="0"/>
              <w:widowControl w:val="0"/>
              <w:numPr>
                <w:ilvl w:val="0"/>
                <w:numId w:val="56"/>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53D442F2">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生产经营单位必须为从业人员提供符合国家标准或者行业标准的劳动防护用品，并监督、教育从业人员按照使用规则佩戴、使用。</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47590E77">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四十五条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577CE2EE">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为从业人员配备了安全帽、绝缘手套、绝缘靴等劳动防护用品。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5C230D53">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符合要求</w:t>
            </w:r>
          </w:p>
        </w:tc>
      </w:tr>
      <w:tr w14:paraId="7B106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009A305D">
            <w:pPr>
              <w:pStyle w:val="51"/>
              <w:keepNext w:val="0"/>
              <w:keepLines w:val="0"/>
              <w:pageBreakBefore w:val="0"/>
              <w:widowControl w:val="0"/>
              <w:numPr>
                <w:ilvl w:val="0"/>
                <w:numId w:val="56"/>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0ABDA85E">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从业人员在作业过程中，应当严格遵守本单位的安全生产规章制度和操作规程，服从管理，正确佩戴和使用劳动防护用品。</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68221C7B">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五十七条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6C84E9E5">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从业人员在作业过程中，严格遵守本公司采用的安全生产规章制度和运行规程，服从管理，正确佩戴和使用劳动防护用品。</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6F3D8605">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符合要求</w:t>
            </w:r>
          </w:p>
        </w:tc>
      </w:tr>
      <w:tr w14:paraId="0264F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4ACED36C">
            <w:pPr>
              <w:pStyle w:val="51"/>
              <w:keepNext w:val="0"/>
              <w:keepLines w:val="0"/>
              <w:pageBreakBefore w:val="0"/>
              <w:widowControl w:val="0"/>
              <w:numPr>
                <w:ilvl w:val="0"/>
                <w:numId w:val="49"/>
              </w:numPr>
              <w:tabs>
                <w:tab w:val="clear" w:pos="0"/>
              </w:tabs>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2CAC2A70">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工伤保险</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4AB026C2">
            <w:pPr>
              <w:pStyle w:val="51"/>
              <w:keepNext w:val="0"/>
              <w:keepLines w:val="0"/>
              <w:pageBreakBefore w:val="0"/>
              <w:widowControl w:val="0"/>
              <w:kinsoku/>
              <w:bidi w:val="0"/>
              <w:rPr>
                <w:color w:val="000000" w:themeColor="text1"/>
                <w14:textFill>
                  <w14:solidFill>
                    <w14:schemeClr w14:val="tx1"/>
                  </w14:solidFill>
                </w14:textFill>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14:paraId="0D846BF7">
            <w:pPr>
              <w:pStyle w:val="51"/>
              <w:keepNext w:val="0"/>
              <w:keepLines w:val="0"/>
              <w:pageBreakBefore w:val="0"/>
              <w:widowControl w:val="0"/>
              <w:kinsoku/>
              <w:bidi w:val="0"/>
              <w:rPr>
                <w:color w:val="000000" w:themeColor="text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noWrap w:val="0"/>
            <w:vAlign w:val="center"/>
          </w:tcPr>
          <w:p w14:paraId="6A6DD94C">
            <w:pPr>
              <w:pStyle w:val="51"/>
              <w:keepNext w:val="0"/>
              <w:keepLines w:val="0"/>
              <w:pageBreakBefore w:val="0"/>
              <w:widowControl w:val="0"/>
              <w:kinsoku/>
              <w:bidi w:val="0"/>
              <w:rPr>
                <w:color w:val="000000" w:themeColor="text1"/>
                <w14:textFill>
                  <w14:solidFill>
                    <w14:schemeClr w14:val="tx1"/>
                  </w14:solidFill>
                </w14:textFill>
              </w:rPr>
            </w:pPr>
          </w:p>
        </w:tc>
      </w:tr>
      <w:tr w14:paraId="1F5F7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jc w:val="center"/>
        </w:trPr>
        <w:tc>
          <w:tcPr>
            <w:tcW w:w="835" w:type="dxa"/>
            <w:tcBorders>
              <w:top w:val="single" w:color="auto" w:sz="4" w:space="0"/>
              <w:left w:val="single" w:color="auto" w:sz="4" w:space="0"/>
              <w:bottom w:val="single" w:color="auto" w:sz="4" w:space="0"/>
              <w:right w:val="single" w:color="auto" w:sz="4" w:space="0"/>
            </w:tcBorders>
            <w:noWrap w:val="0"/>
            <w:vAlign w:val="center"/>
          </w:tcPr>
          <w:p w14:paraId="565B3199">
            <w:pPr>
              <w:pStyle w:val="51"/>
              <w:keepNext w:val="0"/>
              <w:keepLines w:val="0"/>
              <w:pageBreakBefore w:val="0"/>
              <w:widowControl w:val="0"/>
              <w:numPr>
                <w:ilvl w:val="0"/>
                <w:numId w:val="57"/>
              </w:numPr>
              <w:kinsoku/>
              <w:bidi w:val="0"/>
              <w:ind w:left="0" w:leftChars="0" w:right="0" w:rightChars="0" w:firstLine="0" w:firstLineChars="0"/>
              <w:jc w:val="center"/>
              <w:rPr>
                <w:color w:val="000000" w:themeColor="text1"/>
                <w14:textFill>
                  <w14:solidFill>
                    <w14:schemeClr w14:val="tx1"/>
                  </w14:solidFill>
                </w14:textFill>
              </w:rPr>
            </w:pPr>
          </w:p>
        </w:tc>
        <w:tc>
          <w:tcPr>
            <w:tcW w:w="4308" w:type="dxa"/>
            <w:tcBorders>
              <w:top w:val="single" w:color="auto" w:sz="4" w:space="0"/>
              <w:left w:val="single" w:color="auto" w:sz="4" w:space="0"/>
              <w:bottom w:val="single" w:color="auto" w:sz="4" w:space="0"/>
              <w:right w:val="single" w:color="auto" w:sz="4" w:space="0"/>
            </w:tcBorders>
            <w:noWrap w:val="0"/>
            <w:vAlign w:val="center"/>
          </w:tcPr>
          <w:p w14:paraId="26EDCE73">
            <w:pPr>
              <w:pStyle w:val="51"/>
              <w:keepNext w:val="0"/>
              <w:keepLines w:val="0"/>
              <w:pageBreakBefore w:val="0"/>
              <w:widowControl w:val="0"/>
              <w:kinsoku/>
              <w:bidi w:val="0"/>
              <w:ind w:left="0" w:leftChars="0" w:right="0" w:rightChars="0" w:firstLine="0" w:firstLineChars="0"/>
              <w:jc w:val="both"/>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生产经营单位必须依法参加工伤保险，为从业人员缴纳保险费。</w:t>
            </w:r>
          </w:p>
        </w:tc>
        <w:tc>
          <w:tcPr>
            <w:tcW w:w="1639" w:type="dxa"/>
            <w:tcBorders>
              <w:top w:val="single" w:color="auto" w:sz="4" w:space="0"/>
              <w:left w:val="single" w:color="auto" w:sz="4" w:space="0"/>
              <w:bottom w:val="single" w:color="auto" w:sz="4" w:space="0"/>
              <w:right w:val="single" w:color="auto" w:sz="4" w:space="0"/>
            </w:tcBorders>
            <w:noWrap w:val="0"/>
            <w:vAlign w:val="center"/>
          </w:tcPr>
          <w:p w14:paraId="3EB7BC8D">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《中华人民共和国安全生产法》</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主席令</w:t>
            </w:r>
            <w:r>
              <w:rPr>
                <w:rFonts w:hint="eastAsia" w:ascii="宋体" w:hAnsi="宋体" w:eastAsia="宋体" w:cs="宋体"/>
                <w:color w:val="000000" w:themeColor="text1"/>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2021</w:t>
            </w:r>
            <w:r>
              <w:rPr>
                <w:rFonts w:hint="eastAsia" w:ascii="宋体" w:hAnsi="宋体" w:eastAsia="宋体" w:cs="宋体"/>
                <w:color w:val="000000" w:themeColor="text1"/>
                <w14:textFill>
                  <w14:solidFill>
                    <w14:schemeClr w14:val="tx1"/>
                  </w14:solidFill>
                </w14:textFill>
              </w:rPr>
              <w:t>〕</w:t>
            </w:r>
            <w:r>
              <w:rPr>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88</w:t>
            </w:r>
            <w:r>
              <w:rPr>
                <w:color w:val="000000" w:themeColor="text1"/>
                <w14:textFill>
                  <w14:solidFill>
                    <w14:schemeClr w14:val="tx1"/>
                  </w14:solidFill>
                </w14:textFill>
              </w:rPr>
              <w:t>号</w:t>
            </w:r>
            <w:r>
              <w:rPr>
                <w:rFonts w:hint="eastAsia"/>
                <w:color w:val="000000" w:themeColor="text1"/>
                <w:lang w:eastAsia="zh-CN"/>
                <w14:textFill>
                  <w14:solidFill>
                    <w14:schemeClr w14:val="tx1"/>
                  </w14:solidFill>
                </w14:textFill>
              </w:rPr>
              <w:t>）五十一条</w:t>
            </w:r>
          </w:p>
        </w:tc>
        <w:tc>
          <w:tcPr>
            <w:tcW w:w="1612" w:type="dxa"/>
            <w:tcBorders>
              <w:top w:val="single" w:color="auto" w:sz="4" w:space="0"/>
              <w:left w:val="single" w:color="auto" w:sz="4" w:space="0"/>
              <w:bottom w:val="single" w:color="auto" w:sz="4" w:space="0"/>
              <w:right w:val="single" w:color="auto" w:sz="4" w:space="0"/>
            </w:tcBorders>
            <w:noWrap w:val="0"/>
            <w:vAlign w:val="center"/>
          </w:tcPr>
          <w:p w14:paraId="72580E62">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公司已为本电站工作人员购买了工伤保险。</w:t>
            </w:r>
          </w:p>
        </w:tc>
        <w:tc>
          <w:tcPr>
            <w:tcW w:w="734" w:type="dxa"/>
            <w:tcBorders>
              <w:top w:val="single" w:color="auto" w:sz="4" w:space="0"/>
              <w:left w:val="single" w:color="auto" w:sz="4" w:space="0"/>
              <w:bottom w:val="single" w:color="auto" w:sz="4" w:space="0"/>
              <w:right w:val="single" w:color="auto" w:sz="4" w:space="0"/>
            </w:tcBorders>
            <w:noWrap w:val="0"/>
            <w:vAlign w:val="center"/>
          </w:tcPr>
          <w:p w14:paraId="2E953D04">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14:paraId="7FFCD01C">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rFonts w:hint="eastAsia" w:ascii="宋体" w:hAnsi="宋体" w:eastAsia="宋体" w:cs="宋体"/>
          <w:color w:val="000000" w:themeColor="text1"/>
          <w:spacing w:val="2"/>
          <w14:textFill>
            <w14:solidFill>
              <w14:schemeClr w14:val="tx1"/>
            </w14:solidFill>
          </w14:textFill>
        </w:rPr>
        <w:t>评价分析：针对</w:t>
      </w:r>
      <w:r>
        <w:rPr>
          <w:rFonts w:hint="eastAsia" w:ascii="宋体" w:hAnsi="宋体" w:eastAsia="宋体" w:cs="宋体"/>
          <w:color w:val="000000" w:themeColor="text1"/>
          <w:lang w:val="en-US" w:eastAsia="zh-CN"/>
          <w14:textFill>
            <w14:solidFill>
              <w14:schemeClr w14:val="tx1"/>
            </w14:solidFill>
          </w14:textFill>
        </w:rPr>
        <w:t>安全管理</w:t>
      </w:r>
      <w:r>
        <w:rPr>
          <w:rFonts w:hint="eastAsia" w:ascii="宋体" w:hAnsi="宋体" w:eastAsia="宋体" w:cs="宋体"/>
          <w:color w:val="000000" w:themeColor="text1"/>
          <w14:textFill>
            <w14:solidFill>
              <w14:schemeClr w14:val="tx1"/>
            </w14:solidFill>
          </w14:textFill>
        </w:rPr>
        <w:t>单元</w:t>
      </w:r>
      <w:r>
        <w:rPr>
          <w:rFonts w:hint="eastAsia" w:ascii="宋体" w:hAnsi="宋体" w:eastAsia="宋体" w:cs="宋体"/>
          <w:color w:val="000000" w:themeColor="text1"/>
          <w:spacing w:val="2"/>
          <w14:textFill>
            <w14:solidFill>
              <w14:schemeClr w14:val="tx1"/>
            </w14:solidFill>
          </w14:textFill>
        </w:rPr>
        <w:t>安全检查表内的</w:t>
      </w:r>
      <w:r>
        <w:rPr>
          <w:rFonts w:hint="eastAsia" w:ascii="宋体" w:hAnsi="宋体" w:eastAsia="宋体" w:cs="宋体"/>
          <w:color w:val="000000" w:themeColor="text1"/>
          <w:spacing w:val="2"/>
          <w:lang w:val="en-US" w:eastAsia="zh-CN"/>
          <w14:textFill>
            <w14:solidFill>
              <w14:schemeClr w14:val="tx1"/>
            </w14:solidFill>
          </w14:textFill>
        </w:rPr>
        <w:t>17</w:t>
      </w:r>
      <w:r>
        <w:rPr>
          <w:rFonts w:hint="eastAsia" w:ascii="宋体" w:hAnsi="宋体" w:eastAsia="宋体" w:cs="宋体"/>
          <w:color w:val="000000" w:themeColor="text1"/>
          <w:spacing w:val="2"/>
          <w14:textFill>
            <w14:solidFill>
              <w14:schemeClr w14:val="tx1"/>
            </w14:solidFill>
          </w14:textFill>
        </w:rPr>
        <w:t>项内容，其中</w:t>
      </w:r>
      <w:r>
        <w:rPr>
          <w:rFonts w:hint="eastAsia" w:ascii="宋体" w:hAnsi="宋体" w:eastAsia="宋体" w:cs="宋体"/>
          <w:color w:val="000000" w:themeColor="text1"/>
          <w:spacing w:val="2"/>
          <w:lang w:val="en-US" w:eastAsia="zh-CN"/>
          <w14:textFill>
            <w14:solidFill>
              <w14:schemeClr w14:val="tx1"/>
            </w14:solidFill>
          </w14:textFill>
        </w:rPr>
        <w:t>1</w:t>
      </w:r>
      <w:r>
        <w:rPr>
          <w:rFonts w:hint="eastAsia" w:ascii="宋体" w:hAnsi="宋体" w:cs="宋体"/>
          <w:color w:val="000000" w:themeColor="text1"/>
          <w:spacing w:val="2"/>
          <w:lang w:val="en-US" w:eastAsia="zh-CN"/>
          <w14:textFill>
            <w14:solidFill>
              <w14:schemeClr w14:val="tx1"/>
            </w14:solidFill>
          </w14:textFill>
        </w:rPr>
        <w:t>6</w:t>
      </w:r>
      <w:r>
        <w:rPr>
          <w:rFonts w:hint="eastAsia" w:ascii="宋体" w:hAnsi="宋体" w:eastAsia="宋体" w:cs="宋体"/>
          <w:color w:val="000000" w:themeColor="text1"/>
          <w:spacing w:val="2"/>
          <w14:textFill>
            <w14:solidFill>
              <w14:schemeClr w14:val="tx1"/>
            </w14:solidFill>
          </w14:textFill>
        </w:rPr>
        <w:t>项合格，</w:t>
      </w:r>
      <w:r>
        <w:rPr>
          <w:rFonts w:hint="eastAsia" w:ascii="宋体" w:hAnsi="宋体" w:cs="宋体"/>
          <w:color w:val="000000" w:themeColor="text1"/>
          <w:spacing w:val="2"/>
          <w:lang w:val="en-US" w:eastAsia="zh-CN"/>
          <w14:textFill>
            <w14:solidFill>
              <w14:schemeClr w14:val="tx1"/>
            </w14:solidFill>
          </w14:textFill>
        </w:rPr>
        <w:t>1</w:t>
      </w:r>
      <w:r>
        <w:rPr>
          <w:rFonts w:hint="eastAsia" w:ascii="宋体" w:hAnsi="宋体" w:eastAsia="宋体" w:cs="宋体"/>
          <w:color w:val="000000" w:themeColor="text1"/>
          <w:lang w:val="en-US" w:eastAsia="zh-CN"/>
          <w14:textFill>
            <w14:solidFill>
              <w14:schemeClr w14:val="tx1"/>
            </w14:solidFill>
          </w14:textFill>
        </w:rPr>
        <w:t>项不合格。</w:t>
      </w:r>
    </w:p>
    <w:p w14:paraId="33B414D8">
      <w:pPr>
        <w:pStyle w:val="4"/>
        <w:bidi w:val="0"/>
        <w:rPr>
          <w:color w:val="000000" w:themeColor="text1"/>
          <w14:textFill>
            <w14:solidFill>
              <w14:schemeClr w14:val="tx1"/>
            </w14:solidFill>
          </w14:textFill>
        </w:rPr>
      </w:pPr>
      <w:r>
        <w:rPr>
          <w:color w:val="000000" w:themeColor="text1"/>
          <w14:textFill>
            <w14:solidFill>
              <w14:schemeClr w14:val="tx1"/>
            </w14:solidFill>
          </w14:textFill>
        </w:rPr>
        <w:t>安全标志安全检查表</w:t>
      </w:r>
    </w:p>
    <w:p w14:paraId="58714A3C">
      <w:pPr>
        <w:pStyle w:val="12"/>
        <w:keepNext w:val="0"/>
        <w:keepLines w:val="0"/>
        <w:pageBreakBefore w:val="0"/>
        <w:widowControl w:val="0"/>
        <w:numPr>
          <w:ilvl w:val="0"/>
          <w:numId w:val="0"/>
        </w:numPr>
        <w:kinsoku/>
        <w:bidi w:val="0"/>
        <w:spacing w:line="360" w:lineRule="auto"/>
        <w:ind w:left="0" w:leftChars="0" w:firstLine="482" w:firstLineChars="200"/>
        <w:jc w:val="center"/>
        <w:rPr>
          <w:color w:val="000000" w:themeColor="text1"/>
          <w14:textFill>
            <w14:solidFill>
              <w14:schemeClr w14:val="tx1"/>
            </w14:solidFill>
          </w14:textFill>
        </w:rPr>
      </w:pPr>
    </w:p>
    <w:p w14:paraId="59FFD119">
      <w:pPr>
        <w:pStyle w:val="12"/>
        <w:keepNext w:val="0"/>
        <w:keepLines w:val="0"/>
        <w:pageBreakBefore w:val="0"/>
        <w:widowControl w:val="0"/>
        <w:numPr>
          <w:ilvl w:val="0"/>
          <w:numId w:val="0"/>
        </w:numPr>
        <w:kinsoku/>
        <w:bidi w:val="0"/>
        <w:spacing w:line="360" w:lineRule="auto"/>
        <w:ind w:left="0" w:leftChars="0" w:firstLine="482" w:firstLineChars="200"/>
        <w:jc w:val="center"/>
        <w:rPr>
          <w:color w:val="000000" w:themeColor="text1"/>
          <w14:textFill>
            <w14:solidFill>
              <w14:schemeClr w14:val="tx1"/>
            </w14:solidFill>
          </w14:textFill>
        </w:rPr>
      </w:pPr>
    </w:p>
    <w:p w14:paraId="433F74F1">
      <w:pPr>
        <w:pStyle w:val="12"/>
        <w:keepNext w:val="0"/>
        <w:keepLines w:val="0"/>
        <w:pageBreakBefore w:val="0"/>
        <w:widowControl w:val="0"/>
        <w:numPr>
          <w:ilvl w:val="0"/>
          <w:numId w:val="0"/>
        </w:numPr>
        <w:kinsoku/>
        <w:bidi w:val="0"/>
        <w:spacing w:line="360" w:lineRule="auto"/>
        <w:ind w:left="0" w:leftChars="0" w:firstLine="482" w:firstLineChars="200"/>
        <w:jc w:val="center"/>
        <w:rPr>
          <w:rFonts w:ascii="宋体" w:hAnsi="宋体"/>
          <w:color w:val="000000" w:themeColor="text1"/>
          <w:sz w:val="24"/>
          <w:szCs w:val="24"/>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STYLEREF 1 \s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\s 1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ascii="宋体" w:hAnsi="宋体"/>
          <w:color w:val="000000" w:themeColor="text1"/>
          <w:sz w:val="24"/>
          <w:szCs w:val="24"/>
          <w14:textFill>
            <w14:solidFill>
              <w14:schemeClr w14:val="tx1"/>
            </w14:solidFill>
          </w14:textFill>
        </w:rPr>
        <w:t>安全标志安全检查表</w:t>
      </w:r>
    </w:p>
    <w:tbl>
      <w:tblPr>
        <w:tblStyle w:val="2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043"/>
        <w:gridCol w:w="2972"/>
        <w:gridCol w:w="3154"/>
        <w:gridCol w:w="1154"/>
      </w:tblGrid>
      <w:tr w14:paraId="60777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blHeader/>
          <w:jc w:val="center"/>
        </w:trPr>
        <w:tc>
          <w:tcPr>
            <w:tcW w:w="433" w:type="pct"/>
            <w:noWrap w:val="0"/>
            <w:vAlign w:val="center"/>
          </w:tcPr>
          <w:p w14:paraId="0179D025">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标志名称</w:t>
            </w:r>
          </w:p>
        </w:tc>
        <w:tc>
          <w:tcPr>
            <w:tcW w:w="572" w:type="pct"/>
            <w:noWrap w:val="0"/>
            <w:vAlign w:val="center"/>
          </w:tcPr>
          <w:p w14:paraId="4FDBC49A">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安全色</w:t>
            </w:r>
          </w:p>
        </w:tc>
        <w:tc>
          <w:tcPr>
            <w:tcW w:w="1630" w:type="pct"/>
            <w:noWrap w:val="0"/>
            <w:vAlign w:val="center"/>
          </w:tcPr>
          <w:p w14:paraId="1899A7D7">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设  置  场  所</w:t>
            </w:r>
          </w:p>
        </w:tc>
        <w:tc>
          <w:tcPr>
            <w:tcW w:w="1730" w:type="pct"/>
            <w:noWrap w:val="0"/>
            <w:vAlign w:val="center"/>
          </w:tcPr>
          <w:p w14:paraId="63F66ECE">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标志内容</w:t>
            </w:r>
          </w:p>
        </w:tc>
        <w:tc>
          <w:tcPr>
            <w:tcW w:w="633" w:type="pct"/>
            <w:noWrap w:val="0"/>
            <w:vAlign w:val="center"/>
          </w:tcPr>
          <w:p w14:paraId="564BD24E">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检查结果</w:t>
            </w:r>
          </w:p>
        </w:tc>
      </w:tr>
      <w:tr w14:paraId="1C2C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433" w:type="pct"/>
            <w:vMerge w:val="restart"/>
            <w:noWrap w:val="0"/>
            <w:vAlign w:val="center"/>
          </w:tcPr>
          <w:p w14:paraId="66925612">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禁止标志</w:t>
            </w:r>
          </w:p>
        </w:tc>
        <w:tc>
          <w:tcPr>
            <w:tcW w:w="572" w:type="pct"/>
            <w:vMerge w:val="restart"/>
            <w:noWrap w:val="0"/>
            <w:vAlign w:val="center"/>
          </w:tcPr>
          <w:p w14:paraId="73DCDDD5">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红色</w:t>
            </w:r>
          </w:p>
        </w:tc>
        <w:tc>
          <w:tcPr>
            <w:tcW w:w="1630" w:type="pct"/>
            <w:noWrap w:val="0"/>
            <w:vAlign w:val="center"/>
          </w:tcPr>
          <w:p w14:paraId="09C4D8C1">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电气设备</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防护栏杆</w:t>
            </w:r>
          </w:p>
        </w:tc>
        <w:tc>
          <w:tcPr>
            <w:tcW w:w="1730" w:type="pct"/>
            <w:noWrap w:val="0"/>
            <w:vAlign w:val="center"/>
          </w:tcPr>
          <w:p w14:paraId="414BF4E7">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禁止跨越</w:t>
            </w:r>
          </w:p>
        </w:tc>
        <w:tc>
          <w:tcPr>
            <w:tcW w:w="633" w:type="pct"/>
            <w:noWrap w:val="0"/>
            <w:vAlign w:val="center"/>
          </w:tcPr>
          <w:p w14:paraId="747B543C">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4DD46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restart"/>
            <w:noWrap w:val="0"/>
            <w:vAlign w:val="center"/>
          </w:tcPr>
          <w:p w14:paraId="7788DD0C">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警告标志</w:t>
            </w:r>
          </w:p>
        </w:tc>
        <w:tc>
          <w:tcPr>
            <w:tcW w:w="572" w:type="pct"/>
            <w:vMerge w:val="restart"/>
            <w:noWrap w:val="0"/>
            <w:vAlign w:val="center"/>
          </w:tcPr>
          <w:p w14:paraId="13790393">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黄色</w:t>
            </w:r>
          </w:p>
        </w:tc>
        <w:tc>
          <w:tcPr>
            <w:tcW w:w="1630" w:type="pct"/>
            <w:noWrap w:val="0"/>
            <w:vAlign w:val="center"/>
          </w:tcPr>
          <w:p w14:paraId="6EB3EB47">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灭火装置放置处</w:t>
            </w:r>
          </w:p>
        </w:tc>
        <w:tc>
          <w:tcPr>
            <w:tcW w:w="1730" w:type="pct"/>
            <w:noWrap w:val="0"/>
            <w:vAlign w:val="center"/>
          </w:tcPr>
          <w:p w14:paraId="5F4FDF5E">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黄色警</w:t>
            </w:r>
            <w:r>
              <w:rPr>
                <w:rFonts w:hint="eastAsia"/>
                <w:color w:val="000000" w:themeColor="text1"/>
                <w14:textFill>
                  <w14:solidFill>
                    <w14:schemeClr w14:val="tx1"/>
                  </w14:solidFill>
                </w14:textFill>
              </w:rPr>
              <w:t>戒</w:t>
            </w:r>
            <w:r>
              <w:rPr>
                <w:color w:val="000000" w:themeColor="text1"/>
                <w14:textFill>
                  <w14:solidFill>
                    <w14:schemeClr w14:val="tx1"/>
                  </w14:solidFill>
                </w14:textFill>
              </w:rPr>
              <w:t>线</w:t>
            </w:r>
          </w:p>
        </w:tc>
        <w:tc>
          <w:tcPr>
            <w:tcW w:w="633" w:type="pct"/>
            <w:noWrap w:val="0"/>
            <w:vAlign w:val="center"/>
          </w:tcPr>
          <w:p w14:paraId="41378840">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60262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25908EB5">
            <w:pPr>
              <w:pStyle w:val="51"/>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31AD215E">
            <w:pPr>
              <w:pStyle w:val="51"/>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0B210411">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高度超过2.0m的钢直梯</w:t>
            </w:r>
            <w:r>
              <w:rPr>
                <w:rFonts w:hint="eastAsia"/>
                <w:color w:val="000000" w:themeColor="text1"/>
                <w14:textFill>
                  <w14:solidFill>
                    <w14:schemeClr w14:val="tx1"/>
                  </w14:solidFill>
                </w14:textFill>
              </w:rPr>
              <w:t>和操作平台</w:t>
            </w:r>
          </w:p>
        </w:tc>
        <w:tc>
          <w:tcPr>
            <w:tcW w:w="1730" w:type="pct"/>
            <w:noWrap w:val="0"/>
            <w:vAlign w:val="center"/>
          </w:tcPr>
          <w:p w14:paraId="7CC8870E">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当心坠落</w:t>
            </w:r>
          </w:p>
        </w:tc>
        <w:tc>
          <w:tcPr>
            <w:tcW w:w="633" w:type="pct"/>
            <w:noWrap w:val="0"/>
            <w:vAlign w:val="center"/>
          </w:tcPr>
          <w:p w14:paraId="355DF00B">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59F33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3FB9D764">
            <w:pPr>
              <w:pStyle w:val="51"/>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155AB399">
            <w:pPr>
              <w:pStyle w:val="51"/>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36093583">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有塌方危险的地段</w:t>
            </w:r>
          </w:p>
        </w:tc>
        <w:tc>
          <w:tcPr>
            <w:tcW w:w="1730" w:type="pct"/>
            <w:noWrap w:val="0"/>
            <w:vAlign w:val="center"/>
          </w:tcPr>
          <w:p w14:paraId="44026806">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当心塌方</w:t>
            </w:r>
          </w:p>
        </w:tc>
        <w:tc>
          <w:tcPr>
            <w:tcW w:w="633" w:type="pct"/>
            <w:noWrap w:val="0"/>
            <w:vAlign w:val="center"/>
          </w:tcPr>
          <w:p w14:paraId="32413C53">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00E2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544A1734">
            <w:pPr>
              <w:pStyle w:val="51"/>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3161DE43">
            <w:pPr>
              <w:pStyle w:val="51"/>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1E66A50F">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光伏方阵围栏</w:t>
            </w:r>
          </w:p>
        </w:tc>
        <w:tc>
          <w:tcPr>
            <w:tcW w:w="1730" w:type="pct"/>
            <w:noWrap w:val="0"/>
            <w:vAlign w:val="top"/>
          </w:tcPr>
          <w:p w14:paraId="3F6629CF">
            <w:pPr>
              <w:pStyle w:val="51"/>
              <w:keepNext w:val="0"/>
              <w:keepLines w:val="0"/>
              <w:pageBreakBefore w:val="0"/>
              <w:widowControl w:val="0"/>
              <w:kinsoku/>
              <w:bidi w:val="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“注意安全</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当心触电</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当心火灾”</w:t>
            </w:r>
          </w:p>
        </w:tc>
        <w:tc>
          <w:tcPr>
            <w:tcW w:w="633" w:type="pct"/>
            <w:noWrap w:val="0"/>
            <w:vAlign w:val="center"/>
          </w:tcPr>
          <w:p w14:paraId="01DF6659">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0317D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688D2A08">
            <w:pPr>
              <w:pStyle w:val="51"/>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2B7B6EA6">
            <w:pPr>
              <w:pStyle w:val="51"/>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7890DA32">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电缆沟</w:t>
            </w:r>
          </w:p>
        </w:tc>
        <w:tc>
          <w:tcPr>
            <w:tcW w:w="1730" w:type="pct"/>
            <w:noWrap w:val="0"/>
            <w:vAlign w:val="top"/>
          </w:tcPr>
          <w:p w14:paraId="7A803B8F">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黄色警戒线、高压危险</w:t>
            </w:r>
          </w:p>
        </w:tc>
        <w:tc>
          <w:tcPr>
            <w:tcW w:w="633" w:type="pct"/>
            <w:noWrap w:val="0"/>
            <w:vAlign w:val="center"/>
          </w:tcPr>
          <w:p w14:paraId="4BAF2412">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5A79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restart"/>
            <w:noWrap w:val="0"/>
            <w:vAlign w:val="center"/>
          </w:tcPr>
          <w:p w14:paraId="1E6C3E59">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指令标志</w:t>
            </w:r>
          </w:p>
        </w:tc>
        <w:tc>
          <w:tcPr>
            <w:tcW w:w="572" w:type="pct"/>
            <w:vMerge w:val="restart"/>
            <w:noWrap w:val="0"/>
            <w:vAlign w:val="center"/>
          </w:tcPr>
          <w:p w14:paraId="29A66BAC">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蓝色</w:t>
            </w:r>
          </w:p>
        </w:tc>
        <w:tc>
          <w:tcPr>
            <w:tcW w:w="1630" w:type="pct"/>
            <w:noWrap w:val="0"/>
            <w:vAlign w:val="top"/>
          </w:tcPr>
          <w:p w14:paraId="4F40C42F">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易触电场所</w:t>
            </w:r>
          </w:p>
        </w:tc>
        <w:tc>
          <w:tcPr>
            <w:tcW w:w="1730" w:type="pct"/>
            <w:noWrap w:val="0"/>
            <w:vAlign w:val="top"/>
          </w:tcPr>
          <w:p w14:paraId="3DAFF326">
            <w:pPr>
              <w:pStyle w:val="51"/>
              <w:keepNext w:val="0"/>
              <w:keepLines w:val="0"/>
              <w:pageBreakBefore w:val="0"/>
              <w:widowControl w:val="0"/>
              <w:kinsoku/>
              <w:bidi w:val="0"/>
              <w:jc w:val="lef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当心触电</w:t>
            </w:r>
          </w:p>
        </w:tc>
        <w:tc>
          <w:tcPr>
            <w:tcW w:w="633" w:type="pct"/>
            <w:noWrap w:val="0"/>
            <w:vAlign w:val="top"/>
          </w:tcPr>
          <w:p w14:paraId="209B7677">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2E0DF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433" w:type="pct"/>
            <w:vMerge w:val="continue"/>
            <w:noWrap w:val="0"/>
            <w:vAlign w:val="center"/>
          </w:tcPr>
          <w:p w14:paraId="19902B53">
            <w:pPr>
              <w:pStyle w:val="51"/>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403DDC03">
            <w:pPr>
              <w:pStyle w:val="51"/>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6E09857E">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易发生坠落危险的作业场所（高度超过2m）</w:t>
            </w:r>
          </w:p>
        </w:tc>
        <w:tc>
          <w:tcPr>
            <w:tcW w:w="1730" w:type="pct"/>
            <w:noWrap w:val="0"/>
            <w:vAlign w:val="center"/>
          </w:tcPr>
          <w:p w14:paraId="34A89F85">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必须系安全带</w:t>
            </w:r>
          </w:p>
        </w:tc>
        <w:tc>
          <w:tcPr>
            <w:tcW w:w="633" w:type="pct"/>
            <w:noWrap w:val="0"/>
            <w:vAlign w:val="center"/>
          </w:tcPr>
          <w:p w14:paraId="53313715">
            <w:pPr>
              <w:pStyle w:val="51"/>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已设</w:t>
            </w:r>
          </w:p>
        </w:tc>
      </w:tr>
      <w:tr w14:paraId="20659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433" w:type="pct"/>
            <w:vMerge w:val="continue"/>
            <w:noWrap w:val="0"/>
            <w:vAlign w:val="center"/>
          </w:tcPr>
          <w:p w14:paraId="39B1D08A">
            <w:pPr>
              <w:pStyle w:val="51"/>
              <w:keepNext w:val="0"/>
              <w:keepLines w:val="0"/>
              <w:pageBreakBefore w:val="0"/>
              <w:widowControl w:val="0"/>
              <w:kinsoku/>
              <w:bidi w:val="0"/>
              <w:rPr>
                <w:b/>
                <w:bCs/>
                <w:color w:val="000000" w:themeColor="text1"/>
                <w14:textFill>
                  <w14:solidFill>
                    <w14:schemeClr w14:val="tx1"/>
                  </w14:solidFill>
                </w14:textFill>
              </w:rPr>
            </w:pPr>
          </w:p>
        </w:tc>
        <w:tc>
          <w:tcPr>
            <w:tcW w:w="572" w:type="pct"/>
            <w:vMerge w:val="continue"/>
            <w:noWrap w:val="0"/>
            <w:vAlign w:val="center"/>
          </w:tcPr>
          <w:p w14:paraId="38A1589D">
            <w:pPr>
              <w:pStyle w:val="51"/>
              <w:keepNext w:val="0"/>
              <w:keepLines w:val="0"/>
              <w:pageBreakBefore w:val="0"/>
              <w:widowControl w:val="0"/>
              <w:kinsoku/>
              <w:bidi w:val="0"/>
              <w:rPr>
                <w:color w:val="000000" w:themeColor="text1"/>
                <w14:textFill>
                  <w14:solidFill>
                    <w14:schemeClr w14:val="tx1"/>
                  </w14:solidFill>
                </w14:textFill>
              </w:rPr>
            </w:pPr>
          </w:p>
        </w:tc>
        <w:tc>
          <w:tcPr>
            <w:tcW w:w="1630" w:type="pct"/>
            <w:noWrap w:val="0"/>
            <w:vAlign w:val="center"/>
          </w:tcPr>
          <w:p w14:paraId="0C1854CE">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消防设施</w:t>
            </w:r>
          </w:p>
        </w:tc>
        <w:tc>
          <w:tcPr>
            <w:tcW w:w="1730" w:type="pct"/>
            <w:noWrap w:val="0"/>
            <w:vAlign w:val="center"/>
          </w:tcPr>
          <w:p w14:paraId="26175DA0">
            <w:pPr>
              <w:pStyle w:val="51"/>
              <w:keepNext w:val="0"/>
              <w:keepLines w:val="0"/>
              <w:pageBreakBefore w:val="0"/>
              <w:widowControl w:val="0"/>
              <w:kinsoku/>
              <w:bidi w:val="0"/>
              <w:jc w:val="left"/>
              <w:rPr>
                <w:color w:val="000000" w:themeColor="text1"/>
                <w14:textFill>
                  <w14:solidFill>
                    <w14:schemeClr w14:val="tx1"/>
                  </w14:solidFill>
                </w14:textFill>
              </w:rPr>
            </w:pPr>
            <w:r>
              <w:rPr>
                <w:color w:val="000000" w:themeColor="text1"/>
                <w14:textFill>
                  <w14:solidFill>
                    <w14:schemeClr w14:val="tx1"/>
                  </w14:solidFill>
                </w14:textFill>
              </w:rPr>
              <w:t>灭火器</w:t>
            </w:r>
          </w:p>
        </w:tc>
        <w:tc>
          <w:tcPr>
            <w:tcW w:w="633" w:type="pct"/>
            <w:noWrap w:val="0"/>
            <w:vAlign w:val="center"/>
          </w:tcPr>
          <w:p w14:paraId="23872A89">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r w14:paraId="5BFAC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33" w:type="pct"/>
            <w:noWrap w:val="0"/>
            <w:vAlign w:val="center"/>
          </w:tcPr>
          <w:p w14:paraId="3F8BA40F">
            <w:pPr>
              <w:pStyle w:val="51"/>
              <w:keepNext w:val="0"/>
              <w:keepLines w:val="0"/>
              <w:pageBreakBefore w:val="0"/>
              <w:widowControl w:val="0"/>
              <w:kinsoku/>
              <w:bidi w:val="0"/>
              <w:rPr>
                <w:b/>
                <w:bCs/>
                <w:color w:val="000000" w:themeColor="text1"/>
                <w14:textFill>
                  <w14:solidFill>
                    <w14:schemeClr w14:val="tx1"/>
                  </w14:solidFill>
                </w14:textFill>
              </w:rPr>
            </w:pPr>
            <w:r>
              <w:rPr>
                <w:b/>
                <w:bCs/>
                <w:color w:val="000000" w:themeColor="text1"/>
                <w14:textFill>
                  <w14:solidFill>
                    <w14:schemeClr w14:val="tx1"/>
                  </w14:solidFill>
                </w14:textFill>
              </w:rPr>
              <w:t>提示标志</w:t>
            </w:r>
          </w:p>
        </w:tc>
        <w:tc>
          <w:tcPr>
            <w:tcW w:w="572" w:type="pct"/>
            <w:noWrap w:val="0"/>
            <w:vAlign w:val="center"/>
          </w:tcPr>
          <w:p w14:paraId="4267305D">
            <w:pPr>
              <w:pStyle w:val="51"/>
              <w:keepNext w:val="0"/>
              <w:keepLines w:val="0"/>
              <w:pageBreakBefore w:val="0"/>
              <w:widowControl w:val="0"/>
              <w:kinsoku/>
              <w:bidi w:val="0"/>
              <w:rPr>
                <w:color w:val="000000" w:themeColor="text1"/>
                <w14:textFill>
                  <w14:solidFill>
                    <w14:schemeClr w14:val="tx1"/>
                  </w14:solidFill>
                </w14:textFill>
              </w:rPr>
            </w:pPr>
            <w:r>
              <w:rPr>
                <w:color w:val="000000" w:themeColor="text1"/>
                <w14:textFill>
                  <w14:solidFill>
                    <w14:schemeClr w14:val="tx1"/>
                  </w14:solidFill>
                </w14:textFill>
              </w:rPr>
              <w:t>绿色</w:t>
            </w:r>
          </w:p>
        </w:tc>
        <w:tc>
          <w:tcPr>
            <w:tcW w:w="1630" w:type="pct"/>
            <w:noWrap w:val="0"/>
            <w:vAlign w:val="center"/>
          </w:tcPr>
          <w:p w14:paraId="50427830">
            <w:pPr>
              <w:pStyle w:val="51"/>
              <w:keepNext w:val="0"/>
              <w:keepLines w:val="0"/>
              <w:pageBreakBefore w:val="0"/>
              <w:widowControl w:val="0"/>
              <w:kinsoku/>
              <w:bidi w:val="0"/>
              <w:jc w:val="both"/>
              <w:rPr>
                <w:color w:val="000000" w:themeColor="text1"/>
                <w14:textFill>
                  <w14:solidFill>
                    <w14:schemeClr w14:val="tx1"/>
                  </w14:solidFill>
                </w14:textFill>
              </w:rPr>
            </w:pPr>
            <w:r>
              <w:rPr>
                <w:color w:val="000000" w:themeColor="text1"/>
                <w14:textFill>
                  <w14:solidFill>
                    <w14:schemeClr w14:val="tx1"/>
                  </w14:solidFill>
                </w14:textFill>
              </w:rPr>
              <w:t>主要交通道口</w:t>
            </w:r>
          </w:p>
        </w:tc>
        <w:tc>
          <w:tcPr>
            <w:tcW w:w="1730" w:type="pct"/>
            <w:noWrap w:val="0"/>
            <w:vAlign w:val="center"/>
          </w:tcPr>
          <w:p w14:paraId="03717B52">
            <w:pPr>
              <w:pStyle w:val="51"/>
              <w:keepNext w:val="0"/>
              <w:keepLines w:val="0"/>
              <w:pageBreakBefore w:val="0"/>
              <w:widowControl w:val="0"/>
              <w:kinsoku/>
              <w:bidi w:val="0"/>
              <w:jc w:val="both"/>
              <w:rPr>
                <w:color w:val="000000" w:themeColor="text1"/>
                <w14:textFill>
                  <w14:solidFill>
                    <w14:schemeClr w14:val="tx1"/>
                  </w14:solidFill>
                </w14:textFill>
              </w:rPr>
            </w:pPr>
            <w:r>
              <w:rPr>
                <w:color w:val="000000" w:themeColor="text1"/>
                <w14:textFill>
                  <w14:solidFill>
                    <w14:schemeClr w14:val="tx1"/>
                  </w14:solidFill>
                </w14:textFill>
              </w:rPr>
              <w:t>当心车辆</w:t>
            </w:r>
          </w:p>
        </w:tc>
        <w:tc>
          <w:tcPr>
            <w:tcW w:w="633" w:type="pct"/>
            <w:tcBorders>
              <w:bottom w:val="single" w:color="auto" w:sz="4" w:space="0"/>
            </w:tcBorders>
            <w:noWrap w:val="0"/>
            <w:vAlign w:val="center"/>
          </w:tcPr>
          <w:p w14:paraId="00AFA576">
            <w:pPr>
              <w:pStyle w:val="51"/>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已</w:t>
            </w:r>
            <w:r>
              <w:rPr>
                <w:color w:val="000000" w:themeColor="text1"/>
                <w14:textFill>
                  <w14:solidFill>
                    <w14:schemeClr w14:val="tx1"/>
                  </w14:solidFill>
                </w14:textFill>
              </w:rPr>
              <w:t>设</w:t>
            </w:r>
          </w:p>
        </w:tc>
      </w:tr>
    </w:tbl>
    <w:p w14:paraId="1962EEA4">
      <w:pPr>
        <w:pStyle w:val="4"/>
        <w:bidi w:val="0"/>
        <w:rPr>
          <w:color w:val="000000" w:themeColor="text1"/>
          <w14:textFill>
            <w14:solidFill>
              <w14:schemeClr w14:val="tx1"/>
            </w14:solidFill>
          </w14:textFill>
        </w:rPr>
      </w:pPr>
      <w:bookmarkStart w:id="346" w:name="_Toc30431"/>
      <w:bookmarkStart w:id="347" w:name="_Toc1532"/>
      <w:bookmarkStart w:id="348" w:name="_Toc195424910"/>
      <w:bookmarkStart w:id="349" w:name="_Toc242850469"/>
      <w:bookmarkStart w:id="350" w:name="_Toc17255"/>
      <w:bookmarkStart w:id="351" w:name="_Toc194127802"/>
      <w:bookmarkStart w:id="352" w:name="_Toc596"/>
      <w:bookmarkStart w:id="353" w:name="_Toc29657"/>
      <w:r>
        <w:rPr>
          <w:color w:val="000000" w:themeColor="text1"/>
          <w14:textFill>
            <w14:solidFill>
              <w14:schemeClr w14:val="tx1"/>
            </w14:solidFill>
          </w14:textFill>
        </w:rPr>
        <w:t>单元小结</w:t>
      </w:r>
      <w:bookmarkEnd w:id="346"/>
      <w:bookmarkEnd w:id="347"/>
    </w:p>
    <w:p w14:paraId="3263123B">
      <w:pPr>
        <w:pStyle w:val="14"/>
        <w:spacing w:before="268" w:line="327" w:lineRule="auto"/>
        <w:ind w:left="120" w:right="92" w:firstLine="583"/>
        <w:jc w:val="both"/>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t>该电站按照国家</w:t>
      </w:r>
      <w:r>
        <w:rPr>
          <w:rFonts w:hint="eastAsia" w:ascii="Times New Roman" w:hAnsi="Times New Roman" w:eastAsia="宋体" w:cs="Times New Roman"/>
          <w:color w:val="000000" w:themeColor="text1"/>
          <w:kern w:val="2"/>
          <w:sz w:val="28"/>
          <w:szCs w:val="24"/>
          <w:lang w:val="en-US" w:eastAsia="zh-CN" w:bidi="ar-SA"/>
          <w14:textFill>
            <w14:solidFill>
              <w14:schemeClr w14:val="tx1"/>
            </w14:solidFill>
          </w14:textFill>
        </w:rPr>
        <w:t>法律法规</w:t>
      </w:r>
      <w:r>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t>的要求，结合自身实际，公司实行总经理领导下的站长负责制，站长对总经理负责。电站设置办公室、后勤班、 运行班、检修班等，公司从站长到班组，层层落实各自的职责，对公司的安全生产进行管理。电站设置了主要负责人和安全管理员。电站提供了特种作业人员的资格证。电站制定了安全管理制度、运行规程和检修维护规 程等安全管理规章制度。部分管理制度已在中控室上墙悬挂；制定了《生产安全事故应急预案》，并按要求组织应急演练。电站运行作业人员持电工作业证；为从业人员配备了劳保用品及安全工器具，并定期检验；配备了应急器材；危险场所设置了安全警示标志和警戒线；建立了较齐全的安全管理台账。</w:t>
      </w:r>
    </w:p>
    <w:bookmarkEnd w:id="348"/>
    <w:bookmarkEnd w:id="349"/>
    <w:bookmarkEnd w:id="350"/>
    <w:bookmarkEnd w:id="351"/>
    <w:p w14:paraId="0374713A">
      <w:pPr>
        <w:pStyle w:val="2"/>
        <w:bidi w:val="0"/>
        <w:rPr>
          <w:rFonts w:hint="eastAsia"/>
          <w:color w:val="000000" w:themeColor="text1"/>
          <w14:textFill>
            <w14:solidFill>
              <w14:schemeClr w14:val="tx1"/>
            </w14:solidFill>
          </w14:textFill>
        </w:rPr>
      </w:pPr>
      <w:bookmarkStart w:id="354" w:name="_Toc23281"/>
      <w:r>
        <w:rPr>
          <w:rFonts w:hint="eastAsia"/>
          <w:color w:val="000000" w:themeColor="text1"/>
          <w14:textFill>
            <w14:solidFill>
              <w14:schemeClr w14:val="tx1"/>
            </w14:solidFill>
          </w14:textFill>
        </w:rPr>
        <w:t>安全对策措施建议</w:t>
      </w:r>
      <w:bookmarkEnd w:id="352"/>
      <w:bookmarkEnd w:id="353"/>
      <w:bookmarkEnd w:id="354"/>
    </w:p>
    <w:p w14:paraId="7B22068C">
      <w:pPr>
        <w:pStyle w:val="3"/>
        <w:rPr>
          <w:rFonts w:hint="eastAsia"/>
          <w:b/>
          <w:bCs w:val="0"/>
          <w:color w:val="000000" w:themeColor="text1"/>
          <w14:textFill>
            <w14:solidFill>
              <w14:schemeClr w14:val="tx1"/>
            </w14:solidFill>
          </w14:textFill>
        </w:rPr>
      </w:pPr>
      <w:bookmarkStart w:id="355" w:name="_Toc12149"/>
      <w:r>
        <w:rPr>
          <w:rFonts w:hint="eastAsia" w:eastAsia="宋体"/>
          <w:b/>
          <w:bCs w:val="0"/>
          <w:color w:val="000000" w:themeColor="text1"/>
          <w:highlight w:val="none"/>
          <w:lang w:val="en-US" w:eastAsia="zh-CN"/>
          <w14:textFill>
            <w14:solidFill>
              <w14:schemeClr w14:val="tx1"/>
            </w14:solidFill>
          </w14:textFill>
        </w:rPr>
        <w:t>企业整改完成落实情况</w:t>
      </w:r>
      <w:bookmarkEnd w:id="355"/>
    </w:p>
    <w:p w14:paraId="29AE432F">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2"/>
          <w:sz w:val="28"/>
          <w:szCs w:val="28"/>
          <w:lang w:val="en-US" w:eastAsia="zh-CN" w:bidi="ar-SA"/>
          <w14:textFill>
            <w14:solidFill>
              <w14:schemeClr w14:val="tx1"/>
            </w14:solidFill>
          </w14:textFill>
        </w:rPr>
        <w:t>评价组于2024年12月1</w:t>
      </w:r>
      <w:r>
        <w:rPr>
          <w:rFonts w:hint="eastAsia" w:ascii="宋体" w:hAnsi="宋体" w:cs="宋体"/>
          <w:color w:val="000000" w:themeColor="text1"/>
          <w:kern w:val="2"/>
          <w:sz w:val="28"/>
          <w:szCs w:val="28"/>
          <w:lang w:val="en-US" w:eastAsia="zh-CN" w:bidi="ar-SA"/>
          <w14:textFill>
            <w14:solidFill>
              <w14:schemeClr w14:val="tx1"/>
            </w14:solidFill>
          </w14:textFill>
        </w:rPr>
        <w:t>3</w:t>
      </w:r>
      <w:r>
        <w:rPr>
          <w:rFonts w:hint="eastAsia" w:ascii="宋体" w:hAnsi="宋体" w:eastAsia="宋体" w:cs="宋体"/>
          <w:color w:val="000000" w:themeColor="text1"/>
          <w:kern w:val="2"/>
          <w:sz w:val="28"/>
          <w:szCs w:val="28"/>
          <w:lang w:val="en-US" w:eastAsia="zh-CN" w:bidi="ar-SA"/>
          <w14:textFill>
            <w14:solidFill>
              <w14:schemeClr w14:val="tx1"/>
            </w14:solidFill>
          </w14:textFill>
        </w:rPr>
        <w:t>日对</w:t>
      </w:r>
      <w:r>
        <w:rPr>
          <w:rFonts w:hint="eastAsia" w:ascii="宋体" w:hAnsi="宋体" w:cs="宋体"/>
          <w:color w:val="000000" w:themeColor="text1"/>
          <w:kern w:val="2"/>
          <w:sz w:val="28"/>
          <w:szCs w:val="28"/>
          <w:lang w:val="en-US" w:eastAsia="zh-CN" w:bidi="ar-SA"/>
          <w14:textFill>
            <w14:solidFill>
              <w14:schemeClr w14:val="tx1"/>
            </w14:solidFill>
          </w14:textFill>
        </w:rPr>
        <w:t>华能澜沧江（景洪）新能源有限公司基诺乡巴卡村洛科新寨光伏电站</w:t>
      </w:r>
      <w:r>
        <w:rPr>
          <w:rFonts w:hint="eastAsia" w:ascii="宋体" w:hAnsi="宋体" w:eastAsia="宋体" w:cs="宋体"/>
          <w:color w:val="000000" w:themeColor="text1"/>
          <w:kern w:val="2"/>
          <w:sz w:val="28"/>
          <w:szCs w:val="28"/>
          <w:lang w:val="en-US" w:eastAsia="zh-CN" w:bidi="ar-SA"/>
          <w14:textFill>
            <w14:solidFill>
              <w14:schemeClr w14:val="tx1"/>
            </w14:solidFill>
          </w14:textFill>
        </w:rPr>
        <w:t>进行了现场检查，针对现场情况提出了现场检查整改建议，</w:t>
      </w:r>
      <w:r>
        <w:rPr>
          <w:rFonts w:hint="eastAsia" w:ascii="宋体" w:hAnsi="宋体" w:eastAsia="宋体" w:cs="宋体"/>
          <w:color w:val="000000" w:themeColor="text1"/>
          <w:sz w:val="28"/>
          <w:szCs w:val="28"/>
          <w14:textFill>
            <w14:solidFill>
              <w14:schemeClr w14:val="tx1"/>
            </w14:solidFill>
          </w14:textFill>
        </w:rPr>
        <w:t>企业根据现场整改建议，认真分析存在问题的原因，研究整改计划，落实整改负责人、资金和时限。企业于20</w:t>
      </w:r>
      <w:r>
        <w:rPr>
          <w:rFonts w:hint="eastAsia" w:ascii="宋体" w:hAnsi="宋体" w:eastAsia="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eastAsia="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9</w:t>
      </w:r>
      <w:r>
        <w:rPr>
          <w:rFonts w:hint="eastAsia" w:ascii="宋体" w:hAnsi="宋体" w:eastAsia="宋体" w:cs="宋体"/>
          <w:color w:val="000000" w:themeColor="text1"/>
          <w:sz w:val="28"/>
          <w:szCs w:val="28"/>
          <w14:textFill>
            <w14:solidFill>
              <w14:schemeClr w14:val="tx1"/>
            </w14:solidFill>
          </w14:textFill>
        </w:rPr>
        <w:t>日前整改完成，并向我单位提供了整改完成情况报告，经我单位确认，已按整改建议完成整改，详见报告附件</w:t>
      </w:r>
      <w:r>
        <w:rPr>
          <w:rFonts w:hint="eastAsia" w:ascii="宋体" w:hAnsi="宋体" w:eastAsia="宋体" w:cs="宋体"/>
          <w:color w:val="000000" w:themeColor="text1"/>
          <w:sz w:val="28"/>
          <w:szCs w:val="28"/>
          <w:lang w:val="en-US" w:eastAsia="zh-CN"/>
          <w14:textFill>
            <w14:solidFill>
              <w14:schemeClr w14:val="tx1"/>
            </w14:solidFill>
          </w14:textFill>
        </w:rPr>
        <w:t>23</w:t>
      </w:r>
      <w:r>
        <w:rPr>
          <w:rFonts w:hint="eastAsia" w:ascii="宋体" w:hAnsi="宋体" w:eastAsia="宋体" w:cs="宋体"/>
          <w:color w:val="000000" w:themeColor="text1"/>
          <w:sz w:val="28"/>
          <w:szCs w:val="28"/>
          <w14:textFill>
            <w14:solidFill>
              <w14:schemeClr w14:val="tx1"/>
            </w14:solidFill>
          </w14:textFill>
        </w:rPr>
        <w:t>。</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3986"/>
        <w:gridCol w:w="4292"/>
      </w:tblGrid>
      <w:tr w14:paraId="7A3E8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pct"/>
          </w:tcPr>
          <w:p w14:paraId="63ADC08B">
            <w:pPr>
              <w:keepNext w:val="0"/>
              <w:keepLines w:val="0"/>
              <w:pageBreakBefore w:val="0"/>
              <w:widowControl w:val="0"/>
              <w:kinsoku/>
              <w:bidi w:val="0"/>
              <w:ind w:left="0" w:leftChars="0" w:firstLine="0" w:firstLineChars="0"/>
              <w:jc w:val="cente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t>序号</w:t>
            </w:r>
          </w:p>
        </w:tc>
        <w:tc>
          <w:tcPr>
            <w:tcW w:w="2186" w:type="pct"/>
          </w:tcPr>
          <w:p w14:paraId="16E40A7C">
            <w:pPr>
              <w:keepNext w:val="0"/>
              <w:keepLines w:val="0"/>
              <w:pageBreakBefore w:val="0"/>
              <w:widowControl w:val="0"/>
              <w:kinsoku/>
              <w:bidi w:val="0"/>
              <w:jc w:val="cente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t>存在问题</w:t>
            </w:r>
          </w:p>
        </w:tc>
        <w:tc>
          <w:tcPr>
            <w:tcW w:w="2354" w:type="pct"/>
          </w:tcPr>
          <w:p w14:paraId="5F518EF4">
            <w:pPr>
              <w:keepNext w:val="0"/>
              <w:keepLines w:val="0"/>
              <w:pageBreakBefore w:val="0"/>
              <w:widowControl w:val="0"/>
              <w:kinsoku/>
              <w:bidi w:val="0"/>
              <w:jc w:val="cente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vertAlign w:val="baseline"/>
                <w:lang w:val="en-US" w:eastAsia="zh-CN" w:bidi="ar-SA"/>
                <w14:textFill>
                  <w14:solidFill>
                    <w14:schemeClr w14:val="tx1"/>
                  </w14:solidFill>
                </w14:textFill>
              </w:rPr>
              <w:t>整改情况</w:t>
            </w:r>
          </w:p>
        </w:tc>
      </w:tr>
      <w:tr w14:paraId="70E51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pct"/>
          </w:tcPr>
          <w:p w14:paraId="1E630504">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t>1</w:t>
            </w:r>
          </w:p>
        </w:tc>
        <w:tc>
          <w:tcPr>
            <w:tcW w:w="2186" w:type="pct"/>
          </w:tcPr>
          <w:p w14:paraId="7C674208">
            <w:pPr>
              <w:keepNext w:val="0"/>
              <w:keepLines w:val="0"/>
              <w:pageBreakBefore w:val="0"/>
              <w:widowControl w:val="0"/>
              <w:kinsoku/>
              <w:bidi w:val="0"/>
              <w:ind w:left="0" w:leftChars="0" w:firstLine="0" w:firstLineChars="0"/>
              <w:jc w:val="both"/>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光伏区：安全警示标志，安全护栏不完善，道路排水沟堵塞。</w:t>
            </w:r>
          </w:p>
        </w:tc>
        <w:tc>
          <w:tcPr>
            <w:tcW w:w="2354" w:type="pct"/>
          </w:tcPr>
          <w:p w14:paraId="5E4B86C2">
            <w:pPr>
              <w:keepNext w:val="0"/>
              <w:keepLines w:val="0"/>
              <w:pageBreakBefore w:val="0"/>
              <w:widowControl w:val="0"/>
              <w:kinsoku/>
              <w:bidi w:val="0"/>
              <w:ind w:left="0" w:leftChars="0" w:firstLine="0" w:firstLineChars="0"/>
              <w:jc w:val="both"/>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已按要求完善</w:t>
            </w:r>
            <w:r>
              <w:rPr>
                <w:rFonts w:hint="eastAsia" w:ascii="宋体" w:hAnsi="宋体" w:eastAsia="宋体" w:cs="宋体"/>
                <w:b w:val="0"/>
                <w:bCs w:val="0"/>
                <w:color w:val="000000" w:themeColor="text1"/>
                <w:sz w:val="21"/>
                <w:szCs w:val="21"/>
                <w:lang w:val="en-US" w:eastAsia="zh-CN"/>
                <w14:textFill>
                  <w14:solidFill>
                    <w14:schemeClr w14:val="tx1"/>
                  </w14:solidFill>
                </w14:textFill>
              </w:rPr>
              <w:t>光伏区安全警示标志，安全护栏，已清理道路排水沟。</w:t>
            </w:r>
          </w:p>
        </w:tc>
      </w:tr>
      <w:tr w14:paraId="0BD22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458" w:type="pct"/>
          </w:tcPr>
          <w:p w14:paraId="18D14B83">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t>2</w:t>
            </w:r>
          </w:p>
        </w:tc>
        <w:tc>
          <w:tcPr>
            <w:tcW w:w="2186" w:type="pct"/>
          </w:tcPr>
          <w:p w14:paraId="22C0EDE0">
            <w:pPr>
              <w:ind w:left="0" w:leftChars="0" w:firstLine="0" w:firstLineChars="0"/>
              <w:jc w:val="left"/>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Cs/>
                <w:color w:val="000000" w:themeColor="text1"/>
                <w:kern w:val="2"/>
                <w:sz w:val="21"/>
                <w:szCs w:val="21"/>
                <w:lang w:val="en-US" w:eastAsia="zh-CN" w:bidi="ar-SA"/>
                <w14:textFill>
                  <w14:solidFill>
                    <w14:schemeClr w14:val="tx1"/>
                  </w14:solidFill>
                </w14:textFill>
              </w:rPr>
              <w:t>箱变安全措施未完善。</w:t>
            </w:r>
          </w:p>
        </w:tc>
        <w:tc>
          <w:tcPr>
            <w:tcW w:w="2354" w:type="pct"/>
          </w:tcPr>
          <w:p w14:paraId="261C0716">
            <w:pPr>
              <w:ind w:left="0" w:leftChars="0" w:firstLine="0" w:firstLineChars="0"/>
              <w:jc w:val="left"/>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Cs/>
                <w:color w:val="000000" w:themeColor="text1"/>
                <w:kern w:val="2"/>
                <w:sz w:val="21"/>
                <w:szCs w:val="21"/>
                <w:lang w:val="en-US" w:eastAsia="zh-CN" w:bidi="ar-SA"/>
                <w14:textFill>
                  <w14:solidFill>
                    <w14:schemeClr w14:val="tx1"/>
                  </w14:solidFill>
                </w14:textFill>
              </w:rPr>
              <w:t>已完善箱变安全措施。</w:t>
            </w:r>
          </w:p>
        </w:tc>
      </w:tr>
      <w:tr w14:paraId="0AC32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pct"/>
          </w:tcPr>
          <w:p w14:paraId="1E9B8A85">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t>3</w:t>
            </w:r>
          </w:p>
        </w:tc>
        <w:tc>
          <w:tcPr>
            <w:tcW w:w="2186" w:type="pct"/>
          </w:tcPr>
          <w:p w14:paraId="1FF7FB72">
            <w:pPr>
              <w:ind w:left="0" w:leftChars="0" w:firstLine="0" w:firstLineChars="0"/>
              <w:jc w:val="left"/>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Cs/>
                <w:color w:val="000000" w:themeColor="text1"/>
                <w:kern w:val="2"/>
                <w:sz w:val="21"/>
                <w:szCs w:val="21"/>
                <w:lang w:val="en-US" w:eastAsia="zh-CN" w:bidi="ar-SA"/>
                <w14:textFill>
                  <w14:solidFill>
                    <w14:schemeClr w14:val="tx1"/>
                  </w14:solidFill>
                </w14:textFill>
              </w:rPr>
              <w:t>光伏区灌木杂树未清理。</w:t>
            </w:r>
          </w:p>
        </w:tc>
        <w:tc>
          <w:tcPr>
            <w:tcW w:w="2354" w:type="pct"/>
          </w:tcPr>
          <w:p w14:paraId="797B38EE">
            <w:pPr>
              <w:ind w:left="0" w:leftChars="0" w:firstLine="0" w:firstLineChars="0"/>
              <w:jc w:val="left"/>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bCs/>
                <w:color w:val="000000" w:themeColor="text1"/>
                <w:kern w:val="2"/>
                <w:sz w:val="21"/>
                <w:szCs w:val="21"/>
                <w:lang w:val="en-US" w:eastAsia="zh-CN" w:bidi="ar-SA"/>
                <w14:textFill>
                  <w14:solidFill>
                    <w14:schemeClr w14:val="tx1"/>
                  </w14:solidFill>
                </w14:textFill>
              </w:rPr>
              <w:t>光伏区灌木杂树已清理。</w:t>
            </w:r>
          </w:p>
        </w:tc>
      </w:tr>
      <w:tr w14:paraId="3DB6E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pct"/>
          </w:tcPr>
          <w:p w14:paraId="3BD1AAAC">
            <w:pPr>
              <w:keepNext w:val="0"/>
              <w:keepLines w:val="0"/>
              <w:pageBreakBefore w:val="0"/>
              <w:widowControl w:val="0"/>
              <w:kinsoku/>
              <w:bidi w:val="0"/>
              <w:ind w:left="0" w:leftChars="0" w:firstLine="0" w:firstLineChars="0"/>
              <w:jc w:val="cente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t>4</w:t>
            </w:r>
          </w:p>
        </w:tc>
        <w:tc>
          <w:tcPr>
            <w:tcW w:w="2186" w:type="pct"/>
          </w:tcPr>
          <w:p w14:paraId="44AE9D35">
            <w:pPr>
              <w:keepNext w:val="0"/>
              <w:keepLines w:val="0"/>
              <w:pageBreakBefore w:val="0"/>
              <w:widowControl w:val="0"/>
              <w:kinsoku/>
              <w:bidi w:val="0"/>
              <w:ind w:left="0" w:leftChars="0" w:firstLine="0" w:firstLineChars="0"/>
              <w:jc w:val="both"/>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主要负责人未按要求取得安全培训合格证</w:t>
            </w:r>
          </w:p>
        </w:tc>
        <w:tc>
          <w:tcPr>
            <w:tcW w:w="2354" w:type="pct"/>
          </w:tcPr>
          <w:p w14:paraId="63B776A3">
            <w:pPr>
              <w:keepNext w:val="0"/>
              <w:keepLines w:val="0"/>
              <w:pageBreakBefore w:val="0"/>
              <w:widowControl w:val="0"/>
              <w:kinsoku/>
              <w:bidi w:val="0"/>
              <w:ind w:left="0" w:leftChars="0" w:firstLine="0" w:firstLineChars="0"/>
              <w:jc w:val="both"/>
              <w:rPr>
                <w:rFonts w:hint="eastAsia" w:ascii="宋体" w:hAnsi="宋体" w:eastAsia="宋体" w:cs="宋体"/>
                <w:color w:val="000000" w:themeColor="text1"/>
                <w:kern w:val="2"/>
                <w:sz w:val="21"/>
                <w:szCs w:val="21"/>
                <w:vertAlign w:val="baseline"/>
                <w:lang w:val="en-US" w:eastAsia="zh-CN" w:bidi="ar-SA"/>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主要负责人已按要求取证</w:t>
            </w:r>
          </w:p>
        </w:tc>
      </w:tr>
    </w:tbl>
    <w:p w14:paraId="0FF9997D">
      <w:pPr>
        <w:pStyle w:val="3"/>
        <w:bidi w:val="0"/>
        <w:rPr>
          <w:rFonts w:hint="eastAsia"/>
          <w:color w:val="000000" w:themeColor="text1"/>
          <w14:textFill>
            <w14:solidFill>
              <w14:schemeClr w14:val="tx1"/>
            </w14:solidFill>
          </w14:textFill>
        </w:rPr>
      </w:pPr>
      <w:bookmarkStart w:id="356" w:name="_Toc31201"/>
      <w:bookmarkStart w:id="357" w:name="_Toc28570"/>
      <w:bookmarkStart w:id="358" w:name="_Toc22893"/>
      <w:bookmarkStart w:id="359" w:name="_Toc1592"/>
      <w:bookmarkStart w:id="360" w:name="_Toc194127803"/>
      <w:bookmarkStart w:id="361" w:name="_Toc195424911"/>
      <w:r>
        <w:rPr>
          <w:rFonts w:hint="eastAsia"/>
          <w:color w:val="000000" w:themeColor="text1"/>
          <w:lang w:val="en-US" w:eastAsia="zh-CN"/>
          <w14:textFill>
            <w14:solidFill>
              <w14:schemeClr w14:val="tx1"/>
            </w14:solidFill>
          </w14:textFill>
        </w:rPr>
        <w:t>安全对策措施建议的主要原则</w:t>
      </w:r>
      <w:bookmarkEnd w:id="356"/>
    </w:p>
    <w:p w14:paraId="2F67E70C">
      <w:pPr>
        <w:pStyle w:val="4"/>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安全对策措施建议的基本要求</w:t>
      </w:r>
      <w:bookmarkEnd w:id="357"/>
    </w:p>
    <w:p w14:paraId="5DF2D3B8">
      <w:pPr>
        <w:keepNext w:val="0"/>
        <w:keepLines w:val="0"/>
        <w:pageBreakBefore w:val="0"/>
        <w:widowControl w:val="0"/>
        <w:numPr>
          <w:ilvl w:val="0"/>
          <w:numId w:val="58"/>
        </w:numPr>
        <w:kinsoku/>
        <w:bidi w:val="0"/>
        <w:rPr>
          <w:color w:val="000000" w:themeColor="text1"/>
          <w14:textFill>
            <w14:solidFill>
              <w14:schemeClr w14:val="tx1"/>
            </w14:solidFill>
          </w14:textFill>
        </w:rPr>
      </w:pPr>
      <w:r>
        <w:rPr>
          <w:color w:val="000000" w:themeColor="text1"/>
          <w14:textFill>
            <w14:solidFill>
              <w14:schemeClr w14:val="tx1"/>
            </w14:solidFill>
          </w14:textFill>
        </w:rPr>
        <w:t>消除或减弱生产过程中产生的危险、有害因素；</w:t>
      </w:r>
    </w:p>
    <w:p w14:paraId="6786FBBC">
      <w:pPr>
        <w:keepNext w:val="0"/>
        <w:keepLines w:val="0"/>
        <w:pageBreakBefore w:val="0"/>
        <w:widowControl w:val="0"/>
        <w:numPr>
          <w:ilvl w:val="0"/>
          <w:numId w:val="58"/>
        </w:numPr>
        <w:kinsoku/>
        <w:bidi w:val="0"/>
        <w:rPr>
          <w:color w:val="000000" w:themeColor="text1"/>
          <w14:textFill>
            <w14:solidFill>
              <w14:schemeClr w14:val="tx1"/>
            </w14:solidFill>
          </w14:textFill>
        </w:rPr>
      </w:pPr>
      <w:r>
        <w:rPr>
          <w:color w:val="000000" w:themeColor="text1"/>
          <w14:textFill>
            <w14:solidFill>
              <w14:schemeClr w14:val="tx1"/>
            </w14:solidFill>
          </w14:textFill>
        </w:rPr>
        <w:t>处置危险和有害物，使其降低到国家规定的限值内；</w:t>
      </w:r>
    </w:p>
    <w:p w14:paraId="0DA53511">
      <w:pPr>
        <w:keepNext w:val="0"/>
        <w:keepLines w:val="0"/>
        <w:pageBreakBefore w:val="0"/>
        <w:widowControl w:val="0"/>
        <w:numPr>
          <w:ilvl w:val="0"/>
          <w:numId w:val="58"/>
        </w:numPr>
        <w:kinsoku/>
        <w:bidi w:val="0"/>
        <w:rPr>
          <w:color w:val="000000" w:themeColor="text1"/>
          <w14:textFill>
            <w14:solidFill>
              <w14:schemeClr w14:val="tx1"/>
            </w14:solidFill>
          </w14:textFill>
        </w:rPr>
      </w:pPr>
      <w:r>
        <w:rPr>
          <w:color w:val="000000" w:themeColor="text1"/>
          <w14:textFill>
            <w14:solidFill>
              <w14:schemeClr w14:val="tx1"/>
            </w14:solidFill>
          </w14:textFill>
        </w:rPr>
        <w:t>预防生产装置失灵和操作失误产生的危险、危害；</w:t>
      </w:r>
    </w:p>
    <w:p w14:paraId="1873B929">
      <w:pPr>
        <w:keepNext w:val="0"/>
        <w:keepLines w:val="0"/>
        <w:pageBreakBefore w:val="0"/>
        <w:widowControl w:val="0"/>
        <w:numPr>
          <w:ilvl w:val="0"/>
          <w:numId w:val="58"/>
        </w:numPr>
        <w:kinsoku/>
        <w:bidi w:val="0"/>
        <w:rPr>
          <w:color w:val="000000" w:themeColor="text1"/>
          <w14:textFill>
            <w14:solidFill>
              <w14:schemeClr w14:val="tx1"/>
            </w14:solidFill>
          </w14:textFill>
        </w:rPr>
      </w:pPr>
      <w:r>
        <w:rPr>
          <w:color w:val="000000" w:themeColor="text1"/>
          <w14:textFill>
            <w14:solidFill>
              <w14:schemeClr w14:val="tx1"/>
            </w14:solidFill>
          </w14:textFill>
        </w:rPr>
        <w:t>能有效地预防重大事故和职业危害的发生；</w:t>
      </w:r>
    </w:p>
    <w:p w14:paraId="10C3312D">
      <w:pPr>
        <w:keepNext w:val="0"/>
        <w:keepLines w:val="0"/>
        <w:pageBreakBefore w:val="0"/>
        <w:widowControl w:val="0"/>
        <w:numPr>
          <w:ilvl w:val="0"/>
          <w:numId w:val="58"/>
        </w:numPr>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发生意外事故时，能为遇险人员提供自救和互救条件。</w:t>
      </w:r>
    </w:p>
    <w:p w14:paraId="64FEE76A">
      <w:pPr>
        <w:pStyle w:val="4"/>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制定安全对策措施建议的原则</w:t>
      </w:r>
      <w:bookmarkEnd w:id="358"/>
      <w:bookmarkEnd w:id="359"/>
      <w:bookmarkEnd w:id="360"/>
      <w:bookmarkEnd w:id="361"/>
    </w:p>
    <w:p w14:paraId="783D6B28">
      <w:pPr>
        <w:keepNext w:val="0"/>
        <w:keepLines w:val="0"/>
        <w:pageBreakBefore w:val="0"/>
        <w:widowControl w:val="0"/>
        <w:numPr>
          <w:ilvl w:val="0"/>
          <w:numId w:val="59"/>
        </w:numPr>
        <w:kinsoku/>
        <w:wordWrap/>
        <w:overflowPunct/>
        <w:topLinePunct w:val="0"/>
        <w:autoSpaceDE/>
        <w:autoSpaceDN/>
        <w:bidi w:val="0"/>
        <w:adjustRightInd/>
        <w:snapToGrid/>
        <w:textAlignment w:val="auto"/>
        <w:outlineLvl w:val="9"/>
        <w:rPr>
          <w:color w:val="000000" w:themeColor="text1"/>
          <w14:textFill>
            <w14:solidFill>
              <w14:schemeClr w14:val="tx1"/>
            </w14:solidFill>
          </w14:textFill>
        </w:rPr>
      </w:pPr>
      <w:r>
        <w:rPr>
          <w:color w:val="000000" w:themeColor="text1"/>
          <w14:textFill>
            <w14:solidFill>
              <w14:schemeClr w14:val="tx1"/>
            </w14:solidFill>
          </w14:textFill>
        </w:rPr>
        <w:t>当安全对策措施建议与经济效益发生矛盾时，应优先考虑安全对策措施建议的要求；</w:t>
      </w:r>
    </w:p>
    <w:p w14:paraId="3EF2B7F1">
      <w:pPr>
        <w:keepNext w:val="0"/>
        <w:keepLines w:val="0"/>
        <w:pageBreakBefore w:val="0"/>
        <w:widowControl w:val="0"/>
        <w:numPr>
          <w:ilvl w:val="0"/>
          <w:numId w:val="59"/>
        </w:numPr>
        <w:kinsoku/>
        <w:wordWrap/>
        <w:overflowPunct/>
        <w:topLinePunct w:val="0"/>
        <w:autoSpaceDE/>
        <w:autoSpaceDN/>
        <w:bidi w:val="0"/>
        <w:adjustRightInd/>
        <w:snapToGrid/>
        <w:textAlignment w:val="auto"/>
        <w:outlineLvl w:val="9"/>
        <w:rPr>
          <w:color w:val="000000" w:themeColor="text1"/>
          <w14:textFill>
            <w14:solidFill>
              <w14:schemeClr w14:val="tx1"/>
            </w14:solidFill>
          </w14:textFill>
        </w:rPr>
      </w:pPr>
      <w:r>
        <w:rPr>
          <w:color w:val="000000" w:themeColor="text1"/>
          <w14:textFill>
            <w14:solidFill>
              <w14:schemeClr w14:val="tx1"/>
            </w14:solidFill>
          </w14:textFill>
        </w:rPr>
        <w:t>确定安全对策措施建议等级顺序要求的具体原则为：消除、预防、减弱、隔离、联锁、警告；</w:t>
      </w:r>
    </w:p>
    <w:p w14:paraId="3825FE02">
      <w:pPr>
        <w:keepNext w:val="0"/>
        <w:keepLines w:val="0"/>
        <w:pageBreakBefore w:val="0"/>
        <w:widowControl w:val="0"/>
        <w:numPr>
          <w:ilvl w:val="0"/>
          <w:numId w:val="59"/>
        </w:numPr>
        <w:kinsoku/>
        <w:wordWrap/>
        <w:overflowPunct/>
        <w:topLinePunct w:val="0"/>
        <w:autoSpaceDE/>
        <w:autoSpaceDN/>
        <w:bidi w:val="0"/>
        <w:adjustRightInd/>
        <w:snapToGrid/>
        <w:textAlignment w:val="auto"/>
        <w:outlineLvl w:val="9"/>
        <w:rPr>
          <w:color w:val="000000" w:themeColor="text1"/>
          <w14:textFill>
            <w14:solidFill>
              <w14:schemeClr w14:val="tx1"/>
            </w14:solidFill>
          </w14:textFill>
        </w:rPr>
      </w:pPr>
      <w:r>
        <w:rPr>
          <w:color w:val="000000" w:themeColor="text1"/>
          <w14:textFill>
            <w14:solidFill>
              <w14:schemeClr w14:val="tx1"/>
            </w14:solidFill>
          </w14:textFill>
        </w:rPr>
        <w:t>安全对策措施建议应具有针对性、可操作性和经济合理性；</w:t>
      </w:r>
    </w:p>
    <w:p w14:paraId="7D9226E1">
      <w:pPr>
        <w:keepNext w:val="0"/>
        <w:keepLines w:val="0"/>
        <w:pageBreakBefore w:val="0"/>
        <w:widowControl w:val="0"/>
        <w:numPr>
          <w:ilvl w:val="0"/>
          <w:numId w:val="59"/>
        </w:numPr>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color w:val="000000" w:themeColor="text1"/>
          <w14:textFill>
            <w14:solidFill>
              <w14:schemeClr w14:val="tx1"/>
            </w14:solidFill>
          </w14:textFill>
        </w:rPr>
        <w:t>安全对策措施建议应符合国家有关</w:t>
      </w:r>
      <w:r>
        <w:rPr>
          <w:rFonts w:hint="eastAsia"/>
          <w:color w:val="000000" w:themeColor="text1"/>
          <w:lang w:eastAsia="zh-CN"/>
          <w14:textFill>
            <w14:solidFill>
              <w14:schemeClr w14:val="tx1"/>
            </w14:solidFill>
          </w14:textFill>
        </w:rPr>
        <w:t>法律法规</w:t>
      </w:r>
      <w:r>
        <w:rPr>
          <w:color w:val="000000" w:themeColor="text1"/>
          <w14:textFill>
            <w14:solidFill>
              <w14:schemeClr w14:val="tx1"/>
            </w14:solidFill>
          </w14:textFill>
        </w:rPr>
        <w:t>、标准、规范和行业标准的要求。</w:t>
      </w:r>
    </w:p>
    <w:p w14:paraId="5AF9945B">
      <w:pPr>
        <w:pStyle w:val="3"/>
        <w:bidi w:val="0"/>
        <w:rPr>
          <w:rFonts w:hint="eastAsia"/>
          <w:color w:val="000000" w:themeColor="text1"/>
          <w14:textFill>
            <w14:solidFill>
              <w14:schemeClr w14:val="tx1"/>
            </w14:solidFill>
          </w14:textFill>
        </w:rPr>
      </w:pPr>
      <w:bookmarkStart w:id="362" w:name="_Toc5799"/>
      <w:bookmarkStart w:id="363" w:name="_Toc29990"/>
      <w:bookmarkStart w:id="364" w:name="_Toc17573"/>
      <w:r>
        <w:rPr>
          <w:rFonts w:hint="eastAsia"/>
          <w:color w:val="000000" w:themeColor="text1"/>
          <w14:textFill>
            <w14:solidFill>
              <w14:schemeClr w14:val="tx1"/>
            </w14:solidFill>
          </w14:textFill>
        </w:rPr>
        <w:t>安全对策措施建议</w:t>
      </w:r>
      <w:bookmarkEnd w:id="362"/>
      <w:bookmarkEnd w:id="363"/>
      <w:bookmarkEnd w:id="364"/>
    </w:p>
    <w:p w14:paraId="634F6DCD">
      <w:pPr>
        <w:pStyle w:val="4"/>
        <w:bidi w:val="0"/>
        <w:rPr>
          <w:rFonts w:hint="eastAsia"/>
          <w:color w:val="000000" w:themeColor="text1"/>
          <w14:textFill>
            <w14:solidFill>
              <w14:schemeClr w14:val="tx1"/>
            </w14:solidFill>
          </w14:textFill>
        </w:rPr>
      </w:pPr>
      <w:bookmarkStart w:id="365" w:name="_Toc7175"/>
      <w:bookmarkStart w:id="366" w:name="_Toc24523"/>
      <w:r>
        <w:rPr>
          <w:rFonts w:hint="eastAsia"/>
          <w:color w:val="000000" w:themeColor="text1"/>
          <w14:textFill>
            <w14:solidFill>
              <w14:schemeClr w14:val="tx1"/>
            </w14:solidFill>
          </w14:textFill>
        </w:rPr>
        <w:t>安全技术对策措施</w:t>
      </w:r>
      <w:bookmarkEnd w:id="365"/>
      <w:bookmarkEnd w:id="366"/>
    </w:p>
    <w:p w14:paraId="2FEC848F">
      <w:pPr>
        <w:keepNext w:val="0"/>
        <w:keepLines w:val="0"/>
        <w:pageBreakBefore w:val="0"/>
        <w:widowControl w:val="0"/>
        <w:numPr>
          <w:ilvl w:val="0"/>
          <w:numId w:val="60"/>
        </w:numPr>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本光伏项目占地面积较大、设施布置分散，站区与外界采用围栏 隔离，无人值守，要定期检查消防器材，确保有效。加强日常视频监控管 理，保障场区安全。</w:t>
      </w:r>
    </w:p>
    <w:p w14:paraId="520624E9">
      <w:pPr>
        <w:keepNext w:val="0"/>
        <w:keepLines w:val="0"/>
        <w:pageBreakBefore w:val="0"/>
        <w:widowControl w:val="0"/>
        <w:numPr>
          <w:ilvl w:val="0"/>
          <w:numId w:val="60"/>
        </w:numPr>
        <w:kinsoku/>
        <w:wordWrap/>
        <w:overflowPunct/>
        <w:topLinePunct w:val="0"/>
        <w:autoSpaceDE/>
        <w:autoSpaceDN/>
        <w:bidi w:val="0"/>
        <w:adjustRightInd/>
        <w:snapToGrid/>
        <w:spacing w:line="500" w:lineRule="exact"/>
        <w:ind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及时清除光伏组件周围杂草和低矮灌木，防止遮挡光伏组件光线 和防止火灾发生。</w:t>
      </w:r>
    </w:p>
    <w:p w14:paraId="30B4F662">
      <w:pPr>
        <w:keepNext w:val="0"/>
        <w:keepLines w:val="0"/>
        <w:pageBreakBefore w:val="0"/>
        <w:widowControl w:val="0"/>
        <w:numPr>
          <w:ilvl w:val="0"/>
          <w:numId w:val="60"/>
        </w:numPr>
        <w:kinsoku/>
        <w:wordWrap/>
        <w:overflowPunct/>
        <w:topLinePunct w:val="0"/>
        <w:autoSpaceDE/>
        <w:autoSpaceDN/>
        <w:bidi w:val="0"/>
        <w:adjustRightInd/>
        <w:snapToGrid/>
        <w:spacing w:line="500" w:lineRule="exact"/>
        <w:ind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加强对光伏场区基础、支架、设施设备、集电电缆、场内道路、 防护围栏等的巡视检查。大风、暴雨后应专项检查光伏组件是否有松动、 脱落的连接，并重点巡查支架及基础、基础所在山体。</w:t>
      </w:r>
    </w:p>
    <w:p w14:paraId="4C985825">
      <w:pPr>
        <w:keepNext w:val="0"/>
        <w:keepLines w:val="0"/>
        <w:pageBreakBefore w:val="0"/>
        <w:widowControl w:val="0"/>
        <w:numPr>
          <w:ilvl w:val="0"/>
          <w:numId w:val="60"/>
        </w:numPr>
        <w:kinsoku/>
        <w:wordWrap/>
        <w:overflowPunct/>
        <w:topLinePunct w:val="0"/>
        <w:autoSpaceDE/>
        <w:autoSpaceDN/>
        <w:bidi w:val="0"/>
        <w:adjustRightInd/>
        <w:snapToGrid/>
        <w:spacing w:line="500" w:lineRule="exact"/>
        <w:ind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加强雨季地质灾害管理，要及时对光伏方阵区排水沟进行清理、</w:t>
      </w:r>
    </w:p>
    <w:p w14:paraId="477BF8EF">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检修，确保排水工程畅通。加强雨季地质灾害严重区域边坡的治理</w:t>
      </w:r>
      <w:r>
        <w:rPr>
          <w:rFonts w:hint="eastAsia"/>
          <w:color w:val="000000" w:themeColor="text1"/>
          <w:lang w:eastAsia="zh-CN"/>
          <w14:textFill>
            <w14:solidFill>
              <w14:schemeClr w14:val="tx1"/>
            </w14:solidFill>
          </w14:textFill>
        </w:rPr>
        <w:t>。</w:t>
      </w:r>
    </w:p>
    <w:p w14:paraId="6E681790">
      <w:pPr>
        <w:keepNext w:val="0"/>
        <w:keepLines w:val="0"/>
        <w:pageBreakBefore w:val="0"/>
        <w:widowControl w:val="0"/>
        <w:numPr>
          <w:ilvl w:val="0"/>
          <w:numId w:val="60"/>
        </w:numPr>
        <w:kinsoku/>
        <w:wordWrap/>
        <w:overflowPunct/>
        <w:topLinePunct w:val="0"/>
        <w:autoSpaceDE/>
        <w:autoSpaceDN/>
        <w:bidi w:val="0"/>
        <w:adjustRightInd/>
        <w:snapToGrid/>
        <w:spacing w:line="500" w:lineRule="exact"/>
        <w:ind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光伏组件的光电参数，应不定期按照有关方法进行检测，发现问 题及时解除更换。</w:t>
      </w:r>
    </w:p>
    <w:p w14:paraId="5237CC26">
      <w:pPr>
        <w:keepNext w:val="0"/>
        <w:keepLines w:val="0"/>
        <w:pageBreakBefore w:val="0"/>
        <w:widowControl w:val="0"/>
        <w:numPr>
          <w:ilvl w:val="0"/>
          <w:numId w:val="60"/>
        </w:numPr>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适时开展太阳能光伏组件的运行维护、灰尘清洗。</w:t>
      </w:r>
    </w:p>
    <w:p w14:paraId="6A066042">
      <w:pPr>
        <w:keepNext w:val="0"/>
        <w:keepLines w:val="0"/>
        <w:pageBreakBefore w:val="0"/>
        <w:widowControl w:val="0"/>
        <w:numPr>
          <w:ilvl w:val="0"/>
          <w:numId w:val="60"/>
        </w:numPr>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电力设备应按国家和行业标准有关试验规程的项目、标准和期限 进行预防性试验，防止设备故障发生人身伤亡事故。</w:t>
      </w:r>
    </w:p>
    <w:p w14:paraId="76F82FC5">
      <w:pPr>
        <w:keepNext w:val="0"/>
        <w:keepLines w:val="0"/>
        <w:pageBreakBefore w:val="0"/>
        <w:widowControl w:val="0"/>
        <w:numPr>
          <w:ilvl w:val="0"/>
          <w:numId w:val="60"/>
        </w:numPr>
        <w:kinsoku/>
        <w:wordWrap/>
        <w:overflowPunct/>
        <w:topLinePunct w:val="0"/>
        <w:autoSpaceDE/>
        <w:autoSpaceDN/>
        <w:bidi w:val="0"/>
        <w:adjustRightInd/>
        <w:snapToGrid/>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定期对变压器油样作油色谱分析，及时更换不合格的变压器油。</w:t>
      </w:r>
    </w:p>
    <w:p w14:paraId="37264EE8">
      <w:pPr>
        <w:pStyle w:val="4"/>
        <w:bidi w:val="0"/>
        <w:rPr>
          <w:rFonts w:hint="eastAsia"/>
          <w:color w:val="000000" w:themeColor="text1"/>
          <w14:textFill>
            <w14:solidFill>
              <w14:schemeClr w14:val="tx1"/>
            </w14:solidFill>
          </w14:textFill>
        </w:rPr>
      </w:pPr>
      <w:bookmarkStart w:id="367" w:name="_Toc10690"/>
      <w:bookmarkStart w:id="368" w:name="_Toc18162"/>
      <w:r>
        <w:rPr>
          <w:rFonts w:hint="eastAsia"/>
          <w:color w:val="000000" w:themeColor="text1"/>
          <w14:textFill>
            <w14:solidFill>
              <w14:schemeClr w14:val="tx1"/>
            </w14:solidFill>
          </w14:textFill>
        </w:rPr>
        <w:t>安全管理对策措施</w:t>
      </w:r>
      <w:bookmarkEnd w:id="367"/>
      <w:bookmarkEnd w:id="368"/>
    </w:p>
    <w:p w14:paraId="11B432D1">
      <w:pPr>
        <w:numPr>
          <w:ilvl w:val="0"/>
          <w:numId w:val="61"/>
        </w:num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根据《中华人民共和国安全生产法》第</w:t>
      </w:r>
      <w:r>
        <w:rPr>
          <w:rFonts w:hint="eastAsia"/>
          <w:color w:val="000000" w:themeColor="text1"/>
          <w:lang w:val="en-US" w:eastAsia="zh-CN"/>
          <w14:textFill>
            <w14:solidFill>
              <w14:schemeClr w14:val="tx1"/>
            </w14:solidFill>
          </w14:textFill>
        </w:rPr>
        <w:t>二十一</w:t>
      </w:r>
      <w:r>
        <w:rPr>
          <w:rFonts w:hint="eastAsia"/>
          <w:color w:val="000000" w:themeColor="text1"/>
          <w14:textFill>
            <w14:solidFill>
              <w14:schemeClr w14:val="tx1"/>
            </w14:solidFill>
          </w14:textFill>
        </w:rPr>
        <w:t>条要求，主要负责人应结合电站实际</w:t>
      </w:r>
      <w:r>
        <w:rPr>
          <w:rFonts w:hint="eastAsia"/>
          <w:color w:val="000000" w:themeColor="text1"/>
          <w:lang w:val="en-US" w:eastAsia="zh-CN"/>
          <w14:textFill>
            <w14:solidFill>
              <w14:schemeClr w14:val="tx1"/>
            </w14:solidFill>
          </w14:textFill>
        </w:rPr>
        <w:t>情况，</w:t>
      </w:r>
      <w:r>
        <w:rPr>
          <w:rFonts w:hint="eastAsia"/>
          <w:color w:val="000000" w:themeColor="text1"/>
          <w14:textFill>
            <w14:solidFill>
              <w14:schemeClr w14:val="tx1"/>
            </w14:solidFill>
          </w14:textFill>
        </w:rPr>
        <w:t>建立、健全安全生产责任制</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加强安全生产标准化建设。</w:t>
      </w:r>
    </w:p>
    <w:p w14:paraId="01613674">
      <w:pPr>
        <w:numPr>
          <w:ilvl w:val="0"/>
          <w:numId w:val="61"/>
        </w:num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w:t>
      </w:r>
      <w:r>
        <w:rPr>
          <w:color w:val="000000" w:themeColor="text1"/>
          <w14:textFill>
            <w14:solidFill>
              <w14:schemeClr w14:val="tx1"/>
            </w14:solidFill>
          </w14:textFill>
        </w:rPr>
        <w:t>《中华人民共和国安全生产法》</w:t>
      </w:r>
      <w:r>
        <w:rPr>
          <w:rFonts w:hint="eastAsia"/>
          <w:color w:val="000000" w:themeColor="text1"/>
          <w14:textFill>
            <w14:solidFill>
              <w14:schemeClr w14:val="tx1"/>
            </w14:solidFill>
          </w14:textFill>
        </w:rPr>
        <w:t>第</w:t>
      </w:r>
      <w:r>
        <w:rPr>
          <w:rFonts w:hint="eastAsia"/>
          <w:color w:val="000000" w:themeColor="text1"/>
          <w:lang w:val="en-US" w:eastAsia="zh-CN"/>
          <w14:textFill>
            <w14:solidFill>
              <w14:schemeClr w14:val="tx1"/>
            </w14:solidFill>
          </w14:textFill>
        </w:rPr>
        <w:t>二十一</w:t>
      </w:r>
      <w:r>
        <w:rPr>
          <w:rFonts w:hint="eastAsia"/>
          <w:color w:val="000000" w:themeColor="text1"/>
          <w14:textFill>
            <w14:solidFill>
              <w14:schemeClr w14:val="tx1"/>
            </w14:solidFill>
          </w14:textFill>
        </w:rPr>
        <w:t>条</w:t>
      </w:r>
      <w:r>
        <w:rPr>
          <w:rFonts w:hint="eastAsia"/>
          <w:color w:val="000000" w:themeColor="text1"/>
          <w:lang w:val="en-US" w:eastAsia="zh-CN"/>
          <w14:textFill>
            <w14:solidFill>
              <w14:schemeClr w14:val="tx1"/>
            </w14:solidFill>
          </w14:textFill>
        </w:rPr>
        <w:t>和</w:t>
      </w:r>
      <w:r>
        <w:rPr>
          <w:rFonts w:hint="eastAsia"/>
          <w:color w:val="000000" w:themeColor="text1"/>
          <w14:textFill>
            <w14:solidFill>
              <w14:schemeClr w14:val="tx1"/>
            </w14:solidFill>
          </w14:textFill>
        </w:rPr>
        <w:t>《企业安全生产费用提取和使用管理办法》</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财资〔2022〕136号</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的要求</w:t>
      </w:r>
      <w:r>
        <w:rPr>
          <w:rFonts w:hint="eastAsia"/>
          <w:color w:val="000000" w:themeColor="text1"/>
          <w14:textFill>
            <w14:solidFill>
              <w14:schemeClr w14:val="tx1"/>
            </w14:solidFill>
          </w14:textFill>
        </w:rPr>
        <w:t>，企业应制定年度安全生产技术措施经费提取和使用计划，</w:t>
      </w:r>
      <w:r>
        <w:rPr>
          <w:rFonts w:hint="eastAsia"/>
          <w:color w:val="000000" w:themeColor="text1"/>
          <w:lang w:val="en-US" w:eastAsia="zh-CN"/>
          <w14:textFill>
            <w14:solidFill>
              <w14:schemeClr w14:val="tx1"/>
            </w14:solidFill>
          </w14:textFill>
        </w:rPr>
        <w:t>按</w:t>
      </w:r>
      <w:r>
        <w:rPr>
          <w:rFonts w:hint="eastAsia"/>
          <w:color w:val="000000" w:themeColor="text1"/>
          <w14:textFill>
            <w14:solidFill>
              <w14:schemeClr w14:val="tx1"/>
            </w14:solidFill>
          </w14:textFill>
        </w:rPr>
        <w:t>标准提取安全生产费用，专门用于完善和改进企业或者项目安全生产条件，并保障专款专用</w:t>
      </w:r>
      <w:r>
        <w:rPr>
          <w:rFonts w:hint="eastAsia"/>
          <w:color w:val="000000" w:themeColor="text1"/>
          <w:lang w:eastAsia="zh-CN"/>
          <w14:textFill>
            <w14:solidFill>
              <w14:schemeClr w14:val="tx1"/>
            </w14:solidFill>
          </w14:textFill>
        </w:rPr>
        <w:t>。</w:t>
      </w:r>
    </w:p>
    <w:p w14:paraId="2248A9C4">
      <w:pPr>
        <w:numPr>
          <w:ilvl w:val="0"/>
          <w:numId w:val="61"/>
        </w:numPr>
        <w:bidi w:val="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w:t>
      </w:r>
      <w:r>
        <w:rPr>
          <w:rFonts w:hint="eastAsia"/>
          <w:color w:val="000000" w:themeColor="text1"/>
          <w14:textFill>
            <w14:solidFill>
              <w14:schemeClr w14:val="tx1"/>
            </w14:solidFill>
          </w14:textFill>
        </w:rPr>
        <w:t>《电力可靠性管理办法（暂行）》第二十二条</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企业</w:t>
      </w:r>
      <w:r>
        <w:rPr>
          <w:rFonts w:hint="eastAsia"/>
          <w:color w:val="000000" w:themeColor="text1"/>
          <w14:textFill>
            <w14:solidFill>
              <w14:schemeClr w14:val="tx1"/>
            </w14:solidFill>
          </w14:textFill>
        </w:rPr>
        <w:t>应当建立发电设备分级管理制度，完善事故预警机制，构建设备标准化管理流程。基于可靠性信息，建立动态优化的设备运行、检修和缺陷管理体系，定期评估影响机组可靠性的风险因素，掌握设备状态、特性和运行规律，发挥对机组运行维护的指导作用</w:t>
      </w:r>
      <w:r>
        <w:rPr>
          <w:rFonts w:hint="eastAsia"/>
          <w:color w:val="000000" w:themeColor="text1"/>
          <w:lang w:eastAsia="zh-CN"/>
          <w14:textFill>
            <w14:solidFill>
              <w14:schemeClr w14:val="tx1"/>
            </w14:solidFill>
          </w14:textFill>
        </w:rPr>
        <w:t>。</w:t>
      </w:r>
    </w:p>
    <w:p w14:paraId="3193F4A5">
      <w:pPr>
        <w:numPr>
          <w:ilvl w:val="0"/>
          <w:numId w:val="61"/>
        </w:num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根据本单位的事故风险特点，每年至少组织一次综合应急预案演练或者专项应急预案演练，每半年至少组织一次现场处置方案演练；</w:t>
      </w:r>
    </w:p>
    <w:p w14:paraId="2CC8C407">
      <w:pPr>
        <w:numPr>
          <w:ilvl w:val="0"/>
          <w:numId w:val="61"/>
        </w:num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中华人民共和国安全生产法》第三十八条，生产经营单位应当根据《生产安全事故隐患排查治理制度》，采取技术、管理措施，及时发现并消除事故隐患。事故隐患排查治理情况应当如实记录，并向从业人员通报。</w:t>
      </w:r>
    </w:p>
    <w:p w14:paraId="2EA58CE0">
      <w:pPr>
        <w:numPr>
          <w:ilvl w:val="0"/>
          <w:numId w:val="61"/>
        </w:numPr>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企业在后期生产运行中，应认真贯彻落实省、市、区人民政府和负有安全生产监督管理职责的部门下发的有关光伏电站的各项安全生产意见、办法，以确保企业具备应当满足的安全生产基本条件。</w:t>
      </w:r>
    </w:p>
    <w:p w14:paraId="7BDF9070">
      <w:pPr>
        <w:pStyle w:val="4"/>
        <w:bidi w:val="0"/>
        <w:rPr>
          <w:rFonts w:hint="eastAsia"/>
          <w:color w:val="000000" w:themeColor="text1"/>
          <w14:textFill>
            <w14:solidFill>
              <w14:schemeClr w14:val="tx1"/>
            </w14:solidFill>
          </w14:textFill>
        </w:rPr>
      </w:pPr>
      <w:bookmarkStart w:id="369" w:name="_Toc14618"/>
      <w:bookmarkStart w:id="370" w:name="_Toc20349"/>
      <w:r>
        <w:rPr>
          <w:rFonts w:hint="eastAsia"/>
          <w:color w:val="000000" w:themeColor="text1"/>
          <w14:textFill>
            <w14:solidFill>
              <w14:schemeClr w14:val="tx1"/>
            </w14:solidFill>
          </w14:textFill>
        </w:rPr>
        <w:t>其它对策措施建议</w:t>
      </w:r>
      <w:bookmarkEnd w:id="369"/>
      <w:bookmarkEnd w:id="370"/>
    </w:p>
    <w:p w14:paraId="6674C65D">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对光伏方阵区排水沟进行适时的清理、检修，确保排水工程畅通。</w:t>
      </w:r>
    </w:p>
    <w:p w14:paraId="4E99AFB6">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加强安全工器具的管理工作，安全工器具要注意配备是否操作合适，检验周期应分开，避免同一个安全工器具同时送检的情况。</w:t>
      </w:r>
    </w:p>
    <w:p w14:paraId="5A4120FB">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定期对</w:t>
      </w:r>
      <w:r>
        <w:rPr>
          <w:rFonts w:hint="eastAsia"/>
          <w:color w:val="000000" w:themeColor="text1"/>
          <w:lang w:val="en-US" w:eastAsia="zh-CN"/>
          <w14:textFill>
            <w14:solidFill>
              <w14:schemeClr w14:val="tx1"/>
            </w14:solidFill>
          </w14:textFill>
        </w:rPr>
        <w:t>变压器</w:t>
      </w:r>
      <w:r>
        <w:rPr>
          <w:rFonts w:hint="eastAsia"/>
          <w:color w:val="000000" w:themeColor="text1"/>
          <w14:textFill>
            <w14:solidFill>
              <w14:schemeClr w14:val="tx1"/>
            </w14:solidFill>
          </w14:textFill>
        </w:rPr>
        <w:t>油样作油色谱分析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及时更换不合格的变压器油</w:t>
      </w:r>
      <w:r>
        <w:rPr>
          <w:rFonts w:hint="eastAsia"/>
          <w:color w:val="000000" w:themeColor="text1"/>
          <w14:textFill>
            <w14:solidFill>
              <w14:schemeClr w14:val="tx1"/>
            </w14:solidFill>
          </w14:textFill>
        </w:rPr>
        <w:t>。</w:t>
      </w:r>
    </w:p>
    <w:p w14:paraId="6881B524">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加强光伏支架的巡视检查，是否有松动、脱落的连接，尤其大风、暴雨后作专项检查，发现隐患及时处理。</w:t>
      </w:r>
    </w:p>
    <w:p w14:paraId="5AFB0434">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运行中应定期对设备进行定期维护、维修和保养，发现损坏、老化零件及时更换，出现问题及时处理，以保证满足安全运行。</w:t>
      </w:r>
    </w:p>
    <w:p w14:paraId="309B1274">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本项目管理范围大，包括</w:t>
      </w:r>
      <w:r>
        <w:rPr>
          <w:rFonts w:hint="eastAsia"/>
          <w:color w:val="000000" w:themeColor="text1"/>
          <w:lang w:val="en-US" w:eastAsia="zh-CN"/>
          <w14:textFill>
            <w14:solidFill>
              <w14:schemeClr w14:val="tx1"/>
            </w14:solidFill>
          </w14:textFill>
        </w:rPr>
        <w:t>多个</w:t>
      </w:r>
      <w:r>
        <w:rPr>
          <w:rFonts w:hint="eastAsia"/>
          <w:color w:val="000000" w:themeColor="text1"/>
          <w14:textFill>
            <w14:solidFill>
              <w14:schemeClr w14:val="tx1"/>
            </w14:solidFill>
          </w14:textFill>
        </w:rPr>
        <w:t>光伏方阵、开关站等，火灾会影响本项目的安全运行，建议成立义务消防队，并加强与</w:t>
      </w:r>
      <w:r>
        <w:rPr>
          <w:rFonts w:hint="eastAsia"/>
          <w:color w:val="000000" w:themeColor="text1"/>
          <w:lang w:val="en-US" w:eastAsia="zh-CN"/>
          <w14:textFill>
            <w14:solidFill>
              <w14:schemeClr w14:val="tx1"/>
            </w14:solidFill>
          </w14:textFill>
        </w:rPr>
        <w:t>地方森林防火、</w:t>
      </w:r>
      <w:r>
        <w:rPr>
          <w:rFonts w:hint="eastAsia"/>
          <w:color w:val="000000" w:themeColor="text1"/>
          <w14:textFill>
            <w14:solidFill>
              <w14:schemeClr w14:val="tx1"/>
            </w14:solidFill>
          </w14:textFill>
        </w:rPr>
        <w:t>消防</w:t>
      </w:r>
      <w:r>
        <w:rPr>
          <w:rFonts w:hint="eastAsia"/>
          <w:color w:val="000000" w:themeColor="text1"/>
          <w:lang w:val="en-US" w:eastAsia="zh-CN"/>
          <w14:textFill>
            <w14:solidFill>
              <w14:schemeClr w14:val="tx1"/>
            </w14:solidFill>
          </w14:textFill>
        </w:rPr>
        <w:t>等</w:t>
      </w:r>
      <w:r>
        <w:rPr>
          <w:rFonts w:hint="eastAsia"/>
          <w:color w:val="000000" w:themeColor="text1"/>
          <w14:textFill>
            <w14:solidFill>
              <w14:schemeClr w14:val="tx1"/>
            </w14:solidFill>
          </w14:textFill>
        </w:rPr>
        <w:t>部门的</w:t>
      </w:r>
      <w:r>
        <w:rPr>
          <w:rFonts w:hint="eastAsia"/>
          <w:color w:val="000000" w:themeColor="text1"/>
          <w:lang w:val="en-US" w:eastAsia="zh-CN"/>
          <w14:textFill>
            <w14:solidFill>
              <w14:schemeClr w14:val="tx1"/>
            </w14:solidFill>
          </w14:textFill>
        </w:rPr>
        <w:t>密切</w:t>
      </w:r>
      <w:r>
        <w:rPr>
          <w:rFonts w:hint="eastAsia"/>
          <w:color w:val="000000" w:themeColor="text1"/>
          <w14:textFill>
            <w14:solidFill>
              <w14:schemeClr w14:val="tx1"/>
            </w14:solidFill>
          </w14:textFill>
        </w:rPr>
        <w:t>联系。</w:t>
      </w:r>
    </w:p>
    <w:p w14:paraId="06D78A9D">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发电生产设备（一次设备、二次设备）应按国家和行业标准有关试验规程的项目、标准和期限作预防性试验，防止设备故障发生人身伤亡事故。</w:t>
      </w:r>
    </w:p>
    <w:p w14:paraId="5D688166">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color w:val="000000" w:themeColor="text1"/>
          <w14:textFill>
            <w14:solidFill>
              <w14:schemeClr w14:val="tx1"/>
            </w14:solidFill>
          </w14:textFill>
        </w:rPr>
        <w:t>安全标志牌每半年至少检查一次，如发现有破损、变形、褪色等不符合要求时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应及时修整或更换</w:t>
      </w:r>
      <w:r>
        <w:rPr>
          <w:rFonts w:hint="eastAsia"/>
          <w:color w:val="000000" w:themeColor="text1"/>
          <w14:textFill>
            <w14:solidFill>
              <w14:schemeClr w14:val="tx1"/>
            </w14:solidFill>
          </w14:textFill>
        </w:rPr>
        <w:t>。</w:t>
      </w:r>
    </w:p>
    <w:p w14:paraId="682E6547">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根据《关于深入开展电力安全生产标准化工作的指导意见》（电监安全〔2011〕21号）和《关于印发发电企业安全生产标准化规范及达标评级标准的通知》（电监安全〔2011〕23号），</w:t>
      </w:r>
      <w:r>
        <w:rPr>
          <w:rFonts w:hint="eastAsia"/>
          <w:color w:val="000000" w:themeColor="text1"/>
          <w:lang w:eastAsia="zh-CN"/>
          <w14:textFill>
            <w14:solidFill>
              <w14:schemeClr w14:val="tx1"/>
            </w14:solidFill>
          </w14:textFill>
        </w:rPr>
        <w:t>开展</w:t>
      </w:r>
      <w:r>
        <w:rPr>
          <w:rFonts w:hint="eastAsia"/>
          <w:color w:val="000000" w:themeColor="text1"/>
          <w14:textFill>
            <w14:solidFill>
              <w14:schemeClr w14:val="tx1"/>
            </w14:solidFill>
          </w14:textFill>
        </w:rPr>
        <w:t>电站安全生产标准化达标</w:t>
      </w:r>
      <w:r>
        <w:rPr>
          <w:rFonts w:hint="eastAsia"/>
          <w:color w:val="000000" w:themeColor="text1"/>
          <w:lang w:eastAsia="zh-CN"/>
          <w14:textFill>
            <w14:solidFill>
              <w14:schemeClr w14:val="tx1"/>
            </w14:solidFill>
          </w14:textFill>
        </w:rPr>
        <w:t>创建</w:t>
      </w:r>
      <w:r>
        <w:rPr>
          <w:rFonts w:hint="eastAsia"/>
          <w:color w:val="000000" w:themeColor="text1"/>
          <w14:textFill>
            <w14:solidFill>
              <w14:schemeClr w14:val="tx1"/>
            </w14:solidFill>
          </w14:textFill>
        </w:rPr>
        <w:t>工作。</w:t>
      </w:r>
    </w:p>
    <w:p w14:paraId="0B5A205A">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000000" w:themeColor="text1"/>
          <w14:textFill>
            <w14:solidFill>
              <w14:schemeClr w14:val="tx1"/>
            </w14:solidFill>
          </w14:textFill>
        </w:rPr>
      </w:pPr>
      <w:r>
        <w:rPr>
          <w:rFonts w:hint="eastAsia"/>
          <w:color w:val="4874CB" w:themeColor="accent1"/>
          <w:lang w:val="en-US" w:eastAsia="zh-CN"/>
          <w14:textFill>
            <w14:solidFill>
              <w14:schemeClr w14:val="accent1"/>
            </w14:solidFill>
          </w14:textFill>
        </w:rPr>
        <w:t>本项目主要建筑物为太阳能电池板区域配置一套图像监视及公共报警系统，对光伏电站主要电气设备、关键设备安装地点以及周围环境进行全天侯的图像监视，以满足电力系统安全生产所需的监视设备关键部位的要求，同时，该系统可实现变电站安全警卫的要求，一旦有人入侵或发生火灾能马上发生报警</w:t>
      </w:r>
      <w:r>
        <w:rPr>
          <w:rFonts w:hint="eastAsia"/>
          <w:color w:val="000000" w:themeColor="text1"/>
          <w:lang w:val="en-US" w:eastAsia="zh-CN"/>
          <w14:textFill>
            <w14:solidFill>
              <w14:schemeClr w14:val="tx1"/>
            </w14:solidFill>
          </w14:textFill>
        </w:rPr>
        <w:t>。</w:t>
      </w:r>
    </w:p>
    <w:p w14:paraId="7017EB06">
      <w:pPr>
        <w:keepNext w:val="0"/>
        <w:keepLines w:val="0"/>
        <w:pageBreakBefore w:val="0"/>
        <w:widowControl w:val="0"/>
        <w:numPr>
          <w:ilvl w:val="0"/>
          <w:numId w:val="62"/>
        </w:numPr>
        <w:kinsoku/>
        <w:wordWrap/>
        <w:overflowPunct/>
        <w:topLinePunct w:val="0"/>
        <w:autoSpaceDE/>
        <w:autoSpaceDN/>
        <w:bidi w:val="0"/>
        <w:adjustRightInd/>
        <w:snapToGrid/>
        <w:ind w:left="0" w:leftChars="0" w:firstLine="560" w:firstLineChars="200"/>
        <w:textAlignment w:val="auto"/>
        <w:outlineLvl w:val="9"/>
        <w:rPr>
          <w:rFonts w:hint="eastAsia"/>
          <w:color w:val="4874CB" w:themeColor="accent1"/>
          <w:lang w:val="en-US" w:eastAsia="zh-CN"/>
          <w14:textFill>
            <w14:solidFill>
              <w14:schemeClr w14:val="accent1"/>
            </w14:solidFill>
          </w14:textFill>
        </w:rPr>
        <w:sectPr>
          <w:headerReference r:id="rId13" w:type="default"/>
          <w:footerReference r:id="rId14" w:type="default"/>
          <w:pgSz w:w="11906" w:h="16838"/>
          <w:pgMar w:top="1417" w:right="1417" w:bottom="1417" w:left="1587" w:header="851" w:footer="992" w:gutter="0"/>
          <w:pgNumType w:fmt="decimal"/>
          <w:cols w:space="0" w:num="1"/>
          <w:rtlGutter w:val="0"/>
          <w:docGrid w:linePitch="312" w:charSpace="0"/>
        </w:sectPr>
      </w:pPr>
      <w:r>
        <w:rPr>
          <w:rFonts w:hint="eastAsia"/>
          <w:color w:val="4874CB" w:themeColor="accent1"/>
          <w:lang w:val="en-US" w:eastAsia="zh-CN"/>
          <w14:textFill>
            <w14:solidFill>
              <w14:schemeClr w14:val="accent1"/>
            </w14:solidFill>
          </w14:textFill>
        </w:rPr>
        <w:t>光伏区建议采用无人机进行巡检，做好巡检记录。</w:t>
      </w:r>
    </w:p>
    <w:p w14:paraId="6927F7F7">
      <w:pPr>
        <w:pStyle w:val="2"/>
        <w:bidi w:val="0"/>
        <w:rPr>
          <w:rFonts w:hint="eastAsia"/>
          <w:color w:val="000000" w:themeColor="text1"/>
          <w14:textFill>
            <w14:solidFill>
              <w14:schemeClr w14:val="tx1"/>
            </w14:solidFill>
          </w14:textFill>
        </w:rPr>
      </w:pPr>
      <w:bookmarkStart w:id="371" w:name="_Toc10919"/>
      <w:bookmarkStart w:id="372" w:name="_Toc164155991"/>
      <w:bookmarkStart w:id="373" w:name="_Toc194127806"/>
      <w:bookmarkStart w:id="374" w:name="_Toc25223"/>
      <w:bookmarkStart w:id="375" w:name="_Toc8304"/>
      <w:bookmarkStart w:id="376" w:name="_Toc195424914"/>
      <w:r>
        <w:rPr>
          <w:rFonts w:hint="eastAsia"/>
          <w:color w:val="000000" w:themeColor="text1"/>
          <w14:textFill>
            <w14:solidFill>
              <w14:schemeClr w14:val="tx1"/>
            </w14:solidFill>
          </w14:textFill>
        </w:rPr>
        <w:t>评价结论</w:t>
      </w:r>
      <w:bookmarkEnd w:id="371"/>
      <w:bookmarkEnd w:id="372"/>
      <w:bookmarkEnd w:id="373"/>
      <w:bookmarkEnd w:id="374"/>
      <w:bookmarkEnd w:id="375"/>
      <w:bookmarkEnd w:id="376"/>
    </w:p>
    <w:p w14:paraId="466B7EBF">
      <w:pPr>
        <w:keepNext w:val="0"/>
        <w:keepLines w:val="0"/>
        <w:pageBreakBefore w:val="0"/>
        <w:widowControl w:val="0"/>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昭通市鼎安科技有限公司</w:t>
      </w:r>
      <w:r>
        <w:rPr>
          <w:rFonts w:hint="eastAsia"/>
          <w:color w:val="000000" w:themeColor="text1"/>
          <w14:textFill>
            <w14:solidFill>
              <w14:schemeClr w14:val="tx1"/>
            </w14:solidFill>
          </w14:textFill>
        </w:rPr>
        <w:t>本着合法性、科学性、公正性、针对性的评价原则，根据相关法律法规、标准规范的要求，对</w:t>
      </w:r>
      <w:r>
        <w:rPr>
          <w:rFonts w:hint="eastAsia"/>
          <w:color w:val="000000" w:themeColor="text1"/>
          <w:lang w:eastAsia="zh-CN"/>
          <w14:textFill>
            <w14:solidFill>
              <w14:schemeClr w14:val="tx1"/>
            </w14:solidFill>
          </w14:textFill>
        </w:rPr>
        <w:t>华能澜沧江（景洪）新能源有限公司基诺乡巴卡村洛科新寨光伏电站</w:t>
      </w:r>
      <w:r>
        <w:rPr>
          <w:color w:val="000000" w:themeColor="text1"/>
          <w14:textFill>
            <w14:solidFill>
              <w14:schemeClr w14:val="tx1"/>
            </w14:solidFill>
          </w14:textFill>
        </w:rPr>
        <w:t>总平面布置</w:t>
      </w:r>
      <w:r>
        <w:rPr>
          <w:rFonts w:hint="eastAsia"/>
          <w:color w:val="000000" w:themeColor="text1"/>
          <w14:textFill>
            <w14:solidFill>
              <w14:schemeClr w14:val="tx1"/>
            </w14:solidFill>
          </w14:textFill>
        </w:rPr>
        <w:t>及周边环境</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主要建（构）筑物、主要设备、生产运行、检修、作业场所有害因素等</w:t>
      </w:r>
      <w:r>
        <w:rPr>
          <w:color w:val="000000" w:themeColor="text1"/>
          <w14:textFill>
            <w14:solidFill>
              <w14:schemeClr w14:val="tx1"/>
            </w14:solidFill>
          </w14:textFill>
        </w:rPr>
        <w:t>可能存在的危险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有害因素进行了分析评价，提出了合理可行的安全对策措施</w:t>
      </w:r>
      <w:r>
        <w:rPr>
          <w:rFonts w:hint="eastAsia"/>
          <w:color w:val="000000" w:themeColor="text1"/>
          <w14:textFill>
            <w14:solidFill>
              <w14:schemeClr w14:val="tx1"/>
            </w14:solidFill>
          </w14:textFill>
        </w:rPr>
        <w:t>和</w:t>
      </w:r>
      <w:r>
        <w:rPr>
          <w:color w:val="000000" w:themeColor="text1"/>
          <w14:textFill>
            <w14:solidFill>
              <w14:schemeClr w14:val="tx1"/>
            </w14:solidFill>
          </w14:textFill>
        </w:rPr>
        <w:t>建议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经分析评价，作出如下验收评价结论</w:t>
      </w:r>
      <w:r>
        <w:rPr>
          <w:rFonts w:hint="eastAsia"/>
          <w:color w:val="000000" w:themeColor="text1"/>
          <w14:textFill>
            <w14:solidFill>
              <w14:schemeClr w14:val="tx1"/>
            </w14:solidFill>
          </w14:textFill>
        </w:rPr>
        <w:t>。</w:t>
      </w:r>
    </w:p>
    <w:p w14:paraId="3D138256">
      <w:pPr>
        <w:pStyle w:val="3"/>
        <w:bidi w:val="0"/>
        <w:rPr>
          <w:rFonts w:hint="eastAsia"/>
          <w:color w:val="000000" w:themeColor="text1"/>
          <w14:textFill>
            <w14:solidFill>
              <w14:schemeClr w14:val="tx1"/>
            </w14:solidFill>
          </w14:textFill>
        </w:rPr>
      </w:pPr>
      <w:bookmarkStart w:id="377" w:name="_Toc16975"/>
      <w:bookmarkStart w:id="378" w:name="_Toc27197"/>
      <w:bookmarkStart w:id="379" w:name="_Toc18616"/>
      <w:r>
        <w:rPr>
          <w:rFonts w:hint="eastAsia"/>
          <w:color w:val="000000" w:themeColor="text1"/>
          <w14:textFill>
            <w14:solidFill>
              <w14:schemeClr w14:val="tx1"/>
            </w14:solidFill>
          </w14:textFill>
        </w:rPr>
        <w:t>工程运行中存在的主要危险、有害因素</w:t>
      </w:r>
      <w:bookmarkEnd w:id="377"/>
      <w:bookmarkEnd w:id="378"/>
      <w:bookmarkEnd w:id="379"/>
    </w:p>
    <w:p w14:paraId="1D3E003B">
      <w:pPr>
        <w:pStyle w:val="4"/>
        <w:bidi w:val="0"/>
        <w:rPr>
          <w:rFonts w:hint="eastAsia"/>
          <w:color w:val="000000" w:themeColor="text1"/>
          <w14:textFill>
            <w14:solidFill>
              <w14:schemeClr w14:val="tx1"/>
            </w14:solidFill>
          </w14:textFill>
        </w:rPr>
      </w:pPr>
      <w:bookmarkStart w:id="380" w:name="_Toc10109"/>
      <w:bookmarkStart w:id="381" w:name="_Toc21773"/>
      <w:r>
        <w:rPr>
          <w:rFonts w:hint="eastAsia"/>
          <w:color w:val="000000" w:themeColor="text1"/>
          <w14:textFill>
            <w14:solidFill>
              <w14:schemeClr w14:val="tx1"/>
            </w14:solidFill>
          </w14:textFill>
        </w:rPr>
        <w:t>项目存在的危险、有害因素种类及危害后果</w:t>
      </w:r>
      <w:bookmarkEnd w:id="380"/>
      <w:bookmarkEnd w:id="381"/>
    </w:p>
    <w:p w14:paraId="4DA4CD0F">
      <w:pPr>
        <w:keepNext w:val="0"/>
        <w:keepLines w:val="0"/>
        <w:pageBreakBefore w:val="0"/>
        <w:widowControl w:val="0"/>
        <w:numPr>
          <w:ilvl w:val="0"/>
          <w:numId w:val="63"/>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总体布置、周边环境存在的危险、有害因素种类有：地质危害、人为影响；危害后果为：人员伤害、建筑物及设备损坏。</w:t>
      </w:r>
    </w:p>
    <w:p w14:paraId="33857A99">
      <w:pPr>
        <w:keepNext w:val="0"/>
        <w:keepLines w:val="0"/>
        <w:pageBreakBefore w:val="0"/>
        <w:widowControl w:val="0"/>
        <w:numPr>
          <w:ilvl w:val="0"/>
          <w:numId w:val="63"/>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建（构）筑物存在的危险、有害因素种类有：地震、坍塌、不良地质、施工质量缺陷、安全监测缺陷；危害后果为：人员伤害、建构筑物损坏。</w:t>
      </w:r>
    </w:p>
    <w:p w14:paraId="2F2876D9">
      <w:pPr>
        <w:keepNext w:val="0"/>
        <w:keepLines w:val="0"/>
        <w:pageBreakBefore w:val="0"/>
        <w:widowControl w:val="0"/>
        <w:numPr>
          <w:ilvl w:val="0"/>
          <w:numId w:val="63"/>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主要设备存在的危险、有害因素种类有：火灾、爆炸、触电、雷电、过电压、安全工器具失效、直流系统故障、孤岛运行保护、计算机监控系统故障、并网故障、安全工器具缺陷、热斑效应；危害后果为：人员伤害，设备损坏。</w:t>
      </w:r>
    </w:p>
    <w:p w14:paraId="6DA31C2A">
      <w:pPr>
        <w:keepNext w:val="0"/>
        <w:keepLines w:val="0"/>
        <w:pageBreakBefore w:val="0"/>
        <w:widowControl w:val="0"/>
        <w:numPr>
          <w:ilvl w:val="0"/>
          <w:numId w:val="63"/>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生产过程中存在的危险、有害因素种类有：火灾和爆炸、触电、高处坠落、机械伤害、车辆伤害、过电压、雷电；危害后果为：人员伤害，设备损坏。</w:t>
      </w:r>
    </w:p>
    <w:p w14:paraId="11D02467">
      <w:pPr>
        <w:keepNext w:val="0"/>
        <w:keepLines w:val="0"/>
        <w:pageBreakBefore w:val="0"/>
        <w:widowControl w:val="0"/>
        <w:numPr>
          <w:ilvl w:val="0"/>
          <w:numId w:val="63"/>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作业场所存在的危险、有害因素种类有：噪声、采光照明、工频电场、腐蚀，危害后果为：影响人员健康。</w:t>
      </w:r>
    </w:p>
    <w:p w14:paraId="069710F9">
      <w:pPr>
        <w:pStyle w:val="4"/>
        <w:bidi w:val="0"/>
        <w:rPr>
          <w:rFonts w:hint="eastAsia" w:ascii="宋体" w:hAnsi="宋体"/>
          <w:b/>
          <w:color w:val="000000" w:themeColor="text1"/>
          <w14:textFill>
            <w14:solidFill>
              <w14:schemeClr w14:val="tx1"/>
            </w14:solidFill>
          </w14:textFill>
        </w:rPr>
      </w:pPr>
      <w:bookmarkStart w:id="382" w:name="_Toc24660"/>
      <w:bookmarkStart w:id="383" w:name="_Toc19162"/>
      <w:r>
        <w:rPr>
          <w:rFonts w:hint="eastAsia" w:ascii="宋体" w:hAnsi="宋体"/>
          <w:b/>
          <w:color w:val="000000" w:themeColor="text1"/>
          <w14:textFill>
            <w14:solidFill>
              <w14:schemeClr w14:val="tx1"/>
            </w14:solidFill>
          </w14:textFill>
        </w:rPr>
        <w:t>项目应重点防范的重大事故</w:t>
      </w:r>
      <w:bookmarkEnd w:id="382"/>
      <w:bookmarkEnd w:id="383"/>
    </w:p>
    <w:p w14:paraId="388675DC">
      <w:pPr>
        <w:pStyle w:val="54"/>
        <w:keepNext w:val="0"/>
        <w:keepLines w:val="0"/>
        <w:pageBreakBefore w:val="0"/>
        <w:widowControl w:val="0"/>
        <w:kinsoku/>
        <w:bidi w:val="0"/>
        <w:spacing w:line="360" w:lineRule="auto"/>
        <w:ind w:firstLine="630" w:firstLineChars="225"/>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应重点防范的重大事故：火灾、触电。</w:t>
      </w:r>
    </w:p>
    <w:p w14:paraId="4676583C">
      <w:pPr>
        <w:pStyle w:val="4"/>
        <w:bidi w:val="0"/>
        <w:rPr>
          <w:rFonts w:hint="eastAsia" w:ascii="宋体" w:hAnsi="宋体"/>
          <w:b/>
          <w:color w:val="000000" w:themeColor="text1"/>
          <w14:textFill>
            <w14:solidFill>
              <w14:schemeClr w14:val="tx1"/>
            </w14:solidFill>
          </w14:textFill>
        </w:rPr>
      </w:pPr>
      <w:bookmarkStart w:id="384" w:name="_Toc6579"/>
      <w:bookmarkStart w:id="385" w:name="_Toc23257"/>
      <w:r>
        <w:rPr>
          <w:rFonts w:hint="eastAsia" w:ascii="宋体" w:hAnsi="宋体"/>
          <w:b/>
          <w:color w:val="000000" w:themeColor="text1"/>
          <w14:textFill>
            <w14:solidFill>
              <w14:schemeClr w14:val="tx1"/>
            </w14:solidFill>
          </w14:textFill>
        </w:rPr>
        <w:t>重要的安全对策措施</w:t>
      </w:r>
      <w:bookmarkEnd w:id="384"/>
      <w:bookmarkEnd w:id="385"/>
    </w:p>
    <w:p w14:paraId="1C495B02">
      <w:pPr>
        <w:keepNext w:val="0"/>
        <w:keepLines w:val="0"/>
        <w:pageBreakBefore w:val="0"/>
        <w:widowControl w:val="0"/>
        <w:numPr>
          <w:ilvl w:val="3"/>
          <w:numId w:val="64"/>
        </w:numPr>
        <w:kinsoku/>
        <w:wordWrap/>
        <w:overflowPunct/>
        <w:topLinePunct w:val="0"/>
        <w:autoSpaceDE/>
        <w:autoSpaceDN/>
        <w:bidi w:val="0"/>
        <w:adjustRightInd/>
        <w:snapToGrid/>
        <w:ind w:left="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确保消防器材有效，火灾自动报警系统有效；定期清除光伏场区杂草和低矮灌木，以免遮挡光伏组件光线及发生火灾。</w:t>
      </w:r>
    </w:p>
    <w:p w14:paraId="7DCFA4CE">
      <w:pPr>
        <w:keepNext w:val="0"/>
        <w:keepLines w:val="0"/>
        <w:pageBreakBefore w:val="0"/>
        <w:widowControl w:val="0"/>
        <w:numPr>
          <w:ilvl w:val="3"/>
          <w:numId w:val="64"/>
        </w:numPr>
        <w:kinsoku/>
        <w:wordWrap/>
        <w:overflowPunct/>
        <w:topLinePunct w:val="0"/>
        <w:autoSpaceDE/>
        <w:autoSpaceDN/>
        <w:bidi w:val="0"/>
        <w:adjustRightInd/>
        <w:snapToGrid/>
        <w:ind w:left="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光伏电站场区的防雷接地装置应定期检测，保证防雷接地电阻满足设计和规范要求。</w:t>
      </w:r>
    </w:p>
    <w:p w14:paraId="0F7E6B83">
      <w:pPr>
        <w:keepNext w:val="0"/>
        <w:keepLines w:val="0"/>
        <w:pageBreakBefore w:val="0"/>
        <w:widowControl w:val="0"/>
        <w:numPr>
          <w:ilvl w:val="3"/>
          <w:numId w:val="64"/>
        </w:numPr>
        <w:kinsoku/>
        <w:wordWrap/>
        <w:overflowPunct/>
        <w:topLinePunct w:val="0"/>
        <w:autoSpaceDE/>
        <w:autoSpaceDN/>
        <w:bidi w:val="0"/>
        <w:adjustRightInd/>
        <w:snapToGrid/>
        <w:ind w:left="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应避免无关闲杂人员进入光伏场区，以免误动设备、触电事故的发生；安全工器具应定期检验。</w:t>
      </w:r>
    </w:p>
    <w:p w14:paraId="0FEB1465">
      <w:pPr>
        <w:pStyle w:val="3"/>
        <w:bidi w:val="0"/>
        <w:rPr>
          <w:rFonts w:hint="eastAsia"/>
          <w:color w:val="000000" w:themeColor="text1"/>
          <w14:textFill>
            <w14:solidFill>
              <w14:schemeClr w14:val="tx1"/>
            </w14:solidFill>
          </w14:textFill>
        </w:rPr>
      </w:pPr>
      <w:bookmarkStart w:id="386" w:name="_Toc8603"/>
      <w:bookmarkStart w:id="387" w:name="_Toc8602"/>
      <w:bookmarkStart w:id="388" w:name="_Toc248"/>
      <w:r>
        <w:rPr>
          <w:rFonts w:hint="eastAsia"/>
          <w:color w:val="000000" w:themeColor="text1"/>
          <w14:textFill>
            <w14:solidFill>
              <w14:schemeClr w14:val="tx1"/>
            </w14:solidFill>
          </w14:textFill>
        </w:rPr>
        <w:t>符合性评价的综合评述</w:t>
      </w:r>
      <w:bookmarkEnd w:id="386"/>
      <w:bookmarkEnd w:id="387"/>
      <w:bookmarkEnd w:id="388"/>
    </w:p>
    <w:p w14:paraId="15CAC7BC">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14:textFill>
            <w14:solidFill>
              <w14:schemeClr w14:val="tx1"/>
            </w14:solidFill>
          </w14:textFill>
        </w:rPr>
        <w:t>昭通市鼎安科技有限公司</w:t>
      </w:r>
      <w:r>
        <w:rPr>
          <w:color w:val="000000" w:themeColor="text1"/>
          <w14:textFill>
            <w14:solidFill>
              <w14:schemeClr w14:val="tx1"/>
            </w14:solidFill>
          </w14:textFill>
        </w:rPr>
        <w:t>依据安全评价相关法规，对该建设项目严格按照安全评价过程控制程序，依据各单元主要危险、有害因素辨识、定性定量分析结果、结合该项目建设情况和隐患整改情况得出如下安全设施验收评价综合结论：</w:t>
      </w:r>
    </w:p>
    <w:p w14:paraId="42744D8C">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color w:val="000000" w:themeColor="text1"/>
          <w14:textFill>
            <w14:solidFill>
              <w14:schemeClr w14:val="tx1"/>
            </w14:solidFill>
          </w14:textFill>
        </w:rPr>
        <w:t>在建设过程中，按照国家有关安全生产法律法规及各级安全生产监督管理部门的要求履行了“三同时”建设程序。项目设立经有关部门批准，建设程序符合要求</w:t>
      </w:r>
      <w:r>
        <w:rPr>
          <w:rFonts w:hint="eastAsia"/>
          <w:color w:val="000000" w:themeColor="text1"/>
          <w14:textFill>
            <w14:solidFill>
              <w14:schemeClr w14:val="tx1"/>
            </w14:solidFill>
          </w14:textFill>
        </w:rPr>
        <w:t>。</w:t>
      </w:r>
    </w:p>
    <w:p w14:paraId="0E6093C3">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color w:val="000000" w:themeColor="text1"/>
          <w14:textFill>
            <w14:solidFill>
              <w14:schemeClr w14:val="tx1"/>
            </w14:solidFill>
          </w14:textFill>
        </w:rPr>
        <w:t>所在地的安全条件和周边防护距离符合安全生产的条件，</w:t>
      </w:r>
      <w:r>
        <w:rPr>
          <w:rFonts w:hint="eastAsia"/>
          <w:color w:val="000000" w:themeColor="text1"/>
          <w14:textFill>
            <w14:solidFill>
              <w14:schemeClr w14:val="tx1"/>
            </w14:solidFill>
          </w14:textFill>
        </w:rPr>
        <w:t>工程</w:t>
      </w:r>
      <w:r>
        <w:rPr>
          <w:color w:val="000000" w:themeColor="text1"/>
          <w14:textFill>
            <w14:solidFill>
              <w14:schemeClr w14:val="tx1"/>
            </w14:solidFill>
          </w14:textFill>
        </w:rPr>
        <w:t>总平面布置合理，全面考虑了自然条件、社会环境、安全设施、交通道路等因素，为该光伏电</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安全运行打下了良好的基础</w:t>
      </w:r>
      <w:r>
        <w:rPr>
          <w:rFonts w:hint="eastAsia"/>
          <w:color w:val="000000" w:themeColor="text1"/>
          <w14:textFill>
            <w14:solidFill>
              <w14:schemeClr w14:val="tx1"/>
            </w14:solidFill>
          </w14:textFill>
        </w:rPr>
        <w:t>。</w:t>
      </w:r>
    </w:p>
    <w:p w14:paraId="4D7424FF">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rFonts w:hint="eastAsia"/>
          <w:color w:val="000000" w:themeColor="text1"/>
          <w14:textFill>
            <w14:solidFill>
              <w14:schemeClr w14:val="tx1"/>
            </w14:solidFill>
          </w14:textFill>
        </w:rPr>
        <w:t>为光伏</w:t>
      </w:r>
      <w:r>
        <w:rPr>
          <w:rFonts w:hint="eastAsia"/>
          <w:color w:val="000000" w:themeColor="text1"/>
          <w:lang w:val="en-US" w:eastAsia="zh-CN"/>
          <w14:textFill>
            <w14:solidFill>
              <w14:schemeClr w14:val="tx1"/>
            </w14:solidFill>
          </w14:textFill>
        </w:rPr>
        <w:t>发电项目</w:t>
      </w:r>
      <w:r>
        <w:rPr>
          <w:rFonts w:hint="eastAsia"/>
          <w:color w:val="000000" w:themeColor="text1"/>
          <w14:textFill>
            <w14:solidFill>
              <w14:schemeClr w14:val="tx1"/>
            </w14:solidFill>
          </w14:textFill>
        </w:rPr>
        <w:t>，生产工艺、机电设备操作及维护、检修技术和措施均成熟可靠，自动化程度高。电站针对不良工程地质、防雷、防火防爆、防噪声、防工频电场、防腐蚀、采暖与通风、采光与照明、安全标志、事故疏散通道等方面采取了适当的防护措施。</w:t>
      </w:r>
    </w:p>
    <w:p w14:paraId="3779B90B">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勘察</w:t>
      </w:r>
      <w:r>
        <w:rPr>
          <w:color w:val="000000" w:themeColor="text1"/>
          <w14:textFill>
            <w14:solidFill>
              <w14:schemeClr w14:val="tx1"/>
            </w14:solidFill>
          </w14:textFill>
        </w:rPr>
        <w:t>单位、设计单位、施工单位及监理单位均有相应的资质并在有效期内。安全设施设计中对光伏电</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的安全对策措施在施工中得到了落实</w:t>
      </w:r>
      <w:r>
        <w:rPr>
          <w:rFonts w:hint="eastAsia"/>
          <w:color w:val="000000" w:themeColor="text1"/>
          <w14:textFill>
            <w14:solidFill>
              <w14:schemeClr w14:val="tx1"/>
            </w14:solidFill>
          </w14:textFill>
        </w:rPr>
        <w:t>；光伏电站按设计施工，施工质量经施工单位自检、单位工程验收、</w:t>
      </w:r>
      <w:r>
        <w:rPr>
          <w:rFonts w:hint="eastAsia"/>
          <w:color w:val="000000" w:themeColor="text1"/>
          <w:lang w:eastAsia="zh-CN"/>
          <w14:textFill>
            <w14:solidFill>
              <w14:schemeClr w14:val="tx1"/>
            </w14:solidFill>
          </w14:textFill>
        </w:rPr>
        <w:t>临理单位监督检查合格，</w:t>
      </w:r>
      <w:r>
        <w:rPr>
          <w:rFonts w:hint="eastAsia"/>
          <w:color w:val="000000" w:themeColor="text1"/>
          <w14:textFill>
            <w14:solidFill>
              <w14:schemeClr w14:val="tx1"/>
            </w14:solidFill>
          </w14:textFill>
        </w:rPr>
        <w:t>质量监督单位检查评定合格，施工质量满足设计及规范要求。</w:t>
      </w:r>
    </w:p>
    <w:p w14:paraId="72EF4EB0">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rFonts w:hint="eastAsia"/>
          <w:color w:val="000000" w:themeColor="text1"/>
          <w14:textFill>
            <w14:solidFill>
              <w14:schemeClr w14:val="tx1"/>
            </w14:solidFill>
          </w14:textFill>
        </w:rPr>
        <w:t>安全管理组织机构健全，安全管理人员配备合理，安全管理制度、安全生产责任制健全，制 定了现场运行规程、应急预案，主要负责人、安全管理人员取得了安全管 理资格证，运行人员取得了电工、登高作业等资格证，安全管理工作符合 安全生产管理要求。</w:t>
      </w:r>
    </w:p>
    <w:p w14:paraId="499515BA">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安全管理人员配备合理，安全管理制度、安全生产责任制健全，制定了现场运行规程、应急预案，主要负责</w:t>
      </w:r>
      <w:r>
        <w:rPr>
          <w:rFonts w:hint="eastAsia"/>
          <w:color w:val="000000" w:themeColor="text1"/>
          <w:lang w:val="en-US" w:eastAsia="zh-CN"/>
          <w14:textFill>
            <w14:solidFill>
              <w14:schemeClr w14:val="tx1"/>
            </w14:solidFill>
          </w14:textFill>
        </w:rPr>
        <w:t>人</w:t>
      </w:r>
      <w:r>
        <w:rPr>
          <w:rFonts w:hint="eastAsia"/>
          <w:color w:val="000000" w:themeColor="text1"/>
          <w14:textFill>
            <w14:solidFill>
              <w14:schemeClr w14:val="tx1"/>
            </w14:solidFill>
          </w14:textFill>
        </w:rPr>
        <w:t>、安全管理人员取得了安全管理资格证，运行人员取得了电工、登高作业等资格证，安全管理工作符合安全生产管理要求。</w:t>
      </w:r>
    </w:p>
    <w:p w14:paraId="32FD910F">
      <w:pPr>
        <w:keepNext w:val="0"/>
        <w:keepLines w:val="0"/>
        <w:pageBreakBefore w:val="0"/>
        <w:widowControl w:val="0"/>
        <w:numPr>
          <w:ilvl w:val="0"/>
          <w:numId w:val="65"/>
        </w:numPr>
        <w:kinsoku/>
        <w:bidi w:val="0"/>
        <w:rPr>
          <w:rFonts w:hint="eastAsia"/>
          <w:color w:val="000000" w:themeColor="text1"/>
          <w14:textFill>
            <w14:solidFill>
              <w14:schemeClr w14:val="tx1"/>
            </w14:solidFill>
          </w14:textFill>
        </w:rPr>
      </w:pPr>
      <w:r>
        <w:rPr>
          <w:color w:val="000000" w:themeColor="text1"/>
          <w14:textFill>
            <w14:solidFill>
              <w14:schemeClr w14:val="tx1"/>
            </w14:solidFill>
          </w14:textFill>
        </w:rPr>
        <w:t>试运行期间，安全设施运行正常，安全生产保证系统基本运作有效，未发生生产事故。通过试运行期的检验和对现场调查隐患建议的整改，该项目的危险、有害因素基本得到消除或控制，证明安全生产过程中安全设备设施、对策措施及管理控制是有效的，满足国家安全生产法规、标准和规范的要求。</w:t>
      </w:r>
    </w:p>
    <w:p w14:paraId="2EBCF365">
      <w:pPr>
        <w:keepNext w:val="0"/>
        <w:keepLines w:val="0"/>
        <w:pageBreakBefore w:val="0"/>
        <w:widowControl w:val="0"/>
        <w:numPr>
          <w:ilvl w:val="0"/>
          <w:numId w:val="65"/>
        </w:numPr>
        <w:kinsoku/>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color w:val="000000" w:themeColor="text1"/>
          <w14:textFill>
            <w14:solidFill>
              <w14:schemeClr w14:val="tx1"/>
            </w14:solidFill>
          </w14:textFill>
        </w:rPr>
        <w:t>可能存在的危险有害因素中，</w:t>
      </w:r>
      <w:r>
        <w:rPr>
          <w:rFonts w:hint="eastAsia"/>
          <w:color w:val="000000" w:themeColor="text1"/>
          <w14:textFill>
            <w14:solidFill>
              <w14:schemeClr w14:val="tx1"/>
            </w14:solidFill>
          </w14:textFill>
        </w:rPr>
        <w:t>火灾</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触电</w:t>
      </w:r>
      <w:r>
        <w:rPr>
          <w:color w:val="000000" w:themeColor="text1"/>
          <w14:textFill>
            <w14:solidFill>
              <w14:schemeClr w14:val="tx1"/>
            </w14:solidFill>
          </w14:textFill>
        </w:rPr>
        <w:t>等属于重大危险因素，须特别引起重视，坍塌及滑坡等危险有害因素也需进行重点预防。</w:t>
      </w:r>
    </w:p>
    <w:p w14:paraId="5F9C845C">
      <w:pPr>
        <w:pStyle w:val="3"/>
        <w:bidi w:val="0"/>
        <w:rPr>
          <w:rFonts w:hint="eastAsia"/>
          <w:color w:val="000000" w:themeColor="text1"/>
          <w14:textFill>
            <w14:solidFill>
              <w14:schemeClr w14:val="tx1"/>
            </w14:solidFill>
          </w14:textFill>
        </w:rPr>
      </w:pPr>
      <w:bookmarkStart w:id="389" w:name="_Toc23806"/>
      <w:bookmarkStart w:id="390" w:name="_Toc32081"/>
      <w:bookmarkStart w:id="391" w:name="_Toc164155994"/>
      <w:bookmarkStart w:id="392" w:name="_Toc194127809"/>
      <w:bookmarkStart w:id="393" w:name="_Toc31255"/>
      <w:bookmarkStart w:id="394" w:name="_Toc195424917"/>
      <w:r>
        <w:rPr>
          <w:rFonts w:hint="eastAsia"/>
          <w:color w:val="000000" w:themeColor="text1"/>
          <w14:textFill>
            <w14:solidFill>
              <w14:schemeClr w14:val="tx1"/>
            </w14:solidFill>
          </w14:textFill>
        </w:rPr>
        <w:t>综合评价结论</w:t>
      </w:r>
      <w:bookmarkEnd w:id="389"/>
      <w:bookmarkEnd w:id="390"/>
      <w:bookmarkEnd w:id="391"/>
      <w:bookmarkEnd w:id="392"/>
      <w:bookmarkEnd w:id="393"/>
      <w:bookmarkEnd w:id="394"/>
    </w:p>
    <w:p w14:paraId="14FD1E0F">
      <w:pPr>
        <w:keepNext w:val="0"/>
        <w:keepLines w:val="0"/>
        <w:pageBreakBefore w:val="0"/>
        <w:widowControl w:val="0"/>
        <w:kinsoku/>
        <w:bidi w:val="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华能澜沧江（景洪）新能源有限公司基诺乡巴卡村洛科新寨光伏电站</w:t>
      </w:r>
      <w:r>
        <w:rPr>
          <w:color w:val="000000" w:themeColor="text1"/>
          <w14:textFill>
            <w14:solidFill>
              <w14:schemeClr w14:val="tx1"/>
            </w14:solidFill>
          </w14:textFill>
        </w:rPr>
        <w:t>的安全设施、设备、装置及安全防护措施符合国家有关</w:t>
      </w:r>
      <w:r>
        <w:rPr>
          <w:rFonts w:hint="eastAsia"/>
          <w:color w:val="000000" w:themeColor="text1"/>
          <w:lang w:eastAsia="zh-CN"/>
          <w14:textFill>
            <w14:solidFill>
              <w14:schemeClr w14:val="tx1"/>
            </w14:solidFill>
          </w14:textFill>
        </w:rPr>
        <w:t>法律法规</w:t>
      </w:r>
      <w:r>
        <w:rPr>
          <w:color w:val="000000" w:themeColor="text1"/>
          <w14:textFill>
            <w14:solidFill>
              <w14:schemeClr w14:val="tx1"/>
            </w14:solidFill>
          </w14:textFill>
        </w:rPr>
        <w:t>、规范、标准和安全设施设计的要求，安全有效；在重点部位设置了相应的安全设施；设立安全管理机构和建立了安全生产责任制、管理制度、操作规程，并能贯彻落实；安全生产管理体系完善和有效；通过试运行期的检验，该项目的主要危险、有害因素得到消除或控制，安全生产过程中安全设备设施、对策措施及管理控制有效。</w:t>
      </w:r>
    </w:p>
    <w:p w14:paraId="7083B28F">
      <w:pPr>
        <w:pStyle w:val="14"/>
        <w:keepNext w:val="0"/>
        <w:keepLines w:val="0"/>
        <w:pageBreakBefore w:val="0"/>
        <w:widowControl w:val="0"/>
        <w:kinsoku/>
        <w:wordWrap/>
        <w:overflowPunct/>
        <w:topLinePunct w:val="0"/>
        <w:autoSpaceDE/>
        <w:autoSpaceDN/>
        <w:bidi w:val="0"/>
        <w:adjustRightInd/>
        <w:snapToGrid/>
        <w:spacing w:after="0" w:line="500" w:lineRule="exact"/>
        <w:ind w:left="0" w:firstLine="562"/>
        <w:jc w:val="both"/>
        <w:textAlignment w:val="auto"/>
        <w:rPr>
          <w:b/>
          <w:bCs/>
          <w:color w:val="000000" w:themeColor="text1"/>
          <w:spacing w:val="-4"/>
          <w:sz w:val="24"/>
          <w:szCs w:val="24"/>
          <w14:textFill>
            <w14:solidFill>
              <w14:schemeClr w14:val="tx1"/>
            </w14:solidFill>
          </w14:textFill>
        </w:rPr>
      </w:pPr>
      <w:r>
        <w:rPr>
          <w:rFonts w:hint="eastAsia" w:ascii="宋体" w:hAnsi="宋体" w:eastAsia="宋体" w:cs="宋体"/>
          <w:color w:val="000000" w:themeColor="text1"/>
          <w:kern w:val="2"/>
          <w:sz w:val="28"/>
          <w:szCs w:val="24"/>
          <w:lang w:val="en-US" w:eastAsia="zh-CN" w:bidi="ar-SA"/>
          <w14:textFill>
            <w14:solidFill>
              <w14:schemeClr w14:val="tx1"/>
            </w14:solidFill>
          </w14:textFill>
        </w:rPr>
        <w:t>本次验收评价中对各单元进行安全检查表符合性评价，其中对各单元进行安全检查表符合性评价总项为1</w:t>
      </w:r>
      <w:r>
        <w:rPr>
          <w:rFonts w:hint="eastAsia" w:ascii="宋体" w:hAnsi="宋体" w:cs="宋体"/>
          <w:color w:val="000000" w:themeColor="text1"/>
          <w:kern w:val="2"/>
          <w:sz w:val="28"/>
          <w:szCs w:val="24"/>
          <w:lang w:val="en-US" w:eastAsia="zh-CN" w:bidi="ar-SA"/>
          <w14:textFill>
            <w14:solidFill>
              <w14:schemeClr w14:val="tx1"/>
            </w14:solidFill>
          </w14:textFill>
        </w:rPr>
        <w:t>04</w:t>
      </w:r>
      <w:r>
        <w:rPr>
          <w:rFonts w:hint="eastAsia" w:ascii="宋体" w:hAnsi="宋体" w:eastAsia="宋体" w:cs="宋体"/>
          <w:color w:val="000000" w:themeColor="text1"/>
          <w:kern w:val="2"/>
          <w:sz w:val="28"/>
          <w:szCs w:val="24"/>
          <w:lang w:val="en-US" w:eastAsia="zh-CN" w:bidi="ar-SA"/>
          <w14:textFill>
            <w14:solidFill>
              <w14:schemeClr w14:val="tx1"/>
            </w14:solidFill>
          </w14:textFill>
        </w:rPr>
        <w:t>项，检查结果为“不符合 ”的2项。详细统计结果见下表：</w:t>
      </w:r>
      <w:bookmarkStart w:id="403" w:name="_GoBack"/>
      <w:bookmarkEnd w:id="403"/>
    </w:p>
    <w:p w14:paraId="5224477A">
      <w:pPr>
        <w:pStyle w:val="14"/>
        <w:spacing w:before="36" w:line="218" w:lineRule="auto"/>
        <w:ind w:left="2536"/>
        <w:rPr>
          <w:color w:val="000000" w:themeColor="text1"/>
          <w:sz w:val="24"/>
          <w:szCs w:val="24"/>
          <w14:textFill>
            <w14:solidFill>
              <w14:schemeClr w14:val="tx1"/>
            </w14:solidFill>
          </w14:textFill>
        </w:rPr>
      </w:pPr>
      <w:r>
        <w:rPr>
          <w:b/>
          <w:bCs/>
          <w:color w:val="000000" w:themeColor="text1"/>
          <w:spacing w:val="-4"/>
          <w:sz w:val="24"/>
          <w:szCs w:val="24"/>
          <w14:textFill>
            <w14:solidFill>
              <w14:schemeClr w14:val="tx1"/>
            </w14:solidFill>
          </w14:textFill>
        </w:rPr>
        <w:t>表</w:t>
      </w:r>
      <w:r>
        <w:rPr>
          <w:color w:val="000000" w:themeColor="text1"/>
          <w:spacing w:val="-36"/>
          <w:sz w:val="24"/>
          <w:szCs w:val="24"/>
          <w14:textFill>
            <w14:solidFill>
              <w14:schemeClr w14:val="tx1"/>
            </w14:solidFill>
          </w14:textFill>
        </w:rPr>
        <w:t xml:space="preserve"> </w:t>
      </w:r>
      <w:r>
        <w:rPr>
          <w:b/>
          <w:bCs/>
          <w:color w:val="000000" w:themeColor="text1"/>
          <w:spacing w:val="-4"/>
          <w:sz w:val="24"/>
          <w:szCs w:val="24"/>
          <w14:textFill>
            <w14:solidFill>
              <w14:schemeClr w14:val="tx1"/>
            </w14:solidFill>
          </w14:textFill>
        </w:rPr>
        <w:t>7.4-1</w:t>
      </w:r>
      <w:r>
        <w:rPr>
          <w:color w:val="000000" w:themeColor="text1"/>
          <w:spacing w:val="-46"/>
          <w:sz w:val="24"/>
          <w:szCs w:val="24"/>
          <w14:textFill>
            <w14:solidFill>
              <w14:schemeClr w14:val="tx1"/>
            </w14:solidFill>
          </w14:textFill>
        </w:rPr>
        <w:t xml:space="preserve"> </w:t>
      </w:r>
      <w:r>
        <w:rPr>
          <w:b/>
          <w:bCs/>
          <w:color w:val="000000" w:themeColor="text1"/>
          <w:spacing w:val="-4"/>
          <w:sz w:val="24"/>
          <w:szCs w:val="24"/>
          <w14:textFill>
            <w14:solidFill>
              <w14:schemeClr w14:val="tx1"/>
            </w14:solidFill>
          </w14:textFill>
        </w:rPr>
        <w:t>安全设施符合性评价各单元统计表</w:t>
      </w:r>
    </w:p>
    <w:p w14:paraId="1B1FB894">
      <w:pPr>
        <w:spacing w:line="148" w:lineRule="exact"/>
        <w:rPr>
          <w:color w:val="000000" w:themeColor="text1"/>
          <w14:textFill>
            <w14:solidFill>
              <w14:schemeClr w14:val="tx1"/>
            </w14:solidFill>
          </w14:textFill>
        </w:rPr>
      </w:pPr>
    </w:p>
    <w:tbl>
      <w:tblPr>
        <w:tblStyle w:val="49"/>
        <w:tblW w:w="8887" w:type="dxa"/>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02"/>
        <w:gridCol w:w="984"/>
        <w:gridCol w:w="900"/>
        <w:gridCol w:w="1200"/>
        <w:gridCol w:w="876"/>
        <w:gridCol w:w="1056"/>
        <w:gridCol w:w="816"/>
        <w:gridCol w:w="1253"/>
      </w:tblGrid>
      <w:tr w14:paraId="1F1D8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rPr>
        <w:tc>
          <w:tcPr>
            <w:tcW w:w="1802" w:type="dxa"/>
            <w:noWrap w:val="0"/>
            <w:vAlign w:val="center"/>
          </w:tcPr>
          <w:p w14:paraId="583097A4">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评价单元</w:t>
            </w:r>
          </w:p>
        </w:tc>
        <w:tc>
          <w:tcPr>
            <w:tcW w:w="984" w:type="dxa"/>
            <w:noWrap w:val="0"/>
            <w:vAlign w:val="center"/>
          </w:tcPr>
          <w:p w14:paraId="57907B62">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总检查</w:t>
            </w:r>
          </w:p>
          <w:p w14:paraId="6641FCDC">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项数</w:t>
            </w:r>
          </w:p>
        </w:tc>
        <w:tc>
          <w:tcPr>
            <w:tcW w:w="900" w:type="dxa"/>
            <w:noWrap w:val="0"/>
            <w:vAlign w:val="center"/>
          </w:tcPr>
          <w:p w14:paraId="18F040E1">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符合</w:t>
            </w:r>
          </w:p>
          <w:p w14:paraId="27AA1250">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项数</w:t>
            </w:r>
          </w:p>
        </w:tc>
        <w:tc>
          <w:tcPr>
            <w:tcW w:w="1200" w:type="dxa"/>
            <w:noWrap w:val="0"/>
            <w:vAlign w:val="center"/>
          </w:tcPr>
          <w:p w14:paraId="677D2F6C">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符合项所占比例</w:t>
            </w:r>
          </w:p>
        </w:tc>
        <w:tc>
          <w:tcPr>
            <w:tcW w:w="876" w:type="dxa"/>
            <w:noWrap w:val="0"/>
            <w:vAlign w:val="center"/>
          </w:tcPr>
          <w:p w14:paraId="5C17DAE3">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不符合项</w:t>
            </w:r>
          </w:p>
        </w:tc>
        <w:tc>
          <w:tcPr>
            <w:tcW w:w="1056" w:type="dxa"/>
            <w:noWrap w:val="0"/>
            <w:vAlign w:val="center"/>
          </w:tcPr>
          <w:p w14:paraId="52615416">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eastAsia" w:ascii="宋体" w:hAnsi="宋体" w:eastAsia="宋体" w:cs="宋体"/>
                <w:color w:val="000000" w:themeColor="text1"/>
                <w:spacing w:val="-4"/>
                <w:sz w:val="21"/>
                <w:szCs w:val="21"/>
                <w14:textFill>
                  <w14:solidFill>
                    <w14:schemeClr w14:val="tx1"/>
                  </w14:solidFill>
                </w14:textFill>
              </w:rPr>
            </w:pPr>
            <w:r>
              <w:rPr>
                <w:rFonts w:hint="eastAsia" w:ascii="宋体" w:hAnsi="宋体" w:eastAsia="宋体" w:cs="宋体"/>
                <w:color w:val="000000" w:themeColor="text1"/>
                <w:spacing w:val="-4"/>
                <w:sz w:val="21"/>
                <w:szCs w:val="21"/>
                <w14:textFill>
                  <w14:solidFill>
                    <w14:schemeClr w14:val="tx1"/>
                  </w14:solidFill>
                </w14:textFill>
              </w:rPr>
              <w:t>不符合项目所占比</w:t>
            </w:r>
          </w:p>
        </w:tc>
        <w:tc>
          <w:tcPr>
            <w:tcW w:w="816" w:type="dxa"/>
            <w:noWrap w:val="0"/>
            <w:vAlign w:val="center"/>
          </w:tcPr>
          <w:p w14:paraId="63F69212">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default" w:ascii="宋体" w:hAnsi="宋体" w:eastAsia="宋体" w:cs="宋体"/>
                <w:color w:val="000000" w:themeColor="text1"/>
                <w:spacing w:val="-4"/>
                <w:sz w:val="21"/>
                <w:szCs w:val="21"/>
                <w:lang w:val="en-US" w:eastAsia="zh-CN"/>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不涉及项数</w:t>
            </w:r>
          </w:p>
        </w:tc>
        <w:tc>
          <w:tcPr>
            <w:tcW w:w="1253" w:type="dxa"/>
            <w:noWrap w:val="0"/>
            <w:vAlign w:val="center"/>
          </w:tcPr>
          <w:p w14:paraId="40BB93F7">
            <w:pPr>
              <w:pStyle w:val="42"/>
              <w:keepNext w:val="0"/>
              <w:keepLines w:val="0"/>
              <w:pageBreakBefore w:val="0"/>
              <w:widowControl w:val="0"/>
              <w:kinsoku/>
              <w:wordWrap/>
              <w:overflowPunct/>
              <w:topLinePunct w:val="0"/>
              <w:autoSpaceDE/>
              <w:autoSpaceDN/>
              <w:bidi w:val="0"/>
              <w:adjustRightInd/>
              <w:snapToGrid/>
              <w:spacing w:before="52" w:line="228" w:lineRule="auto"/>
              <w:ind w:right="119"/>
              <w:jc w:val="center"/>
              <w:textAlignment w:val="auto"/>
              <w:rPr>
                <w:rFonts w:hint="default" w:ascii="宋体" w:hAnsi="宋体" w:eastAsia="宋体" w:cs="宋体"/>
                <w:color w:val="000000" w:themeColor="text1"/>
                <w:spacing w:val="-4"/>
                <w:sz w:val="21"/>
                <w:szCs w:val="21"/>
                <w:lang w:val="en-US"/>
                <w14:textFill>
                  <w14:solidFill>
                    <w14:schemeClr w14:val="tx1"/>
                  </w14:solidFill>
                </w14:textFill>
              </w:rPr>
            </w:pPr>
            <w:r>
              <w:rPr>
                <w:rFonts w:hint="eastAsia" w:ascii="宋体" w:hAnsi="宋体" w:eastAsia="宋体" w:cs="宋体"/>
                <w:color w:val="000000" w:themeColor="text1"/>
                <w:spacing w:val="-4"/>
                <w:sz w:val="21"/>
                <w:szCs w:val="21"/>
                <w:lang w:val="en-US" w:eastAsia="zh-CN"/>
                <w14:textFill>
                  <w14:solidFill>
                    <w14:schemeClr w14:val="tx1"/>
                  </w14:solidFill>
                </w14:textFill>
              </w:rPr>
              <w:t>不涉及项所占比例</w:t>
            </w:r>
          </w:p>
        </w:tc>
      </w:tr>
      <w:tr w14:paraId="601D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7D5182A3">
            <w:pPr>
              <w:pStyle w:val="42"/>
              <w:spacing w:before="106" w:line="22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5"/>
                <w:sz w:val="21"/>
                <w:szCs w:val="21"/>
                <w14:textFill>
                  <w14:solidFill>
                    <w14:schemeClr w14:val="tx1"/>
                  </w14:solidFill>
                </w14:textFill>
              </w:rPr>
              <w:t>安全设施“三同时</w:t>
            </w:r>
            <w:r>
              <w:rPr>
                <w:rFonts w:hint="eastAsia" w:ascii="宋体" w:hAnsi="宋体" w:eastAsia="宋体" w:cs="宋体"/>
                <w:color w:val="000000" w:themeColor="text1"/>
                <w:spacing w:val="-81"/>
                <w:sz w:val="21"/>
                <w:szCs w:val="21"/>
                <w14:textFill>
                  <w14:solidFill>
                    <w14:schemeClr w14:val="tx1"/>
                  </w14:solidFill>
                </w14:textFill>
              </w:rPr>
              <w:t xml:space="preserve"> </w:t>
            </w:r>
            <w:r>
              <w:rPr>
                <w:rFonts w:hint="eastAsia" w:ascii="宋体" w:hAnsi="宋体" w:eastAsia="宋体" w:cs="宋体"/>
                <w:color w:val="000000" w:themeColor="text1"/>
                <w:spacing w:val="-5"/>
                <w:sz w:val="21"/>
                <w:szCs w:val="21"/>
                <w14:textFill>
                  <w14:solidFill>
                    <w14:schemeClr w14:val="tx1"/>
                  </w14:solidFill>
                </w14:textFill>
              </w:rPr>
              <w:t>”程序</w:t>
            </w:r>
          </w:p>
        </w:tc>
        <w:tc>
          <w:tcPr>
            <w:tcW w:w="984" w:type="dxa"/>
            <w:noWrap w:val="0"/>
            <w:vAlign w:val="center"/>
          </w:tcPr>
          <w:p w14:paraId="3AA44A4B">
            <w:pPr>
              <w:pStyle w:val="42"/>
              <w:spacing w:before="146" w:line="182" w:lineRule="auto"/>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900" w:type="dxa"/>
            <w:noWrap w:val="0"/>
            <w:vAlign w:val="center"/>
          </w:tcPr>
          <w:p w14:paraId="3BCC3CD8">
            <w:pPr>
              <w:pStyle w:val="42"/>
              <w:spacing w:before="146" w:line="182" w:lineRule="auto"/>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6</w:t>
            </w:r>
          </w:p>
        </w:tc>
        <w:tc>
          <w:tcPr>
            <w:tcW w:w="1200" w:type="dxa"/>
            <w:noWrap w:val="0"/>
            <w:vAlign w:val="center"/>
          </w:tcPr>
          <w:p w14:paraId="2224D556">
            <w:pPr>
              <w:pStyle w:val="42"/>
              <w:spacing w:before="106"/>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165BB7B2">
            <w:pPr>
              <w:pStyle w:val="42"/>
              <w:spacing w:before="144" w:line="183"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4B157D0F">
            <w:pPr>
              <w:pStyle w:val="42"/>
              <w:spacing w:before="144" w:line="183"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6B8A8063">
            <w:pPr>
              <w:pStyle w:val="42"/>
              <w:spacing w:before="144" w:line="183" w:lineRule="auto"/>
              <w:ind w:left="589"/>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3A1725F5">
            <w:pPr>
              <w:pStyle w:val="42"/>
              <w:spacing w:before="144" w:line="183" w:lineRule="auto"/>
              <w:ind w:left="589"/>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6D2FB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0F0B0E0B">
            <w:pPr>
              <w:pStyle w:val="42"/>
              <w:spacing w:before="108" w:line="219"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总平面布置</w:t>
            </w:r>
            <w:r>
              <w:rPr>
                <w:rFonts w:hint="eastAsia" w:ascii="宋体" w:hAnsi="宋体" w:eastAsia="宋体" w:cs="宋体"/>
                <w:color w:val="000000" w:themeColor="text1"/>
                <w:spacing w:val="-2"/>
                <w:sz w:val="21"/>
                <w:szCs w:val="21"/>
                <w:lang w:val="en-US" w:eastAsia="zh-CN"/>
                <w14:textFill>
                  <w14:solidFill>
                    <w14:schemeClr w14:val="tx1"/>
                  </w14:solidFill>
                </w14:textFill>
              </w:rPr>
              <w:t>单元</w:t>
            </w:r>
          </w:p>
        </w:tc>
        <w:tc>
          <w:tcPr>
            <w:tcW w:w="984" w:type="dxa"/>
            <w:noWrap w:val="0"/>
            <w:vAlign w:val="center"/>
          </w:tcPr>
          <w:p w14:paraId="0654D41C">
            <w:pPr>
              <w:pStyle w:val="42"/>
              <w:spacing w:before="147" w:line="183"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18</w:t>
            </w:r>
          </w:p>
        </w:tc>
        <w:tc>
          <w:tcPr>
            <w:tcW w:w="900" w:type="dxa"/>
            <w:noWrap w:val="0"/>
            <w:vAlign w:val="center"/>
          </w:tcPr>
          <w:p w14:paraId="61873498">
            <w:pPr>
              <w:pStyle w:val="42"/>
              <w:spacing w:before="147" w:line="183"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7"/>
                <w:sz w:val="21"/>
                <w:szCs w:val="21"/>
                <w:lang w:val="en-US" w:eastAsia="zh-CN"/>
                <w14:textFill>
                  <w14:solidFill>
                    <w14:schemeClr w14:val="tx1"/>
                  </w14:solidFill>
                </w14:textFill>
              </w:rPr>
              <w:t>17</w:t>
            </w:r>
          </w:p>
        </w:tc>
        <w:tc>
          <w:tcPr>
            <w:tcW w:w="1200" w:type="dxa"/>
            <w:noWrap w:val="0"/>
            <w:vAlign w:val="center"/>
          </w:tcPr>
          <w:p w14:paraId="143238C8">
            <w:pPr>
              <w:pStyle w:val="42"/>
              <w:spacing w:before="109" w:line="239"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94.4</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0AB18730">
            <w:pPr>
              <w:pStyle w:val="42"/>
              <w:spacing w:before="147" w:line="183" w:lineRule="auto"/>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w:t>
            </w:r>
          </w:p>
        </w:tc>
        <w:tc>
          <w:tcPr>
            <w:tcW w:w="1056" w:type="dxa"/>
            <w:noWrap w:val="0"/>
            <w:vAlign w:val="center"/>
          </w:tcPr>
          <w:p w14:paraId="718DC225">
            <w:pPr>
              <w:pStyle w:val="42"/>
              <w:spacing w:before="109" w:line="239"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5.6</w:t>
            </w:r>
            <w:r>
              <w:rPr>
                <w:rFonts w:hint="eastAsia" w:ascii="宋体" w:hAnsi="宋体" w:eastAsia="宋体" w:cs="宋体"/>
                <w:color w:val="000000" w:themeColor="text1"/>
                <w:spacing w:val="-7"/>
                <w:sz w:val="21"/>
                <w:szCs w:val="21"/>
                <w14:textFill>
                  <w14:solidFill>
                    <w14:schemeClr w14:val="tx1"/>
                  </w14:solidFill>
                </w14:textFill>
              </w:rPr>
              <w:t>%</w:t>
            </w:r>
          </w:p>
        </w:tc>
        <w:tc>
          <w:tcPr>
            <w:tcW w:w="816" w:type="dxa"/>
            <w:noWrap w:val="0"/>
            <w:vAlign w:val="center"/>
          </w:tcPr>
          <w:p w14:paraId="3229CFFF">
            <w:pPr>
              <w:pStyle w:val="42"/>
              <w:spacing w:before="109" w:line="239" w:lineRule="auto"/>
              <w:ind w:left="349"/>
              <w:jc w:val="center"/>
              <w:rPr>
                <w:rFonts w:hint="eastAsia" w:ascii="宋体" w:hAnsi="宋体" w:eastAsia="宋体" w:cs="宋体"/>
                <w:color w:val="000000" w:themeColor="text1"/>
                <w:spacing w:val="-3"/>
                <w:sz w:val="21"/>
                <w:szCs w:val="21"/>
                <w:lang w:val="en-US" w:eastAsia="zh-CN"/>
                <w14:textFill>
                  <w14:solidFill>
                    <w14:schemeClr w14:val="tx1"/>
                  </w14:solidFill>
                </w14:textFill>
              </w:rPr>
            </w:pPr>
            <w:r>
              <w:rPr>
                <w:rFonts w:hint="eastAsia" w:ascii="宋体" w:hAnsi="宋体" w:eastAsia="宋体" w:cs="宋体"/>
                <w:color w:val="000000" w:themeColor="text1"/>
                <w:spacing w:val="-3"/>
                <w:sz w:val="21"/>
                <w:szCs w:val="21"/>
                <w:lang w:val="en-US" w:eastAsia="zh-CN"/>
                <w14:textFill>
                  <w14:solidFill>
                    <w14:schemeClr w14:val="tx1"/>
                  </w14:solidFill>
                </w14:textFill>
              </w:rPr>
              <w:t>0</w:t>
            </w:r>
          </w:p>
        </w:tc>
        <w:tc>
          <w:tcPr>
            <w:tcW w:w="1253" w:type="dxa"/>
            <w:noWrap w:val="0"/>
            <w:vAlign w:val="center"/>
          </w:tcPr>
          <w:p w14:paraId="3EE50DEF">
            <w:pPr>
              <w:pStyle w:val="42"/>
              <w:spacing w:before="109" w:line="239" w:lineRule="auto"/>
              <w:ind w:left="349"/>
              <w:jc w:val="center"/>
              <w:rPr>
                <w:rFonts w:hint="eastAsia" w:ascii="宋体" w:hAnsi="宋体" w:eastAsia="宋体" w:cs="宋体"/>
                <w:color w:val="000000" w:themeColor="text1"/>
                <w:spacing w:val="-3"/>
                <w:sz w:val="21"/>
                <w:szCs w:val="21"/>
                <w:lang w:val="en-US" w:eastAsia="zh-CN"/>
                <w14:textFill>
                  <w14:solidFill>
                    <w14:schemeClr w14:val="tx1"/>
                  </w14:solidFill>
                </w14:textFill>
              </w:rPr>
            </w:pPr>
            <w:r>
              <w:rPr>
                <w:rFonts w:hint="eastAsia" w:ascii="宋体" w:hAnsi="宋体" w:eastAsia="宋体" w:cs="宋体"/>
                <w:color w:val="000000" w:themeColor="text1"/>
                <w:spacing w:val="-3"/>
                <w:sz w:val="21"/>
                <w:szCs w:val="21"/>
                <w:lang w:val="en-US" w:eastAsia="zh-CN"/>
                <w14:textFill>
                  <w14:solidFill>
                    <w14:schemeClr w14:val="tx1"/>
                  </w14:solidFill>
                </w14:textFill>
              </w:rPr>
              <w:t>0</w:t>
            </w:r>
          </w:p>
        </w:tc>
      </w:tr>
      <w:tr w14:paraId="569B2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33B9D0BC">
            <w:pPr>
              <w:pStyle w:val="42"/>
              <w:spacing w:before="112" w:line="219"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建（构）筑物等土建工程单元</w:t>
            </w:r>
          </w:p>
        </w:tc>
        <w:tc>
          <w:tcPr>
            <w:tcW w:w="984" w:type="dxa"/>
            <w:noWrap w:val="0"/>
            <w:vAlign w:val="center"/>
          </w:tcPr>
          <w:p w14:paraId="3A038EF9">
            <w:pPr>
              <w:pStyle w:val="42"/>
              <w:spacing w:before="149" w:line="183"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14</w:t>
            </w:r>
          </w:p>
        </w:tc>
        <w:tc>
          <w:tcPr>
            <w:tcW w:w="900" w:type="dxa"/>
            <w:noWrap w:val="0"/>
            <w:vAlign w:val="center"/>
          </w:tcPr>
          <w:p w14:paraId="7E592D7A">
            <w:pPr>
              <w:pStyle w:val="42"/>
              <w:spacing w:before="149" w:line="183"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14</w:t>
            </w:r>
          </w:p>
        </w:tc>
        <w:tc>
          <w:tcPr>
            <w:tcW w:w="1200" w:type="dxa"/>
            <w:noWrap w:val="0"/>
            <w:vAlign w:val="center"/>
          </w:tcPr>
          <w:p w14:paraId="56A47EB0">
            <w:pPr>
              <w:pStyle w:val="42"/>
              <w:spacing w:before="111"/>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4FB6288E">
            <w:pPr>
              <w:pStyle w:val="42"/>
              <w:spacing w:before="149" w:line="183"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0CD78FC5">
            <w:pPr>
              <w:pStyle w:val="42"/>
              <w:spacing w:before="149" w:line="183"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01B3D4A9">
            <w:pPr>
              <w:pStyle w:val="42"/>
              <w:spacing w:before="149" w:line="183" w:lineRule="auto"/>
              <w:ind w:left="589"/>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63CDC180">
            <w:pPr>
              <w:pStyle w:val="42"/>
              <w:spacing w:before="149" w:line="183" w:lineRule="auto"/>
              <w:ind w:left="589"/>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09082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6415147F">
            <w:pPr>
              <w:pStyle w:val="42"/>
              <w:spacing w:before="112" w:line="219" w:lineRule="auto"/>
              <w:jc w:val="center"/>
              <w:rPr>
                <w:rFonts w:hint="eastAsia" w:ascii="宋体" w:hAnsi="宋体" w:eastAsia="宋体" w:cs="宋体"/>
                <w:color w:val="000000" w:themeColor="text1"/>
                <w:spacing w:val="-2"/>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光伏发电系统单元</w:t>
            </w:r>
          </w:p>
        </w:tc>
        <w:tc>
          <w:tcPr>
            <w:tcW w:w="984" w:type="dxa"/>
            <w:noWrap w:val="0"/>
            <w:vAlign w:val="center"/>
          </w:tcPr>
          <w:p w14:paraId="0AE05CD4">
            <w:pPr>
              <w:pStyle w:val="42"/>
              <w:spacing w:before="149" w:line="183" w:lineRule="auto"/>
              <w:jc w:val="center"/>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17</w:t>
            </w:r>
          </w:p>
        </w:tc>
        <w:tc>
          <w:tcPr>
            <w:tcW w:w="900" w:type="dxa"/>
            <w:noWrap w:val="0"/>
            <w:vAlign w:val="center"/>
          </w:tcPr>
          <w:p w14:paraId="474FE756">
            <w:pPr>
              <w:pStyle w:val="42"/>
              <w:spacing w:before="149" w:line="183" w:lineRule="auto"/>
              <w:jc w:val="center"/>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17</w:t>
            </w:r>
          </w:p>
        </w:tc>
        <w:tc>
          <w:tcPr>
            <w:tcW w:w="1200" w:type="dxa"/>
            <w:noWrap w:val="0"/>
            <w:vAlign w:val="center"/>
          </w:tcPr>
          <w:p w14:paraId="655ADC2A">
            <w:pPr>
              <w:pStyle w:val="42"/>
              <w:spacing w:before="111"/>
              <w:jc w:val="center"/>
              <w:rPr>
                <w:rFonts w:hint="eastAsia" w:ascii="宋体" w:hAnsi="宋体" w:eastAsia="宋体" w:cs="宋体"/>
                <w:color w:val="000000" w:themeColor="text1"/>
                <w:spacing w:val="-7"/>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2223BDC9">
            <w:pPr>
              <w:pStyle w:val="42"/>
              <w:spacing w:before="149" w:line="183"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02C9E684">
            <w:pPr>
              <w:pStyle w:val="42"/>
              <w:spacing w:before="149" w:line="183" w:lineRule="auto"/>
              <w:ind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1E305268">
            <w:pPr>
              <w:pStyle w:val="42"/>
              <w:spacing w:before="149" w:line="183" w:lineRule="auto"/>
              <w:ind w:left="589" w:leftChars="0"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5705E6E4">
            <w:pPr>
              <w:pStyle w:val="42"/>
              <w:spacing w:before="149" w:line="183" w:lineRule="auto"/>
              <w:ind w:left="589" w:leftChars="0" w:firstLine="0" w:firstLine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0EC1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62D6A19C">
            <w:pPr>
              <w:pStyle w:val="42"/>
              <w:spacing w:before="112" w:line="219" w:lineRule="auto"/>
              <w:jc w:val="center"/>
              <w:rPr>
                <w:rFonts w:hint="eastAsia" w:ascii="宋体" w:hAnsi="宋体" w:eastAsia="宋体" w:cs="宋体"/>
                <w:color w:val="000000" w:themeColor="text1"/>
                <w:spacing w:val="-2"/>
                <w:sz w:val="21"/>
                <w:szCs w:val="21"/>
                <w14:textFill>
                  <w14:solidFill>
                    <w14:schemeClr w14:val="tx1"/>
                  </w14:solidFill>
                </w14:textFill>
              </w:rPr>
            </w:pPr>
            <w:r>
              <w:rPr>
                <w:rFonts w:hint="eastAsia" w:ascii="宋体" w:hAnsi="宋体" w:eastAsia="宋体" w:cs="宋体"/>
                <w:color w:val="000000" w:themeColor="text1"/>
                <w:spacing w:val="-2"/>
                <w:sz w:val="21"/>
                <w:szCs w:val="21"/>
                <w14:textFill>
                  <w14:solidFill>
                    <w14:schemeClr w14:val="tx1"/>
                  </w14:solidFill>
                </w14:textFill>
              </w:rPr>
              <w:t>安全设备设施单元</w:t>
            </w:r>
          </w:p>
        </w:tc>
        <w:tc>
          <w:tcPr>
            <w:tcW w:w="984" w:type="dxa"/>
            <w:noWrap w:val="0"/>
            <w:vAlign w:val="center"/>
          </w:tcPr>
          <w:p w14:paraId="1BF2A132">
            <w:pPr>
              <w:pStyle w:val="42"/>
              <w:spacing w:before="149" w:line="183" w:lineRule="auto"/>
              <w:jc w:val="center"/>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13</w:t>
            </w:r>
          </w:p>
        </w:tc>
        <w:tc>
          <w:tcPr>
            <w:tcW w:w="900" w:type="dxa"/>
            <w:noWrap w:val="0"/>
            <w:vAlign w:val="center"/>
          </w:tcPr>
          <w:p w14:paraId="0F9623AD">
            <w:pPr>
              <w:pStyle w:val="42"/>
              <w:spacing w:before="149" w:line="183" w:lineRule="auto"/>
              <w:jc w:val="center"/>
              <w:rPr>
                <w:rFonts w:hint="default" w:ascii="宋体" w:hAnsi="宋体" w:eastAsia="宋体" w:cs="宋体"/>
                <w:color w:val="000000" w:themeColor="text1"/>
                <w:spacing w:val="-8"/>
                <w:sz w:val="21"/>
                <w:szCs w:val="21"/>
                <w:lang w:val="en-US" w:eastAsia="zh-CN"/>
                <w14:textFill>
                  <w14:solidFill>
                    <w14:schemeClr w14:val="tx1"/>
                  </w14:solidFill>
                </w14:textFill>
              </w:rPr>
            </w:pPr>
            <w:r>
              <w:rPr>
                <w:rFonts w:hint="eastAsia" w:cs="宋体"/>
                <w:color w:val="000000" w:themeColor="text1"/>
                <w:spacing w:val="-8"/>
                <w:sz w:val="21"/>
                <w:szCs w:val="21"/>
                <w:lang w:val="en-US" w:eastAsia="zh-CN"/>
                <w14:textFill>
                  <w14:solidFill>
                    <w14:schemeClr w14:val="tx1"/>
                  </w14:solidFill>
                </w14:textFill>
              </w:rPr>
              <w:t>13</w:t>
            </w:r>
          </w:p>
        </w:tc>
        <w:tc>
          <w:tcPr>
            <w:tcW w:w="1200" w:type="dxa"/>
            <w:noWrap w:val="0"/>
            <w:vAlign w:val="center"/>
          </w:tcPr>
          <w:p w14:paraId="4A042F5D">
            <w:pPr>
              <w:pStyle w:val="42"/>
              <w:spacing w:before="111"/>
              <w:jc w:val="center"/>
              <w:rPr>
                <w:rFonts w:hint="default" w:ascii="宋体" w:hAnsi="宋体" w:eastAsia="宋体" w:cs="宋体"/>
                <w:color w:val="000000" w:themeColor="text1"/>
                <w:spacing w:val="-7"/>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100</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76BE7512">
            <w:pPr>
              <w:pStyle w:val="42"/>
              <w:spacing w:before="149" w:line="183"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056" w:type="dxa"/>
            <w:noWrap w:val="0"/>
            <w:vAlign w:val="center"/>
          </w:tcPr>
          <w:p w14:paraId="52B5B309">
            <w:pPr>
              <w:pStyle w:val="42"/>
              <w:spacing w:before="149" w:line="183"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816" w:type="dxa"/>
            <w:noWrap w:val="0"/>
            <w:vAlign w:val="center"/>
          </w:tcPr>
          <w:p w14:paraId="2C653885">
            <w:pPr>
              <w:pStyle w:val="42"/>
              <w:spacing w:before="149" w:line="183" w:lineRule="auto"/>
              <w:ind w:left="589"/>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0</w:t>
            </w:r>
          </w:p>
        </w:tc>
        <w:tc>
          <w:tcPr>
            <w:tcW w:w="1253" w:type="dxa"/>
            <w:noWrap w:val="0"/>
            <w:vAlign w:val="center"/>
          </w:tcPr>
          <w:p w14:paraId="32C18207">
            <w:pPr>
              <w:pStyle w:val="42"/>
              <w:spacing w:before="149" w:line="183" w:lineRule="auto"/>
              <w:ind w:left="589"/>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0</w:t>
            </w:r>
          </w:p>
        </w:tc>
      </w:tr>
      <w:tr w14:paraId="754D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03530203">
            <w:pPr>
              <w:pStyle w:val="42"/>
              <w:spacing w:before="114" w:line="220"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公用工程及辅助设施单元</w:t>
            </w:r>
          </w:p>
        </w:tc>
        <w:tc>
          <w:tcPr>
            <w:tcW w:w="984" w:type="dxa"/>
            <w:noWrap w:val="0"/>
            <w:vAlign w:val="center"/>
          </w:tcPr>
          <w:p w14:paraId="0F7E01BB">
            <w:pPr>
              <w:pStyle w:val="42"/>
              <w:spacing w:before="153" w:line="182"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w:t>
            </w:r>
            <w:r>
              <w:rPr>
                <w:rFonts w:hint="eastAsia" w:cs="宋体"/>
                <w:color w:val="000000" w:themeColor="text1"/>
                <w:spacing w:val="-8"/>
                <w:sz w:val="21"/>
                <w:szCs w:val="21"/>
                <w:lang w:val="en-US" w:eastAsia="zh-CN"/>
                <w14:textFill>
                  <w14:solidFill>
                    <w14:schemeClr w14:val="tx1"/>
                  </w14:solidFill>
                </w14:textFill>
              </w:rPr>
              <w:t>9</w:t>
            </w:r>
          </w:p>
        </w:tc>
        <w:tc>
          <w:tcPr>
            <w:tcW w:w="900" w:type="dxa"/>
            <w:noWrap w:val="0"/>
            <w:vAlign w:val="center"/>
          </w:tcPr>
          <w:p w14:paraId="0B0DC607">
            <w:pPr>
              <w:pStyle w:val="42"/>
              <w:spacing w:before="153" w:line="182"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8"/>
                <w:sz w:val="21"/>
                <w:szCs w:val="21"/>
                <w:lang w:val="en-US" w:eastAsia="zh-CN"/>
                <w14:textFill>
                  <w14:solidFill>
                    <w14:schemeClr w14:val="tx1"/>
                  </w14:solidFill>
                </w14:textFill>
              </w:rPr>
              <w:t>1</w:t>
            </w:r>
            <w:r>
              <w:rPr>
                <w:rFonts w:hint="eastAsia" w:cs="宋体"/>
                <w:color w:val="000000" w:themeColor="text1"/>
                <w:spacing w:val="-8"/>
                <w:sz w:val="21"/>
                <w:szCs w:val="21"/>
                <w:lang w:val="en-US" w:eastAsia="zh-CN"/>
                <w14:textFill>
                  <w14:solidFill>
                    <w14:schemeClr w14:val="tx1"/>
                  </w14:solidFill>
                </w14:textFill>
              </w:rPr>
              <w:t>9</w:t>
            </w:r>
          </w:p>
        </w:tc>
        <w:tc>
          <w:tcPr>
            <w:tcW w:w="1200" w:type="dxa"/>
            <w:noWrap w:val="0"/>
            <w:vAlign w:val="center"/>
          </w:tcPr>
          <w:p w14:paraId="57BF3D96">
            <w:pPr>
              <w:pStyle w:val="42"/>
              <w:spacing w:before="114"/>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7"/>
                <w:sz w:val="21"/>
                <w:szCs w:val="21"/>
                <w14:textFill>
                  <w14:solidFill>
                    <w14:schemeClr w14:val="tx1"/>
                  </w14:solidFill>
                </w14:textFill>
              </w:rPr>
              <w:t>100%</w:t>
            </w:r>
          </w:p>
        </w:tc>
        <w:tc>
          <w:tcPr>
            <w:tcW w:w="876" w:type="dxa"/>
            <w:noWrap w:val="0"/>
            <w:vAlign w:val="center"/>
          </w:tcPr>
          <w:p w14:paraId="6EC9DA06">
            <w:pPr>
              <w:pStyle w:val="42"/>
              <w:spacing w:before="152" w:line="183"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1056" w:type="dxa"/>
            <w:noWrap w:val="0"/>
            <w:vAlign w:val="center"/>
          </w:tcPr>
          <w:p w14:paraId="5BEFEB6A">
            <w:pPr>
              <w:pStyle w:val="42"/>
              <w:spacing w:before="152" w:line="183"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0</w:t>
            </w:r>
          </w:p>
        </w:tc>
        <w:tc>
          <w:tcPr>
            <w:tcW w:w="816" w:type="dxa"/>
            <w:noWrap w:val="0"/>
            <w:vAlign w:val="center"/>
          </w:tcPr>
          <w:p w14:paraId="3CD8CA60">
            <w:pPr>
              <w:pStyle w:val="42"/>
              <w:spacing w:before="149" w:line="183" w:lineRule="auto"/>
              <w:ind w:left="589" w:leftChars="0"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3F802056">
            <w:pPr>
              <w:pStyle w:val="42"/>
              <w:spacing w:before="149" w:line="183" w:lineRule="auto"/>
              <w:ind w:left="589" w:leftChars="0" w:firstLine="0" w:firstLineChars="0"/>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3127D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802" w:type="dxa"/>
            <w:noWrap w:val="0"/>
            <w:vAlign w:val="center"/>
          </w:tcPr>
          <w:p w14:paraId="27A9B5BA">
            <w:pPr>
              <w:pStyle w:val="42"/>
              <w:spacing w:before="120" w:line="219"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3"/>
                <w:sz w:val="21"/>
                <w:szCs w:val="21"/>
                <w14:textFill>
                  <w14:solidFill>
                    <w14:schemeClr w14:val="tx1"/>
                  </w14:solidFill>
                </w14:textFill>
              </w:rPr>
              <w:t>安全管理单元</w:t>
            </w:r>
          </w:p>
        </w:tc>
        <w:tc>
          <w:tcPr>
            <w:tcW w:w="984" w:type="dxa"/>
            <w:noWrap w:val="0"/>
            <w:vAlign w:val="center"/>
          </w:tcPr>
          <w:p w14:paraId="3D260866">
            <w:pPr>
              <w:pStyle w:val="42"/>
              <w:spacing w:before="156" w:line="184"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14"/>
                <w:sz w:val="21"/>
                <w:szCs w:val="21"/>
                <w:lang w:val="en-US" w:eastAsia="zh-CN"/>
                <w14:textFill>
                  <w14:solidFill>
                    <w14:schemeClr w14:val="tx1"/>
                  </w14:solidFill>
                </w14:textFill>
              </w:rPr>
              <w:t>17</w:t>
            </w:r>
          </w:p>
        </w:tc>
        <w:tc>
          <w:tcPr>
            <w:tcW w:w="900" w:type="dxa"/>
            <w:noWrap w:val="0"/>
            <w:vAlign w:val="center"/>
          </w:tcPr>
          <w:p w14:paraId="6DDC3714">
            <w:pPr>
              <w:pStyle w:val="42"/>
              <w:spacing w:before="156" w:line="184"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pacing w:val="-14"/>
                <w:sz w:val="21"/>
                <w:szCs w:val="21"/>
                <w:lang w:val="en-US" w:eastAsia="zh-CN"/>
                <w14:textFill>
                  <w14:solidFill>
                    <w14:schemeClr w14:val="tx1"/>
                  </w14:solidFill>
                </w14:textFill>
              </w:rPr>
              <w:t>1</w:t>
            </w:r>
            <w:r>
              <w:rPr>
                <w:rFonts w:hint="eastAsia" w:cs="宋体"/>
                <w:color w:val="000000" w:themeColor="text1"/>
                <w:spacing w:val="-14"/>
                <w:sz w:val="21"/>
                <w:szCs w:val="21"/>
                <w:lang w:val="en-US" w:eastAsia="zh-CN"/>
                <w14:textFill>
                  <w14:solidFill>
                    <w14:schemeClr w14:val="tx1"/>
                  </w14:solidFill>
                </w14:textFill>
              </w:rPr>
              <w:t>6</w:t>
            </w:r>
          </w:p>
        </w:tc>
        <w:tc>
          <w:tcPr>
            <w:tcW w:w="1200" w:type="dxa"/>
            <w:noWrap w:val="0"/>
            <w:vAlign w:val="center"/>
          </w:tcPr>
          <w:p w14:paraId="530D42FC">
            <w:pPr>
              <w:pStyle w:val="42"/>
              <w:spacing w:before="119"/>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7"/>
                <w:sz w:val="21"/>
                <w:szCs w:val="21"/>
                <w:lang w:val="en-US" w:eastAsia="zh-CN"/>
                <w14:textFill>
                  <w14:solidFill>
                    <w14:schemeClr w14:val="tx1"/>
                  </w14:solidFill>
                </w14:textFill>
              </w:rPr>
              <w:t>94</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681A3B68">
            <w:pPr>
              <w:pStyle w:val="42"/>
              <w:spacing w:before="157" w:line="183" w:lineRule="auto"/>
              <w:jc w:val="center"/>
              <w:rPr>
                <w:rFonts w:hint="eastAsia" w:ascii="宋体" w:hAnsi="宋体" w:eastAsia="宋体" w:cs="宋体"/>
                <w:color w:val="000000" w:themeColor="text1"/>
                <w:sz w:val="21"/>
                <w:szCs w:val="21"/>
                <w:lang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1</w:t>
            </w:r>
          </w:p>
        </w:tc>
        <w:tc>
          <w:tcPr>
            <w:tcW w:w="1056" w:type="dxa"/>
            <w:noWrap w:val="0"/>
            <w:vAlign w:val="center"/>
          </w:tcPr>
          <w:p w14:paraId="3CFBB8AD">
            <w:pPr>
              <w:pStyle w:val="42"/>
              <w:spacing w:before="157" w:line="183"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6</w:t>
            </w:r>
            <w:r>
              <w:rPr>
                <w:rFonts w:hint="eastAsia" w:ascii="宋体" w:hAnsi="宋体" w:eastAsia="宋体" w:cs="宋体"/>
                <w:color w:val="000000" w:themeColor="text1"/>
                <w:spacing w:val="-7"/>
                <w:sz w:val="21"/>
                <w:szCs w:val="21"/>
                <w14:textFill>
                  <w14:solidFill>
                    <w14:schemeClr w14:val="tx1"/>
                  </w14:solidFill>
                </w14:textFill>
              </w:rPr>
              <w:t>%</w:t>
            </w:r>
          </w:p>
        </w:tc>
        <w:tc>
          <w:tcPr>
            <w:tcW w:w="816" w:type="dxa"/>
            <w:noWrap w:val="0"/>
            <w:vAlign w:val="center"/>
          </w:tcPr>
          <w:p w14:paraId="37074DE6">
            <w:pPr>
              <w:pStyle w:val="42"/>
              <w:spacing w:before="157" w:line="183" w:lineRule="auto"/>
              <w:ind w:left="589"/>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c>
          <w:tcPr>
            <w:tcW w:w="1253" w:type="dxa"/>
            <w:noWrap w:val="0"/>
            <w:vAlign w:val="center"/>
          </w:tcPr>
          <w:p w14:paraId="57ED93C0">
            <w:pPr>
              <w:pStyle w:val="42"/>
              <w:spacing w:before="157" w:line="183" w:lineRule="auto"/>
              <w:ind w:left="589"/>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0</w:t>
            </w:r>
          </w:p>
        </w:tc>
      </w:tr>
      <w:tr w14:paraId="6FB36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0" w:hRule="atLeast"/>
        </w:trPr>
        <w:tc>
          <w:tcPr>
            <w:tcW w:w="1802" w:type="dxa"/>
            <w:noWrap w:val="0"/>
            <w:vAlign w:val="center"/>
          </w:tcPr>
          <w:p w14:paraId="36847090">
            <w:pPr>
              <w:pStyle w:val="42"/>
              <w:spacing w:before="124" w:line="221" w:lineRule="auto"/>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pacing w:val="-6"/>
                <w:sz w:val="21"/>
                <w:szCs w:val="21"/>
                <w14:textFill>
                  <w14:solidFill>
                    <w14:schemeClr w14:val="tx1"/>
                  </w14:solidFill>
                </w14:textFill>
              </w:rPr>
              <w:t>合计</w:t>
            </w:r>
          </w:p>
        </w:tc>
        <w:tc>
          <w:tcPr>
            <w:tcW w:w="984" w:type="dxa"/>
            <w:noWrap w:val="0"/>
            <w:vAlign w:val="center"/>
          </w:tcPr>
          <w:p w14:paraId="0F3F5885">
            <w:pPr>
              <w:pStyle w:val="42"/>
              <w:spacing w:before="161" w:line="184"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10</w:t>
            </w:r>
            <w:r>
              <w:rPr>
                <w:rFonts w:hint="eastAsia" w:cs="宋体"/>
                <w:color w:val="000000" w:themeColor="text1"/>
                <w:sz w:val="21"/>
                <w:szCs w:val="21"/>
                <w:lang w:val="en-US" w:eastAsia="zh-CN"/>
                <w14:textFill>
                  <w14:solidFill>
                    <w14:schemeClr w14:val="tx1"/>
                  </w14:solidFill>
                </w14:textFill>
              </w:rPr>
              <w:t>4</w:t>
            </w:r>
          </w:p>
        </w:tc>
        <w:tc>
          <w:tcPr>
            <w:tcW w:w="900" w:type="dxa"/>
            <w:noWrap w:val="0"/>
            <w:vAlign w:val="center"/>
          </w:tcPr>
          <w:p w14:paraId="1D7E573D">
            <w:pPr>
              <w:pStyle w:val="42"/>
              <w:spacing w:before="161" w:line="184"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pacing w:val="-10"/>
                <w:sz w:val="21"/>
                <w:szCs w:val="21"/>
                <w:lang w:val="en-US" w:eastAsia="zh-CN"/>
                <w14:textFill>
                  <w14:solidFill>
                    <w14:schemeClr w14:val="tx1"/>
                  </w14:solidFill>
                </w14:textFill>
              </w:rPr>
              <w:t>102</w:t>
            </w:r>
          </w:p>
        </w:tc>
        <w:tc>
          <w:tcPr>
            <w:tcW w:w="1200" w:type="dxa"/>
            <w:noWrap w:val="0"/>
            <w:vAlign w:val="center"/>
          </w:tcPr>
          <w:p w14:paraId="3C4224FE">
            <w:pPr>
              <w:pStyle w:val="42"/>
              <w:spacing w:before="124" w:line="239" w:lineRule="auto"/>
              <w:ind w:left="293"/>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98</w:t>
            </w:r>
            <w:r>
              <w:rPr>
                <w:rFonts w:hint="eastAsia" w:ascii="宋体" w:hAnsi="宋体" w:eastAsia="宋体" w:cs="宋体"/>
                <w:color w:val="000000" w:themeColor="text1"/>
                <w:spacing w:val="-7"/>
                <w:sz w:val="21"/>
                <w:szCs w:val="21"/>
                <w14:textFill>
                  <w14:solidFill>
                    <w14:schemeClr w14:val="tx1"/>
                  </w14:solidFill>
                </w14:textFill>
              </w:rPr>
              <w:t>%</w:t>
            </w:r>
          </w:p>
        </w:tc>
        <w:tc>
          <w:tcPr>
            <w:tcW w:w="876" w:type="dxa"/>
            <w:noWrap w:val="0"/>
            <w:vAlign w:val="center"/>
          </w:tcPr>
          <w:p w14:paraId="2DBEBD40">
            <w:pPr>
              <w:pStyle w:val="42"/>
              <w:spacing w:before="162" w:line="183" w:lineRule="auto"/>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2</w:t>
            </w:r>
          </w:p>
        </w:tc>
        <w:tc>
          <w:tcPr>
            <w:tcW w:w="1056" w:type="dxa"/>
            <w:noWrap w:val="0"/>
            <w:vAlign w:val="center"/>
          </w:tcPr>
          <w:p w14:paraId="532E880F">
            <w:pPr>
              <w:pStyle w:val="42"/>
              <w:spacing w:before="124" w:line="239" w:lineRule="auto"/>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2</w:t>
            </w:r>
            <w:r>
              <w:rPr>
                <w:rFonts w:hint="eastAsia" w:ascii="宋体" w:hAnsi="宋体" w:eastAsia="宋体" w:cs="宋体"/>
                <w:color w:val="000000" w:themeColor="text1"/>
                <w:spacing w:val="-7"/>
                <w:sz w:val="21"/>
                <w:szCs w:val="21"/>
                <w14:textFill>
                  <w14:solidFill>
                    <w14:schemeClr w14:val="tx1"/>
                  </w14:solidFill>
                </w14:textFill>
              </w:rPr>
              <w:t>%</w:t>
            </w:r>
          </w:p>
        </w:tc>
        <w:tc>
          <w:tcPr>
            <w:tcW w:w="816" w:type="dxa"/>
            <w:noWrap w:val="0"/>
            <w:vAlign w:val="center"/>
          </w:tcPr>
          <w:p w14:paraId="2C90A678">
            <w:pPr>
              <w:pStyle w:val="42"/>
              <w:spacing w:before="124" w:line="239" w:lineRule="auto"/>
              <w:ind w:left="365"/>
              <w:jc w:val="center"/>
              <w:rPr>
                <w:rFonts w:hint="eastAsia" w:ascii="宋体" w:hAnsi="宋体" w:eastAsia="宋体" w:cs="宋体"/>
                <w:color w:val="000000" w:themeColor="text1"/>
                <w:spacing w:val="-6"/>
                <w:sz w:val="21"/>
                <w:szCs w:val="21"/>
                <w:lang w:val="en-US" w:eastAsia="zh-CN"/>
                <w14:textFill>
                  <w14:solidFill>
                    <w14:schemeClr w14:val="tx1"/>
                  </w14:solidFill>
                </w14:textFill>
              </w:rPr>
            </w:pPr>
            <w:r>
              <w:rPr>
                <w:rFonts w:hint="eastAsia" w:cs="宋体"/>
                <w:color w:val="000000" w:themeColor="text1"/>
                <w:spacing w:val="-6"/>
                <w:sz w:val="21"/>
                <w:szCs w:val="21"/>
                <w:lang w:val="en-US" w:eastAsia="zh-CN"/>
                <w14:textFill>
                  <w14:solidFill>
                    <w14:schemeClr w14:val="tx1"/>
                  </w14:solidFill>
                </w14:textFill>
              </w:rPr>
              <w:t>0</w:t>
            </w:r>
          </w:p>
        </w:tc>
        <w:tc>
          <w:tcPr>
            <w:tcW w:w="1253" w:type="dxa"/>
            <w:noWrap w:val="0"/>
            <w:vAlign w:val="center"/>
          </w:tcPr>
          <w:p w14:paraId="6D6265B5">
            <w:pPr>
              <w:pStyle w:val="42"/>
              <w:spacing w:before="124" w:line="239" w:lineRule="auto"/>
              <w:ind w:left="365"/>
              <w:jc w:val="center"/>
              <w:rPr>
                <w:rFonts w:hint="eastAsia" w:ascii="宋体" w:hAnsi="宋体" w:eastAsia="宋体" w:cs="宋体"/>
                <w:color w:val="000000" w:themeColor="text1"/>
                <w:spacing w:val="-6"/>
                <w:sz w:val="21"/>
                <w:szCs w:val="21"/>
                <w:lang w:val="en-US" w:eastAsia="zh-CN"/>
                <w14:textFill>
                  <w14:solidFill>
                    <w14:schemeClr w14:val="tx1"/>
                  </w14:solidFill>
                </w14:textFill>
              </w:rPr>
            </w:pPr>
            <w:r>
              <w:rPr>
                <w:rFonts w:hint="eastAsia" w:cs="宋体"/>
                <w:color w:val="000000" w:themeColor="text1"/>
                <w:spacing w:val="-6"/>
                <w:sz w:val="21"/>
                <w:szCs w:val="21"/>
                <w:lang w:val="en-US" w:eastAsia="zh-CN"/>
                <w14:textFill>
                  <w14:solidFill>
                    <w14:schemeClr w14:val="tx1"/>
                  </w14:solidFill>
                </w14:textFill>
              </w:rPr>
              <w:t>0</w:t>
            </w:r>
          </w:p>
        </w:tc>
      </w:tr>
    </w:tbl>
    <w:p w14:paraId="6423C4AC">
      <w:pPr>
        <w:keepNext w:val="0"/>
        <w:keepLines w:val="0"/>
        <w:pageBreakBefore w:val="0"/>
        <w:widowControl w:val="0"/>
        <w:kinsoku/>
        <w:bidi w:val="0"/>
        <w:rPr>
          <w:rFonts w:hint="eastAsia"/>
          <w:color w:val="000000" w:themeColor="text1"/>
          <w14:textFill>
            <w14:solidFill>
              <w14:schemeClr w14:val="tx1"/>
            </w14:solidFill>
          </w14:textFill>
        </w:rPr>
      </w:pPr>
      <w:r>
        <w:rPr>
          <w:rFonts w:hint="eastAsia" w:ascii="宋体" w:hAnsi="宋体" w:eastAsia="宋体" w:cs="宋体"/>
          <w:b/>
          <w:bCs w:val="0"/>
          <w:color w:val="000000" w:themeColor="text1"/>
          <w:szCs w:val="28"/>
          <w14:textFill>
            <w14:solidFill>
              <w14:schemeClr w14:val="tx1"/>
            </w14:solidFill>
          </w14:textFill>
        </w:rPr>
        <w:t>安全验收评价结论：</w:t>
      </w:r>
      <w:r>
        <w:rPr>
          <w:rFonts w:hint="eastAsia"/>
          <w:b/>
          <w:bCs/>
          <w:color w:val="000000" w:themeColor="text1"/>
          <w:lang w:eastAsia="zh-CN"/>
          <w14:textFill>
            <w14:solidFill>
              <w14:schemeClr w14:val="tx1"/>
            </w14:solidFill>
          </w14:textFill>
        </w:rPr>
        <w:t>华能澜沧江（景洪）新能源有限公司基诺乡巴卡村洛科新寨光伏电站</w:t>
      </w:r>
      <w:r>
        <w:rPr>
          <w:rFonts w:hint="eastAsia" w:ascii="宋体" w:hAnsi="宋体" w:eastAsia="宋体" w:cs="宋体"/>
          <w:b/>
          <w:color w:val="000000" w:themeColor="text1"/>
          <w:szCs w:val="28"/>
          <w14:textFill>
            <w14:solidFill>
              <w14:schemeClr w14:val="tx1"/>
            </w14:solidFill>
          </w14:textFill>
        </w:rPr>
        <w:t>建设符合国家相关安全法律法规、标准的要求，具备安全设施验收条件。</w:t>
      </w:r>
    </w:p>
    <w:p w14:paraId="50BFF943">
      <w:pPr>
        <w:keepNext w:val="0"/>
        <w:keepLines w:val="0"/>
        <w:pageBreakBefore w:val="0"/>
        <w:widowControl w:val="0"/>
        <w:kinsoku/>
        <w:bidi w:val="0"/>
        <w:rPr>
          <w:rFonts w:hint="eastAsia"/>
          <w:color w:val="000000" w:themeColor="text1"/>
          <w14:textFill>
            <w14:solidFill>
              <w14:schemeClr w14:val="tx1"/>
            </w14:solidFill>
          </w14:textFill>
        </w:rPr>
        <w:sectPr>
          <w:pgSz w:w="11906" w:h="16838"/>
          <w:pgMar w:top="1417" w:right="1417" w:bottom="1417" w:left="1587" w:header="851" w:footer="992" w:gutter="0"/>
          <w:pgNumType w:fmt="decimal"/>
          <w:cols w:space="0" w:num="1"/>
          <w:rtlGutter w:val="0"/>
          <w:docGrid w:linePitch="312" w:charSpace="0"/>
        </w:sectPr>
      </w:pPr>
      <w:r>
        <w:rPr>
          <w:color w:val="000000" w:themeColor="text1"/>
          <w14:textFill>
            <w14:solidFill>
              <w14:schemeClr w14:val="tx1"/>
            </w14:solidFill>
          </w14:textFill>
        </w:rPr>
        <w:t>总之，安全生产是一个不断完善的过程，在今后的安全生产过程中，应根据安全生产条件的变化和国家法规的进一步要求，不断完善安全技术措施和管理措施，提升安全技术水平，防止安全事故的发生，切实保障人民生命和企业财产的安全</w:t>
      </w:r>
      <w:r>
        <w:rPr>
          <w:rFonts w:hint="eastAsia"/>
          <w:color w:val="000000" w:themeColor="text1"/>
          <w14:textFill>
            <w14:solidFill>
              <w14:schemeClr w14:val="tx1"/>
            </w14:solidFill>
          </w14:textFill>
        </w:rPr>
        <w:t>。</w:t>
      </w:r>
      <w:bookmarkStart w:id="395" w:name="_Toc195424918"/>
      <w:bookmarkStart w:id="396" w:name="_Toc163101250"/>
      <w:bookmarkStart w:id="397" w:name="_Toc164155995"/>
    </w:p>
    <w:p w14:paraId="774FC4A3">
      <w:pPr>
        <w:pStyle w:val="2"/>
        <w:bidi w:val="0"/>
        <w:rPr>
          <w:rFonts w:hint="eastAsia"/>
          <w:color w:val="000000" w:themeColor="text1"/>
          <w14:textFill>
            <w14:solidFill>
              <w14:schemeClr w14:val="tx1"/>
            </w14:solidFill>
          </w14:textFill>
        </w:rPr>
      </w:pPr>
      <w:bookmarkStart w:id="398" w:name="_Toc24626"/>
      <w:bookmarkStart w:id="399" w:name="_Toc12253"/>
      <w:r>
        <w:rPr>
          <w:rFonts w:hint="eastAsia"/>
          <w:color w:val="000000" w:themeColor="text1"/>
          <w14:textFill>
            <w14:solidFill>
              <w14:schemeClr w14:val="tx1"/>
            </w14:solidFill>
          </w14:textFill>
        </w:rPr>
        <w:t>与建设单位交换意见的情况</w:t>
      </w:r>
      <w:bookmarkEnd w:id="398"/>
      <w:bookmarkEnd w:id="399"/>
    </w:p>
    <w:p w14:paraId="719595C5">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针对项目验收评价过程中发现的问题，评价组向华能澜沧江（</w:t>
      </w:r>
      <w:r>
        <w:rPr>
          <w:rFonts w:hint="eastAsia" w:ascii="宋体" w:hAnsi="宋体" w:cs="宋体"/>
          <w:color w:val="000000" w:themeColor="text1"/>
          <w:lang w:val="en-US" w:eastAsia="zh-CN"/>
          <w14:textFill>
            <w14:solidFill>
              <w14:schemeClr w14:val="tx1"/>
            </w14:solidFill>
          </w14:textFill>
        </w:rPr>
        <w:t>景洪</w:t>
      </w:r>
      <w:r>
        <w:rPr>
          <w:rFonts w:hint="eastAsia" w:ascii="宋体" w:hAnsi="宋体" w:eastAsia="宋体" w:cs="宋体"/>
          <w:color w:val="000000" w:themeColor="text1"/>
          <w14:textFill>
            <w14:solidFill>
              <w14:schemeClr w14:val="tx1"/>
            </w14:solidFill>
          </w14:textFill>
        </w:rPr>
        <w:t>）新能源有限公司交换了意见，提出下面的意见建议：</w:t>
      </w:r>
    </w:p>
    <w:p w14:paraId="002015AB">
      <w:pPr>
        <w:keepNext w:val="0"/>
        <w:keepLines w:val="0"/>
        <w:pageBreakBefore w:val="0"/>
        <w:widowControl w:val="0"/>
        <w:numPr>
          <w:ilvl w:val="0"/>
          <w:numId w:val="66"/>
        </w:numPr>
        <w:kinsoku/>
        <w:bidi w:val="0"/>
        <w:ind w:left="0" w:leftChars="0" w:firstLine="56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电站</w:t>
      </w:r>
      <w:r>
        <w:rPr>
          <w:rFonts w:hint="eastAsia" w:ascii="宋体" w:hAnsi="宋体" w:eastAsia="宋体" w:cs="宋体"/>
          <w:color w:val="000000" w:themeColor="text1"/>
          <w14:textFill>
            <w14:solidFill>
              <w14:schemeClr w14:val="tx1"/>
            </w14:solidFill>
          </w14:textFill>
        </w:rPr>
        <w:t>应进一步深化落实安全风险分级管控和隐患排查治理双重预防机制建设，从源头上防范化解重大安全风险、防止生产安全事故的发生。</w:t>
      </w:r>
    </w:p>
    <w:p w14:paraId="7F2BF76D">
      <w:pPr>
        <w:keepNext w:val="0"/>
        <w:keepLines w:val="0"/>
        <w:pageBreakBefore w:val="0"/>
        <w:widowControl w:val="0"/>
        <w:numPr>
          <w:ilvl w:val="0"/>
          <w:numId w:val="66"/>
        </w:numPr>
        <w:kinsoku/>
        <w:bidi w:val="0"/>
        <w:ind w:left="0" w:leftChars="0" w:firstLine="56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电站</w:t>
      </w:r>
      <w:r>
        <w:rPr>
          <w:rFonts w:hint="eastAsia" w:ascii="宋体" w:hAnsi="宋体" w:eastAsia="宋体" w:cs="宋体"/>
          <w:color w:val="000000" w:themeColor="text1"/>
          <w14:textFill>
            <w14:solidFill>
              <w14:schemeClr w14:val="tx1"/>
            </w14:solidFill>
          </w14:textFill>
        </w:rPr>
        <w:t>应当认真组织应急预案、应急知识、自救互救和避险逃生技能的培训活动，使有关人员了解应急预案内容，熟悉应急职责、应急处置程序和措施。并根据公司制定的应急预案，每年制定应急预案演练计划，定期开展综合（专项）应急预案演练和现场处置方案演练。</w:t>
      </w:r>
    </w:p>
    <w:p w14:paraId="59BB94EB">
      <w:pPr>
        <w:keepNext w:val="0"/>
        <w:keepLines w:val="0"/>
        <w:pageBreakBefore w:val="0"/>
        <w:widowControl w:val="0"/>
        <w:numPr>
          <w:ilvl w:val="0"/>
          <w:numId w:val="66"/>
        </w:numPr>
        <w:kinsoku/>
        <w:bidi w:val="0"/>
        <w:ind w:left="0" w:leftChars="0" w:firstLine="560" w:firstLineChars="200"/>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eastAsia="宋体" w:cs="宋体"/>
          <w:color w:val="000000" w:themeColor="text1"/>
          <w:lang w:val="en-US" w:eastAsia="zh-CN"/>
          <w14:textFill>
            <w14:solidFill>
              <w14:schemeClr w14:val="tx1"/>
            </w14:solidFill>
          </w14:textFill>
        </w:rPr>
        <w:t>按照《中华人民共和国安全生产法》、《关于深入开展电力安全生 产标准化工作的指导意见》（电监安全〔2011〕21 号）和《关于印发发电企业安全生产标准化规范及达标评级标准的通知》（电监安全〔2011〕23 号），开展电站安全生产标准化达标创建工作。</w:t>
      </w:r>
    </w:p>
    <w:p w14:paraId="3CBA91E0">
      <w:pPr>
        <w:keepNext w:val="0"/>
        <w:keepLines w:val="0"/>
        <w:pageBreakBefore w:val="0"/>
        <w:widowControl w:val="0"/>
        <w:kinsoku/>
        <w:bidi w:val="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华能澜沧江（</w:t>
      </w:r>
      <w:r>
        <w:rPr>
          <w:rFonts w:hint="eastAsia" w:ascii="宋体" w:hAnsi="宋体" w:cs="宋体"/>
          <w:color w:val="000000" w:themeColor="text1"/>
          <w:lang w:val="en-US" w:eastAsia="zh-CN"/>
          <w14:textFill>
            <w14:solidFill>
              <w14:schemeClr w14:val="tx1"/>
            </w14:solidFill>
          </w14:textFill>
        </w:rPr>
        <w:t>景洪</w:t>
      </w:r>
      <w:r>
        <w:rPr>
          <w:rFonts w:hint="eastAsia" w:ascii="宋体" w:hAnsi="宋体" w:eastAsia="宋体" w:cs="宋体"/>
          <w:color w:val="000000" w:themeColor="text1"/>
          <w14:textFill>
            <w14:solidFill>
              <w14:schemeClr w14:val="tx1"/>
            </w14:solidFill>
          </w14:textFill>
        </w:rPr>
        <w:t>）新能源有限公司对评价小组提出的意见和建议完全接受。</w:t>
      </w:r>
      <w:bookmarkEnd w:id="395"/>
      <w:bookmarkEnd w:id="396"/>
      <w:bookmarkEnd w:id="397"/>
    </w:p>
    <w:p w14:paraId="15C25C30">
      <w:pPr>
        <w:keepNext w:val="0"/>
        <w:keepLines w:val="0"/>
        <w:pageBreakBefore w:val="0"/>
        <w:widowControl w:val="0"/>
        <w:kinsoku/>
        <w:bidi w:val="0"/>
        <w:rPr>
          <w:rFonts w:hint="eastAsia"/>
          <w:color w:val="000000" w:themeColor="text1"/>
          <w14:textFill>
            <w14:solidFill>
              <w14:schemeClr w14:val="tx1"/>
            </w14:solidFill>
          </w14:textFill>
        </w:rPr>
      </w:pPr>
    </w:p>
    <w:p w14:paraId="66587A7E">
      <w:pPr>
        <w:keepNext w:val="0"/>
        <w:keepLines w:val="0"/>
        <w:pageBreakBefore w:val="0"/>
        <w:widowControl w:val="0"/>
        <w:kinsoku/>
        <w:bidi w:val="0"/>
        <w:rPr>
          <w:rFonts w:hint="eastAsia"/>
          <w:color w:val="000000" w:themeColor="text1"/>
          <w14:textFill>
            <w14:solidFill>
              <w14:schemeClr w14:val="tx1"/>
            </w14:solidFill>
          </w14:textFill>
        </w:rPr>
      </w:pPr>
    </w:p>
    <w:p w14:paraId="5A304E08">
      <w:pPr>
        <w:keepNext w:val="0"/>
        <w:keepLines w:val="0"/>
        <w:pageBreakBefore w:val="0"/>
        <w:widowControl w:val="0"/>
        <w:kinsoku/>
        <w:bidi w:val="0"/>
        <w:rPr>
          <w:rFonts w:hint="eastAsia"/>
          <w:color w:val="000000" w:themeColor="text1"/>
          <w14:textFill>
            <w14:solidFill>
              <w14:schemeClr w14:val="tx1"/>
            </w14:solidFill>
          </w14:textFill>
        </w:rPr>
      </w:pPr>
    </w:p>
    <w:p w14:paraId="7E73B06E">
      <w:pPr>
        <w:keepNext w:val="0"/>
        <w:keepLines w:val="0"/>
        <w:pageBreakBefore w:val="0"/>
        <w:widowControl w:val="0"/>
        <w:kinsoku/>
        <w:bidi w:val="0"/>
        <w:rPr>
          <w:rFonts w:hint="eastAsia"/>
          <w:color w:val="000000" w:themeColor="text1"/>
          <w14:textFill>
            <w14:solidFill>
              <w14:schemeClr w14:val="tx1"/>
            </w14:solidFill>
          </w14:textFill>
        </w:rPr>
      </w:pPr>
    </w:p>
    <w:p w14:paraId="6516C1E6">
      <w:pPr>
        <w:keepNext w:val="0"/>
        <w:keepLines w:val="0"/>
        <w:pageBreakBefore w:val="0"/>
        <w:widowControl w:val="0"/>
        <w:kinsoku/>
        <w:bidi w:val="0"/>
        <w:rPr>
          <w:rFonts w:hint="eastAsia"/>
          <w:color w:val="000000" w:themeColor="text1"/>
          <w14:textFill>
            <w14:solidFill>
              <w14:schemeClr w14:val="tx1"/>
            </w14:solidFill>
          </w14:textFill>
        </w:rPr>
      </w:pPr>
    </w:p>
    <w:p w14:paraId="1948154D">
      <w:pPr>
        <w:keepNext w:val="0"/>
        <w:keepLines w:val="0"/>
        <w:pageBreakBefore w:val="0"/>
        <w:widowControl w:val="0"/>
        <w:kinsoku/>
        <w:bidi w:val="0"/>
        <w:rPr>
          <w:rFonts w:hint="eastAsia"/>
          <w:color w:val="000000" w:themeColor="text1"/>
          <w14:textFill>
            <w14:solidFill>
              <w14:schemeClr w14:val="tx1"/>
            </w14:solidFill>
          </w14:textFill>
        </w:rPr>
      </w:pPr>
    </w:p>
    <w:p w14:paraId="581DF763">
      <w:pPr>
        <w:keepNext w:val="0"/>
        <w:keepLines w:val="0"/>
        <w:pageBreakBefore w:val="0"/>
        <w:widowControl w:val="0"/>
        <w:kinsoku/>
        <w:bidi w:val="0"/>
        <w:rPr>
          <w:rFonts w:hint="eastAsia"/>
          <w:color w:val="000000" w:themeColor="text1"/>
          <w14:textFill>
            <w14:solidFill>
              <w14:schemeClr w14:val="tx1"/>
            </w14:solidFill>
          </w14:textFill>
        </w:rPr>
      </w:pPr>
    </w:p>
    <w:p w14:paraId="2FC4EC70">
      <w:pPr>
        <w:keepNext w:val="0"/>
        <w:keepLines w:val="0"/>
        <w:pageBreakBefore w:val="0"/>
        <w:widowControl w:val="0"/>
        <w:kinsoku/>
        <w:bidi w:val="0"/>
        <w:rPr>
          <w:rFonts w:hint="eastAsia"/>
          <w:color w:val="000000" w:themeColor="text1"/>
          <w14:textFill>
            <w14:solidFill>
              <w14:schemeClr w14:val="tx1"/>
            </w14:solidFill>
          </w14:textFill>
        </w:rPr>
      </w:pPr>
    </w:p>
    <w:p w14:paraId="7E241BC2">
      <w:pPr>
        <w:keepNext w:val="0"/>
        <w:keepLines w:val="0"/>
        <w:pageBreakBefore w:val="0"/>
        <w:widowControl w:val="0"/>
        <w:kinsoku/>
        <w:bidi w:val="0"/>
        <w:rPr>
          <w:rFonts w:hint="eastAsia"/>
          <w:color w:val="000000" w:themeColor="text1"/>
          <w14:textFill>
            <w14:solidFill>
              <w14:schemeClr w14:val="tx1"/>
            </w14:solidFill>
          </w14:textFill>
        </w:rPr>
      </w:pPr>
    </w:p>
    <w:p w14:paraId="7BDC23DB">
      <w:pPr>
        <w:keepNext w:val="0"/>
        <w:keepLines w:val="0"/>
        <w:pageBreakBefore w:val="0"/>
        <w:widowControl w:val="0"/>
        <w:kinsoku/>
        <w:bidi w:val="0"/>
        <w:rPr>
          <w:rFonts w:hint="eastAsia"/>
          <w:color w:val="000000" w:themeColor="text1"/>
          <w14:textFill>
            <w14:solidFill>
              <w14:schemeClr w14:val="tx1"/>
            </w14:solidFill>
          </w14:textFill>
        </w:rPr>
      </w:pPr>
    </w:p>
    <w:p w14:paraId="6674A886">
      <w:pPr>
        <w:keepNext w:val="0"/>
        <w:keepLines w:val="0"/>
        <w:pageBreakBefore w:val="0"/>
        <w:widowControl w:val="0"/>
        <w:kinsoku/>
        <w:bidi w:val="0"/>
        <w:rPr>
          <w:rFonts w:hint="eastAsia"/>
          <w:color w:val="000000" w:themeColor="text1"/>
          <w14:textFill>
            <w14:solidFill>
              <w14:schemeClr w14:val="tx1"/>
            </w14:solidFill>
          </w14:textFill>
        </w:rPr>
      </w:pPr>
    </w:p>
    <w:p w14:paraId="12F115F5">
      <w:pPr>
        <w:keepNext w:val="0"/>
        <w:keepLines w:val="0"/>
        <w:pageBreakBefore w:val="0"/>
        <w:widowControl w:val="0"/>
        <w:kinsoku/>
        <w:bidi w:val="0"/>
        <w:rPr>
          <w:rFonts w:hint="eastAsia"/>
          <w:color w:val="000000" w:themeColor="text1"/>
          <w14:textFill>
            <w14:solidFill>
              <w14:schemeClr w14:val="tx1"/>
            </w14:solidFill>
          </w14:textFill>
        </w:rPr>
      </w:pPr>
    </w:p>
    <w:p w14:paraId="19771FA8">
      <w:pPr>
        <w:pStyle w:val="2"/>
        <w:bidi w:val="0"/>
        <w:rPr>
          <w:rFonts w:hint="eastAsia"/>
          <w:color w:val="000000" w:themeColor="text1"/>
          <w14:textFill>
            <w14:solidFill>
              <w14:schemeClr w14:val="tx1"/>
            </w14:solidFill>
          </w14:textFill>
        </w:rPr>
      </w:pPr>
      <w:bookmarkStart w:id="400" w:name="_Toc9702"/>
      <w:r>
        <w:rPr>
          <w:rFonts w:hint="eastAsia"/>
          <w:color w:val="000000" w:themeColor="text1"/>
          <w:lang w:val="en-US" w:eastAsia="zh-CN"/>
          <w14:textFill>
            <w14:solidFill>
              <w14:schemeClr w14:val="tx1"/>
            </w14:solidFill>
          </w14:textFill>
        </w:rPr>
        <w:t>附件附图</w:t>
      </w:r>
      <w:bookmarkEnd w:id="400"/>
    </w:p>
    <w:p w14:paraId="3E4BD745">
      <w:pPr>
        <w:pStyle w:val="3"/>
        <w:bidi w:val="0"/>
        <w:rPr>
          <w:rFonts w:hint="eastAsia"/>
          <w:color w:val="000000" w:themeColor="text1"/>
          <w14:textFill>
            <w14:solidFill>
              <w14:schemeClr w14:val="tx1"/>
            </w14:solidFill>
          </w14:textFill>
        </w:rPr>
      </w:pPr>
      <w:bookmarkStart w:id="401" w:name="_Toc19827"/>
      <w:r>
        <w:rPr>
          <w:rFonts w:hint="eastAsia"/>
          <w:color w:val="000000" w:themeColor="text1"/>
          <w:lang w:val="en-US" w:eastAsia="zh-CN"/>
          <w14:textFill>
            <w14:solidFill>
              <w14:schemeClr w14:val="tx1"/>
            </w14:solidFill>
          </w14:textFill>
        </w:rPr>
        <w:t>附件</w:t>
      </w:r>
      <w:bookmarkEnd w:id="401"/>
    </w:p>
    <w:p w14:paraId="011888A1">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安全评价委托书</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承诺书</w:t>
      </w:r>
    </w:p>
    <w:p w14:paraId="5B6152B0">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企业营业执照</w:t>
      </w:r>
    </w:p>
    <w:p w14:paraId="0F8B3AA2">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color w:val="000000" w:themeColor="text1"/>
          <w:sz w:val="28"/>
          <w:szCs w:val="28"/>
          <w14:textFill>
            <w14:solidFill>
              <w14:schemeClr w14:val="tx1"/>
            </w14:solidFill>
          </w14:textFill>
        </w:rPr>
      </w:pPr>
      <w:r>
        <w:rPr>
          <w:rStyle w:val="59"/>
          <w:rFonts w:hint="eastAsia"/>
          <w:color w:val="000000" w:themeColor="text1"/>
          <w14:textFill>
            <w14:solidFill>
              <w14:schemeClr w14:val="tx1"/>
            </w14:solidFill>
          </w14:textFill>
        </w:rPr>
        <w:t>《投资项目备案证》</w:t>
      </w:r>
    </w:p>
    <w:p w14:paraId="0C37818C">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color w:val="000000" w:themeColor="text1"/>
          <w:sz w:val="28"/>
          <w:szCs w:val="28"/>
          <w:highlight w:val="none"/>
          <w14:textFill>
            <w14:solidFill>
              <w14:schemeClr w14:val="tx1"/>
            </w14:solidFill>
          </w14:textFill>
        </w:rPr>
      </w:pPr>
      <w:r>
        <w:rPr>
          <w:rStyle w:val="59"/>
          <w:rFonts w:hint="eastAsia"/>
          <w:color w:val="000000" w:themeColor="text1"/>
          <w:highlight w:val="none"/>
          <w:lang w:val="en-US" w:eastAsia="zh-CN"/>
          <w14:textFill>
            <w14:solidFill>
              <w14:schemeClr w14:val="tx1"/>
            </w14:solidFill>
          </w14:textFill>
        </w:rPr>
        <w:t>岩土工程勘查报告</w:t>
      </w:r>
    </w:p>
    <w:p w14:paraId="54D5890E">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安全生产条件和设施综合分析报告封面、资质、扉页</w:t>
      </w:r>
    </w:p>
    <w:p w14:paraId="427AA53C">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安全设施设计封面及资质、扉页、评审意见</w:t>
      </w:r>
    </w:p>
    <w:p w14:paraId="4965D74C">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施工单位资质及施工总结报告</w:t>
      </w:r>
    </w:p>
    <w:p w14:paraId="7F16103E">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监理单位资质及监理总结报告</w:t>
      </w:r>
    </w:p>
    <w:p w14:paraId="2E6B6C8F">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试运行报告</w:t>
      </w:r>
    </w:p>
    <w:p w14:paraId="51875DF3">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工程试运行验收证书</w:t>
      </w:r>
    </w:p>
    <w:p w14:paraId="0F0506FB">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工作票执行情况</w:t>
      </w:r>
    </w:p>
    <w:p w14:paraId="0C0899BD">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企业主要负责人证书、授权委托书及任命文件、安全管理人员证书、特种作业人员证书</w:t>
      </w:r>
    </w:p>
    <w:p w14:paraId="65B0FF78">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关于成立安全生产领导小组的通知和专职安全管理人员任命文件</w:t>
      </w:r>
    </w:p>
    <w:p w14:paraId="51FED4F2">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工伤保险购买凭证</w:t>
      </w:r>
    </w:p>
    <w:p w14:paraId="581F851F">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安全管理制度汇编</w:t>
      </w:r>
    </w:p>
    <w:p w14:paraId="62C1589B">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责任制汇编</w:t>
      </w:r>
    </w:p>
    <w:p w14:paraId="796BD3F6">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操作规程汇编</w:t>
      </w:r>
    </w:p>
    <w:p w14:paraId="5C691BAB">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应急预案备案登记表</w:t>
      </w:r>
    </w:p>
    <w:p w14:paraId="60A3B5F0">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应急小组成立文件</w:t>
      </w:r>
    </w:p>
    <w:p w14:paraId="7D8ADBDF">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安全教育培训、三级教育培训记录</w:t>
      </w:r>
    </w:p>
    <w:p w14:paraId="7C8CF1E9">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劳动防护用品发放记录</w:t>
      </w:r>
    </w:p>
    <w:p w14:paraId="78D5DBAE">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安全生产检查台账</w:t>
      </w:r>
    </w:p>
    <w:p w14:paraId="7B640589">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安全专项投资及其使用情况</w:t>
      </w:r>
    </w:p>
    <w:p w14:paraId="5179386F">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eastAsia"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防雷检测报告及机构资质</w:t>
      </w:r>
    </w:p>
    <w:p w14:paraId="2A2FAB69">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项目消防工程备案的回函</w:t>
      </w:r>
    </w:p>
    <w:p w14:paraId="65024688">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并网调试运行意见书-</w:t>
      </w:r>
      <w:r>
        <w:rPr>
          <w:rFonts w:hint="default" w:ascii="Times New Roman" w:hAnsi="Times New Roman" w:eastAsia="宋体" w:cs="Times New Roman"/>
          <w:color w:val="000000" w:themeColor="text1"/>
          <w:kern w:val="2"/>
          <w:sz w:val="28"/>
          <w:szCs w:val="28"/>
          <w:lang w:val="en-US" w:eastAsia="zh-CN" w:bidi="ar-SA"/>
          <w14:textFill>
            <w14:solidFill>
              <w14:schemeClr w14:val="tx1"/>
            </w14:solidFill>
          </w14:textFill>
        </w:rPr>
        <w:t>调〔2024〕66 号</w:t>
      </w:r>
    </w:p>
    <w:p w14:paraId="62448E81">
      <w:pPr>
        <w:pStyle w:val="57"/>
        <w:keepNext w:val="0"/>
        <w:keepLines w:val="0"/>
        <w:pageBreakBefore w:val="0"/>
        <w:widowControl w:val="0"/>
        <w:numPr>
          <w:ilvl w:val="0"/>
          <w:numId w:val="67"/>
        </w:numPr>
        <w:kinsoku/>
        <w:wordWrap/>
        <w:overflowPunct/>
        <w:topLinePunct w:val="0"/>
        <w:autoSpaceDE/>
        <w:autoSpaceDN/>
        <w:bidi w:val="0"/>
        <w:adjustRightInd/>
        <w:snapToGrid/>
        <w:spacing w:line="500" w:lineRule="exact"/>
        <w:ind w:left="0" w:firstLine="560"/>
        <w:jc w:val="left"/>
        <w:textAlignment w:val="auto"/>
        <w:rPr>
          <w:rFonts w:hint="default" w:eastAsia="宋体"/>
          <w:color w:val="000000" w:themeColor="text1"/>
          <w:sz w:val="28"/>
          <w:szCs w:val="28"/>
          <w:lang w:val="en-US" w:eastAsia="zh-CN"/>
          <w14:textFill>
            <w14:solidFill>
              <w14:schemeClr w14:val="tx1"/>
            </w14:solidFill>
          </w14:textFill>
        </w:rPr>
      </w:pPr>
      <w:r>
        <w:rPr>
          <w:rFonts w:hint="eastAsia" w:eastAsia="宋体"/>
          <w:color w:val="000000" w:themeColor="text1"/>
          <w:sz w:val="28"/>
          <w:szCs w:val="28"/>
          <w:lang w:val="en-US" w:eastAsia="zh-CN"/>
          <w14:textFill>
            <w14:solidFill>
              <w14:schemeClr w14:val="tx1"/>
            </w14:solidFill>
          </w14:textFill>
        </w:rPr>
        <w:t>整改回复</w:t>
      </w:r>
    </w:p>
    <w:p w14:paraId="2D1B54A5">
      <w:pPr>
        <w:pStyle w:val="3"/>
        <w:keepNext/>
        <w:keepLines/>
        <w:pageBreakBefore w:val="0"/>
        <w:widowControl w:val="0"/>
        <w:kinsoku/>
        <w:wordWrap/>
        <w:overflowPunct/>
        <w:topLinePunct w:val="0"/>
        <w:autoSpaceDE/>
        <w:autoSpaceDN/>
        <w:bidi w:val="0"/>
        <w:adjustRightInd/>
        <w:snapToGrid w:val="0"/>
        <w:spacing w:before="313" w:beforeLines="100" w:after="313" w:afterLines="100" w:line="240" w:lineRule="auto"/>
        <w:ind w:left="573" w:hanging="573"/>
        <w:textAlignment w:val="auto"/>
        <w:rPr>
          <w:rFonts w:hint="eastAsia"/>
          <w:color w:val="000000" w:themeColor="text1"/>
          <w14:textFill>
            <w14:solidFill>
              <w14:schemeClr w14:val="tx1"/>
            </w14:solidFill>
          </w14:textFill>
        </w:rPr>
      </w:pPr>
      <w:bookmarkStart w:id="402" w:name="_Toc25025"/>
      <w:r>
        <w:rPr>
          <w:rFonts w:hint="eastAsia"/>
          <w:color w:val="000000" w:themeColor="text1"/>
          <w:lang w:val="en-US" w:eastAsia="zh-CN"/>
          <w14:textFill>
            <w14:solidFill>
              <w14:schemeClr w14:val="tx1"/>
            </w14:solidFill>
          </w14:textFill>
        </w:rPr>
        <w:t>附图</w:t>
      </w:r>
      <w:bookmarkEnd w:id="402"/>
    </w:p>
    <w:p w14:paraId="46ADB45B">
      <w:pPr>
        <w:pStyle w:val="57"/>
        <w:keepNext w:val="0"/>
        <w:keepLines w:val="0"/>
        <w:pageBreakBefore w:val="0"/>
        <w:widowControl w:val="0"/>
        <w:kinsoku/>
        <w:wordWrap/>
        <w:overflowPunct/>
        <w:topLinePunct w:val="0"/>
        <w:autoSpaceDE/>
        <w:autoSpaceDN/>
        <w:bidi w:val="0"/>
        <w:adjustRightInd/>
        <w:snapToGrid/>
        <w:spacing w:line="500" w:lineRule="exact"/>
        <w:ind w:firstLine="1120" w:firstLineChars="4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1、总平面布置图</w:t>
      </w:r>
    </w:p>
    <w:p w14:paraId="424A3D36">
      <w:pPr>
        <w:keepNext w:val="0"/>
        <w:keepLines w:val="0"/>
        <w:pageBreakBefore w:val="0"/>
        <w:widowControl w:val="0"/>
        <w:kinsoku/>
        <w:bidi w:val="0"/>
        <w:rPr>
          <w:rFonts w:hint="eastAsia"/>
          <w:color w:val="000000" w:themeColor="text1"/>
          <w14:textFill>
            <w14:solidFill>
              <w14:schemeClr w14:val="tx1"/>
            </w14:solidFill>
          </w14:textFill>
        </w:rPr>
      </w:pPr>
    </w:p>
    <w:p w14:paraId="55E2F85C">
      <w:pPr>
        <w:keepNext w:val="0"/>
        <w:keepLines w:val="0"/>
        <w:pageBreakBefore w:val="0"/>
        <w:widowControl w:val="0"/>
        <w:kinsoku/>
        <w:bidi w:val="0"/>
        <w:rPr>
          <w:rFonts w:hint="eastAsia"/>
          <w:color w:val="000000" w:themeColor="text1"/>
          <w14:textFill>
            <w14:solidFill>
              <w14:schemeClr w14:val="tx1"/>
            </w14:solidFill>
          </w14:textFill>
        </w:rPr>
      </w:pPr>
    </w:p>
    <w:p w14:paraId="20F02412">
      <w:pPr>
        <w:keepNext w:val="0"/>
        <w:keepLines w:val="0"/>
        <w:pageBreakBefore w:val="0"/>
        <w:widowControl w:val="0"/>
        <w:kinsoku/>
        <w:bidi w:val="0"/>
        <w:jc w:val="center"/>
        <w:rPr>
          <w:rFonts w:hint="eastAsia"/>
          <w:color w:val="000000" w:themeColor="text1"/>
          <w14:textFill>
            <w14:solidFill>
              <w14:schemeClr w14:val="tx1"/>
            </w14:solidFill>
          </w14:textFill>
        </w:rPr>
      </w:pPr>
    </w:p>
    <w:p w14:paraId="73195C5A">
      <w:pPr>
        <w:keepNext w:val="0"/>
        <w:keepLines w:val="0"/>
        <w:pageBreakBefore w:val="0"/>
        <w:widowControl w:val="0"/>
        <w:kinsoku/>
        <w:bidi w:val="0"/>
        <w:rPr>
          <w:rFonts w:hint="default"/>
          <w:color w:val="000000" w:themeColor="text1"/>
          <w:lang w:val="en-US" w:eastAsia="zh-CN"/>
          <w14:textFill>
            <w14:solidFill>
              <w14:schemeClr w14:val="tx1"/>
            </w14:solidFill>
          </w14:textFill>
        </w:rPr>
      </w:pPr>
    </w:p>
    <w:sectPr>
      <w:pgSz w:w="11906" w:h="16838"/>
      <w:pgMar w:top="1417" w:right="1417" w:bottom="1417" w:left="1587" w:header="851" w:footer="992" w:gutter="0"/>
      <w:pgNumType w:fmt="decimal"/>
      <w:cols w:space="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CE215">
    <w:pPr>
      <w:pStyle w:val="18"/>
      <w:ind w:firstLine="0" w:firstLineChars="0"/>
      <w:rPr>
        <w:rFonts w:hint="eastAsia" w:eastAsia="宋体"/>
        <w:lang w:eastAsia="zh-CN"/>
      </w:rPr>
    </w:pPr>
    <w:r>
      <w:rPr>
        <w:rFonts w:hint="eastAsia"/>
      </w:rPr>
      <w:t>昭通市鼎安科技有限公司</w:t>
    </w:r>
  </w:p>
  <w:p w14:paraId="4BA8D4A4">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7449A">
    <w:pPr>
      <w:pStyle w:val="18"/>
      <w:ind w:firstLine="0" w:firstLineChars="0"/>
      <w:rPr>
        <w:rFonts w:hint="eastAsia" w:eastAsia="宋体"/>
        <w:lang w:eastAsia="zh-CN"/>
      </w:rPr>
    </w:pPr>
    <w:r>
      <w:rPr>
        <w:rFonts w:hint="eastAsia"/>
      </w:rPr>
      <w:t>昭通市鼎安科技有限公司</w:t>
    </w:r>
  </w:p>
  <w:p w14:paraId="00348C4A">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6B017">
    <w:pPr>
      <w:pStyle w:val="18"/>
      <w:ind w:firstLine="0" w:firstLineChars="0"/>
      <w:rPr>
        <w:rFonts w:hint="default" w:eastAsia="宋体"/>
        <w:lang w:val="en-US" w:eastAsia="zh-CN"/>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9B24DA">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449B24DA">
                    <w:pPr>
                      <w:pStyle w:val="18"/>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91E429"/>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0391E429"/>
                </w:txbxContent>
              </v:textbox>
            </v:shape>
          </w:pict>
        </mc:Fallback>
      </mc:AlternateContent>
    </w:r>
    <w:r>
      <w:rPr>
        <w:rFonts w:hint="eastAsia"/>
      </w:rPr>
      <w:t>昭通市鼎安科技有限公司</w:t>
    </w:r>
    <w:r>
      <w:rPr>
        <w:rFonts w:hint="eastAsia"/>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DCF1D">
    <w:pPr>
      <w:pStyle w:val="18"/>
      <w:ind w:firstLine="0" w:firstLineChars="0"/>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5AAC76">
                          <w:pPr>
                            <w:pStyle w:val="18"/>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A5AAC76">
                    <w:pPr>
                      <w:pStyle w:val="18"/>
                    </w:pPr>
                    <w:r>
                      <w:fldChar w:fldCharType="begin"/>
                    </w:r>
                    <w:r>
                      <w:instrText xml:space="preserve"> PAGE  \* MERGEFORMAT </w:instrText>
                    </w:r>
                    <w:r>
                      <w:fldChar w:fldCharType="separate"/>
                    </w:r>
                    <w:r>
                      <w:t>0</w:t>
                    </w:r>
                    <w:r>
                      <w:fldChar w:fldCharType="end"/>
                    </w:r>
                  </w:p>
                </w:txbxContent>
              </v:textbox>
            </v:shape>
          </w:pict>
        </mc:Fallback>
      </mc:AlternateContent>
    </w:r>
    <w:r>
      <w:rPr>
        <w:rFonts w:hint="eastAsia"/>
      </w:rPr>
      <w:t>昭通市鼎安科技有限公司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8C580">
    <w:pPr>
      <w:pStyle w:val="18"/>
      <w:ind w:firstLine="0" w:firstLineChars="0"/>
    </w:pPr>
    <w:r>
      <w:rPr>
        <w:sz w:val="21"/>
      </w:rPr>
      <mc:AlternateContent>
        <mc:Choice Requires="wps">
          <w:drawing>
            <wp:anchor distT="0" distB="0" distL="114300" distR="114300" simplePos="0" relativeHeight="251664384" behindDoc="0" locked="0" layoutInCell="1" allowOverlap="1">
              <wp:simplePos x="0" y="0"/>
              <wp:positionH relativeFrom="margin">
                <wp:posOffset>2623185</wp:posOffset>
              </wp:positionH>
              <wp:positionV relativeFrom="paragraph">
                <wp:posOffset>-53975</wp:posOffset>
              </wp:positionV>
              <wp:extent cx="62357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6235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B1B572">
                          <w:pPr>
                            <w:pStyle w:val="1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6.55pt;margin-top:-4.25pt;height:144pt;width:49.1pt;mso-position-horizontal-relative:margin;z-index:251664384;mso-width-relative:page;mso-height-relative:page;" filled="f" stroked="f" coordsize="21600,21600" o:gfxdata="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O53iS2QAAAAoBAAAPAAAAAAAAAAEAIAAAACIAAABkcnMvZG93&#10;bnJldi54bWxQSwECFAAUAAAACACHTuJAcz0u0jgCAABkBAAADgAAAAAAAAABACAAAAAoAQAAZHJz&#10;L2Uyb0RvYy54bWxQSwUGAAAAAAYABgBZAQAA0gUAAAAA&#10;">
              <v:fill on="f" focussize="0,0"/>
              <v:stroke on="f" weight="0.5pt"/>
              <v:imagedata o:title=""/>
              <o:lock v:ext="edit" aspectratio="f"/>
              <v:textbox inset="0mm,0mm,0mm,0mm" style="mso-fit-shape-to-text:t;">
                <w:txbxContent>
                  <w:p w14:paraId="64B1B572">
                    <w:pPr>
                      <w:pStyle w:val="18"/>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rPr>
      <w:t>昭通市鼎安科技有限公司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D3B17">
    <w:pPr>
      <w:pStyle w:val="18"/>
      <w:ind w:firstLine="0" w:firstLineChars="0"/>
    </w:pPr>
    <w:r>
      <w:rPr>
        <w:sz w:val="21"/>
      </w:rPr>
      <mc:AlternateContent>
        <mc:Choice Requires="wps">
          <w:drawing>
            <wp:anchor distT="0" distB="0" distL="114300" distR="114300" simplePos="0" relativeHeight="251667456" behindDoc="0" locked="0" layoutInCell="1" allowOverlap="1">
              <wp:simplePos x="0" y="0"/>
              <wp:positionH relativeFrom="margin">
                <wp:posOffset>2623185</wp:posOffset>
              </wp:positionH>
              <wp:positionV relativeFrom="paragraph">
                <wp:posOffset>-53975</wp:posOffset>
              </wp:positionV>
              <wp:extent cx="62357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6235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D90DF6">
                          <w:pPr>
                            <w:pStyle w:val="1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6.55pt;margin-top:-4.25pt;height:144pt;width:49.1pt;mso-position-horizontal-relative:margin;z-index:251667456;mso-width-relative:page;mso-height-relative:page;" filled="f" stroked="f" coordsize="21600,21600" o:gfxdata="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O53iS2QAAAAoBAAAPAAAAAAAAAAEAIAAAACIAAABkcnMvZG93&#10;bnJldi54bWxQSwECFAAUAAAACACHTuJAnTR8rDgCAABkBAAADgAAAAAAAAABACAAAAAoAQAAZHJz&#10;L2Uyb0RvYy54bWxQSwUGAAAAAAYABgBZAQAA0gUAAAAA&#10;">
              <v:fill on="f" focussize="0,0"/>
              <v:stroke on="f" weight="0.5pt"/>
              <v:imagedata o:title=""/>
              <o:lock v:ext="edit" aspectratio="f"/>
              <v:textbox inset="0mm,0mm,0mm,0mm" style="mso-fit-shape-to-text:t;">
                <w:txbxContent>
                  <w:p w14:paraId="54D90DF6">
                    <w:pPr>
                      <w:pStyle w:val="18"/>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rPr>
      <w:t>昭通市鼎安科技有限公司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C4E63">
    <w:pPr>
      <w:pStyle w:val="18"/>
      <w:ind w:firstLine="0" w:firstLineChars="0"/>
    </w:pPr>
    <w:r>
      <w:rPr>
        <w:sz w:val="21"/>
      </w:rPr>
      <mc:AlternateContent>
        <mc:Choice Requires="wps">
          <w:drawing>
            <wp:anchor distT="0" distB="0" distL="114300" distR="114300" simplePos="0" relativeHeight="251666432" behindDoc="0" locked="0" layoutInCell="1" allowOverlap="1">
              <wp:simplePos x="0" y="0"/>
              <wp:positionH relativeFrom="margin">
                <wp:posOffset>2623185</wp:posOffset>
              </wp:positionH>
              <wp:positionV relativeFrom="paragraph">
                <wp:posOffset>-53975</wp:posOffset>
              </wp:positionV>
              <wp:extent cx="62357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6235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12E54">
                          <w:pPr>
                            <w:pStyle w:val="1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6.55pt;margin-top:-4.25pt;height:144pt;width:49.1pt;mso-position-horizontal-relative:margin;z-index:251666432;mso-width-relative:page;mso-height-relative:page;" filled="f" stroked="f" coordsize="21600,21600" o:gfxdata="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O53iS2QAAAAoBAAAPAAAAAAAAAAEAIAAAACIAAABkcnMvZG93&#10;bnJldi54bWxQSwECFAAUAAAACACHTuJAiYNBNDgCAABkBAAADgAAAAAAAAABACAAAAAoAQAAZHJz&#10;L2Uyb0RvYy54bWxQSwUGAAAAAAYABgBZAQAA0gUAAAAA&#10;">
              <v:fill on="f" focussize="0,0"/>
              <v:stroke on="f" weight="0.5pt"/>
              <v:imagedata o:title=""/>
              <o:lock v:ext="edit" aspectratio="f"/>
              <v:textbox inset="0mm,0mm,0mm,0mm" style="mso-fit-shape-to-text:t;">
                <w:txbxContent>
                  <w:p w14:paraId="72412E54">
                    <w:pPr>
                      <w:pStyle w:val="18"/>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rPr>
      <w:t>昭通市鼎安科技有限公司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AEBDC">
    <w:pPr>
      <w:pStyle w:val="18"/>
      <w:ind w:firstLine="0" w:firstLineChars="0"/>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58547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5854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00D948">
                          <w:pPr>
                            <w:pStyle w:val="18"/>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46.1pt;mso-position-horizontal:center;mso-position-horizontal-relative:margin;z-index:251665408;mso-width-relative:page;mso-height-relative:page;" filled="f" stroked="f" coordsize="21600,21600" o:gfxdata="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8LfnNNMAAAAEAQAADwAAAAAAAAABACAAAAAiAAAAZHJzL2Rvd25yZXYu&#10;eG1sUEsBAhQAFAAAAAgAh07iQKkz3dQ5AgAAZAQAAA4AAAAAAAAAAQAgAAAAIgEAAGRycy9lMm9E&#10;b2MueG1sUEsFBgAAAAAGAAYAWQEAAM0FAAAAAA==&#10;">
              <v:fill on="f" focussize="0,0"/>
              <v:stroke on="f" weight="0.5pt"/>
              <v:imagedata o:title=""/>
              <o:lock v:ext="edit" aspectratio="f"/>
              <v:textbox inset="0mm,0mm,0mm,0mm" style="mso-fit-shape-to-text:t;">
                <w:txbxContent>
                  <w:p w14:paraId="5300D948">
                    <w:pPr>
                      <w:pStyle w:val="18"/>
                    </w:pPr>
                    <w:r>
                      <w:fldChar w:fldCharType="begin"/>
                    </w:r>
                    <w:r>
                      <w:instrText xml:space="preserve"> PAGE  \* MERGEFORMAT </w:instrText>
                    </w:r>
                    <w:r>
                      <w:fldChar w:fldCharType="separate"/>
                    </w:r>
                    <w:r>
                      <w:t>66</w:t>
                    </w:r>
                    <w:r>
                      <w:fldChar w:fldCharType="end"/>
                    </w:r>
                  </w:p>
                </w:txbxContent>
              </v:textbox>
            </v:shape>
          </w:pict>
        </mc:Fallback>
      </mc:AlternateContent>
    </w:r>
    <w:r>
      <w:rPr>
        <w:rFonts w:hint="eastAsia"/>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5A23C">
    <w:pPr>
      <w:pStyle w:val="19"/>
      <w:pBdr>
        <w:bottom w:val="thinThickSmallGap" w:color="auto" w:sz="12" w:space="1"/>
      </w:pBdr>
      <w:ind w:left="0" w:leftChars="0" w:right="0" w:rightChars="0" w:firstLine="0" w:firstLineChars="0"/>
      <w:jc w:val="center"/>
      <w:rPr>
        <w:sz w:val="21"/>
        <w:szCs w:val="21"/>
      </w:rPr>
    </w:pPr>
    <w:r>
      <w:rPr>
        <w:rFonts w:hint="eastAsia"/>
        <w:sz w:val="21"/>
        <w:szCs w:val="21"/>
        <w:lang w:eastAsia="zh-CN"/>
      </w:rPr>
      <w:t>华能澜沧江（景洪）新能源有限公司</w:t>
    </w:r>
    <w:r>
      <w:rPr>
        <w:rFonts w:hint="eastAsia"/>
        <w:sz w:val="21"/>
        <w:szCs w:val="21"/>
        <w:lang w:val="en-US" w:eastAsia="zh-CN"/>
      </w:rPr>
      <w:t>基诺乡巴卡村洛科新寨</w:t>
    </w:r>
    <w:r>
      <w:rPr>
        <w:rFonts w:hint="eastAsia"/>
        <w:sz w:val="21"/>
        <w:szCs w:val="21"/>
        <w:lang w:eastAsia="zh-CN"/>
      </w:rPr>
      <w:t>光伏电站</w:t>
    </w:r>
    <w:r>
      <w:rPr>
        <w:rFonts w:hint="eastAsia"/>
        <w:sz w:val="21"/>
        <w:szCs w:val="21"/>
      </w:rPr>
      <w:t>安全</w:t>
    </w:r>
    <w:r>
      <w:rPr>
        <w:rFonts w:hint="eastAsia"/>
        <w:sz w:val="21"/>
        <w:szCs w:val="21"/>
        <w:lang w:val="en-US" w:eastAsia="zh-CN"/>
      </w:rPr>
      <w:t>设施</w:t>
    </w:r>
    <w:r>
      <w:rPr>
        <w:rFonts w:hint="eastAsia"/>
        <w:sz w:val="21"/>
        <w:szCs w:val="21"/>
      </w:rPr>
      <w:t>验收评价报告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21036">
    <w:pPr>
      <w:pStyle w:val="19"/>
      <w:pBdr>
        <w:bottom w:val="thinThickSmallGap" w:color="auto" w:sz="12" w:space="1"/>
      </w:pBdr>
      <w:ind w:left="0" w:leftChars="0" w:right="0" w:rightChars="0" w:firstLine="0" w:firstLineChars="0"/>
      <w:jc w:val="center"/>
      <w:rPr>
        <w:sz w:val="21"/>
        <w:szCs w:val="21"/>
      </w:rPr>
    </w:pPr>
    <w:r>
      <w:rPr>
        <w:rFonts w:hint="eastAsia"/>
        <w:sz w:val="21"/>
        <w:szCs w:val="21"/>
        <w:lang w:eastAsia="zh-CN"/>
      </w:rPr>
      <w:t>华能澜沧江（景洪）新能源有限公司基诺乡巴卡村洛科新寨光伏电站</w:t>
    </w:r>
    <w:r>
      <w:rPr>
        <w:rFonts w:hint="eastAsia"/>
        <w:sz w:val="21"/>
        <w:szCs w:val="21"/>
      </w:rPr>
      <w:t>安全</w:t>
    </w:r>
    <w:r>
      <w:rPr>
        <w:rFonts w:hint="eastAsia"/>
        <w:sz w:val="21"/>
        <w:szCs w:val="21"/>
        <w:lang w:val="en-US" w:eastAsia="zh-CN"/>
      </w:rPr>
      <w:t>设施</w:t>
    </w:r>
    <w:r>
      <w:rPr>
        <w:rFonts w:hint="eastAsia"/>
        <w:sz w:val="21"/>
        <w:szCs w:val="21"/>
      </w:rPr>
      <w:t>验收评价报告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2FD35"/>
    <w:multiLevelType w:val="singleLevel"/>
    <w:tmpl w:val="8072FD35"/>
    <w:lvl w:ilvl="0" w:tentative="0">
      <w:start w:val="1"/>
      <w:numFmt w:val="decimal"/>
      <w:suff w:val="nothing"/>
      <w:lvlText w:val="%1．"/>
      <w:lvlJc w:val="left"/>
      <w:pPr>
        <w:ind w:left="0" w:firstLine="400"/>
      </w:pPr>
      <w:rPr>
        <w:rFonts w:hint="default"/>
      </w:rPr>
    </w:lvl>
  </w:abstractNum>
  <w:abstractNum w:abstractNumId="1">
    <w:nsid w:val="8D64691E"/>
    <w:multiLevelType w:val="singleLevel"/>
    <w:tmpl w:val="8D64691E"/>
    <w:lvl w:ilvl="0" w:tentative="0">
      <w:start w:val="1"/>
      <w:numFmt w:val="decimal"/>
      <w:suff w:val="nothing"/>
      <w:lvlText w:val="%1"/>
      <w:lvlJc w:val="left"/>
      <w:pPr>
        <w:tabs>
          <w:tab w:val="left" w:pos="0"/>
        </w:tabs>
        <w:ind w:left="425" w:hanging="425"/>
      </w:pPr>
      <w:rPr>
        <w:rFonts w:hint="default"/>
      </w:rPr>
    </w:lvl>
  </w:abstractNum>
  <w:abstractNum w:abstractNumId="2">
    <w:nsid w:val="8E8D5B3D"/>
    <w:multiLevelType w:val="singleLevel"/>
    <w:tmpl w:val="8E8D5B3D"/>
    <w:lvl w:ilvl="0" w:tentative="0">
      <w:start w:val="1"/>
      <w:numFmt w:val="decimal"/>
      <w:suff w:val="nothing"/>
      <w:lvlText w:val="%1"/>
      <w:lvlJc w:val="left"/>
      <w:pPr>
        <w:tabs>
          <w:tab w:val="left" w:pos="0"/>
        </w:tabs>
        <w:ind w:left="425" w:hanging="425"/>
      </w:pPr>
      <w:rPr>
        <w:rFonts w:hint="default"/>
      </w:rPr>
    </w:lvl>
  </w:abstractNum>
  <w:abstractNum w:abstractNumId="3">
    <w:nsid w:val="9038A1EE"/>
    <w:multiLevelType w:val="singleLevel"/>
    <w:tmpl w:val="9038A1EE"/>
    <w:lvl w:ilvl="0" w:tentative="0">
      <w:start w:val="1"/>
      <w:numFmt w:val="decimal"/>
      <w:suff w:val="nothing"/>
      <w:lvlText w:val="%1"/>
      <w:lvlJc w:val="left"/>
      <w:pPr>
        <w:tabs>
          <w:tab w:val="left" w:pos="0"/>
        </w:tabs>
        <w:ind w:left="425" w:hanging="425"/>
      </w:pPr>
      <w:rPr>
        <w:rFonts w:hint="default"/>
      </w:rPr>
    </w:lvl>
  </w:abstractNum>
  <w:abstractNum w:abstractNumId="4">
    <w:nsid w:val="934F3B40"/>
    <w:multiLevelType w:val="singleLevel"/>
    <w:tmpl w:val="934F3B40"/>
    <w:lvl w:ilvl="0" w:tentative="0">
      <w:start w:val="1"/>
      <w:numFmt w:val="decimal"/>
      <w:suff w:val="space"/>
      <w:lvlText w:val="(%1)"/>
      <w:lvlJc w:val="left"/>
      <w:pPr>
        <w:ind w:left="425" w:hanging="425"/>
      </w:pPr>
      <w:rPr>
        <w:rFonts w:hint="default"/>
      </w:rPr>
    </w:lvl>
  </w:abstractNum>
  <w:abstractNum w:abstractNumId="5">
    <w:nsid w:val="959A01F9"/>
    <w:multiLevelType w:val="singleLevel"/>
    <w:tmpl w:val="959A01F9"/>
    <w:lvl w:ilvl="0" w:tentative="0">
      <w:start w:val="1"/>
      <w:numFmt w:val="decimal"/>
      <w:suff w:val="space"/>
      <w:lvlText w:val="(%1)"/>
      <w:lvlJc w:val="left"/>
      <w:pPr>
        <w:ind w:left="425" w:hanging="425"/>
      </w:pPr>
      <w:rPr>
        <w:rFonts w:hint="default"/>
      </w:rPr>
    </w:lvl>
  </w:abstractNum>
  <w:abstractNum w:abstractNumId="6">
    <w:nsid w:val="97348E90"/>
    <w:multiLevelType w:val="singleLevel"/>
    <w:tmpl w:val="97348E90"/>
    <w:lvl w:ilvl="0" w:tentative="0">
      <w:start w:val="1"/>
      <w:numFmt w:val="decimal"/>
      <w:suff w:val="nothing"/>
      <w:lvlText w:val="%1"/>
      <w:lvlJc w:val="left"/>
      <w:pPr>
        <w:tabs>
          <w:tab w:val="left" w:pos="0"/>
        </w:tabs>
        <w:ind w:left="425" w:hanging="425"/>
      </w:pPr>
      <w:rPr>
        <w:rFonts w:hint="default"/>
      </w:rPr>
    </w:lvl>
  </w:abstractNum>
  <w:abstractNum w:abstractNumId="7">
    <w:nsid w:val="9B0C0A99"/>
    <w:multiLevelType w:val="singleLevel"/>
    <w:tmpl w:val="9B0C0A99"/>
    <w:lvl w:ilvl="0" w:tentative="0">
      <w:start w:val="1"/>
      <w:numFmt w:val="decimal"/>
      <w:lvlText w:val="%1."/>
      <w:lvlJc w:val="left"/>
      <w:pPr>
        <w:ind w:left="425" w:hanging="425"/>
      </w:pPr>
      <w:rPr>
        <w:rFonts w:hint="default"/>
      </w:rPr>
    </w:lvl>
  </w:abstractNum>
  <w:abstractNum w:abstractNumId="8">
    <w:nsid w:val="A310CD94"/>
    <w:multiLevelType w:val="singleLevel"/>
    <w:tmpl w:val="A310CD94"/>
    <w:lvl w:ilvl="0" w:tentative="0">
      <w:start w:val="1"/>
      <w:numFmt w:val="decimal"/>
      <w:suff w:val="nothing"/>
      <w:lvlText w:val="%1．"/>
      <w:lvlJc w:val="left"/>
      <w:pPr>
        <w:ind w:left="0" w:firstLine="400"/>
      </w:pPr>
      <w:rPr>
        <w:rFonts w:hint="default"/>
      </w:rPr>
    </w:lvl>
  </w:abstractNum>
  <w:abstractNum w:abstractNumId="9">
    <w:nsid w:val="A37AFE44"/>
    <w:multiLevelType w:val="singleLevel"/>
    <w:tmpl w:val="A37AFE44"/>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10">
    <w:nsid w:val="A3BCECA2"/>
    <w:multiLevelType w:val="singleLevel"/>
    <w:tmpl w:val="A3BCECA2"/>
    <w:lvl w:ilvl="0" w:tentative="0">
      <w:start w:val="1"/>
      <w:numFmt w:val="decimal"/>
      <w:suff w:val="nothing"/>
      <w:lvlText w:val="%1．"/>
      <w:lvlJc w:val="left"/>
      <w:pPr>
        <w:ind w:left="0" w:firstLine="400"/>
      </w:pPr>
      <w:rPr>
        <w:rFonts w:hint="default"/>
      </w:rPr>
    </w:lvl>
  </w:abstractNum>
  <w:abstractNum w:abstractNumId="11">
    <w:nsid w:val="A455993E"/>
    <w:multiLevelType w:val="singleLevel"/>
    <w:tmpl w:val="A455993E"/>
    <w:lvl w:ilvl="0" w:tentative="0">
      <w:start w:val="1"/>
      <w:numFmt w:val="decimal"/>
      <w:suff w:val="space"/>
      <w:lvlText w:val="(%1)"/>
      <w:lvlJc w:val="left"/>
      <w:pPr>
        <w:ind w:left="425" w:hanging="425"/>
      </w:pPr>
      <w:rPr>
        <w:rFonts w:hint="default" w:ascii="宋体" w:hAnsi="宋体" w:eastAsia="宋体" w:cs="宋体"/>
      </w:rPr>
    </w:lvl>
  </w:abstractNum>
  <w:abstractNum w:abstractNumId="12">
    <w:nsid w:val="AA1CF7E3"/>
    <w:multiLevelType w:val="singleLevel"/>
    <w:tmpl w:val="AA1CF7E3"/>
    <w:lvl w:ilvl="0" w:tentative="0">
      <w:start w:val="1"/>
      <w:numFmt w:val="decimal"/>
      <w:suff w:val="nothing"/>
      <w:lvlText w:val="%1．"/>
      <w:lvlJc w:val="left"/>
      <w:pPr>
        <w:ind w:left="0" w:firstLine="400"/>
      </w:pPr>
      <w:rPr>
        <w:rFonts w:hint="default"/>
      </w:rPr>
    </w:lvl>
  </w:abstractNum>
  <w:abstractNum w:abstractNumId="13">
    <w:nsid w:val="AAC0ABDF"/>
    <w:multiLevelType w:val="singleLevel"/>
    <w:tmpl w:val="AAC0ABDF"/>
    <w:lvl w:ilvl="0" w:tentative="0">
      <w:start w:val="1"/>
      <w:numFmt w:val="decimal"/>
      <w:suff w:val="nothing"/>
      <w:lvlText w:val="%1．"/>
      <w:lvlJc w:val="left"/>
      <w:pPr>
        <w:ind w:left="0" w:firstLine="400"/>
      </w:pPr>
      <w:rPr>
        <w:rFonts w:hint="default"/>
      </w:rPr>
    </w:lvl>
  </w:abstractNum>
  <w:abstractNum w:abstractNumId="14">
    <w:nsid w:val="ACF03355"/>
    <w:multiLevelType w:val="singleLevel"/>
    <w:tmpl w:val="ACF03355"/>
    <w:lvl w:ilvl="0" w:tentative="0">
      <w:start w:val="1"/>
      <w:numFmt w:val="decimal"/>
      <w:suff w:val="nothing"/>
      <w:lvlText w:val="%1"/>
      <w:lvlJc w:val="left"/>
      <w:pPr>
        <w:tabs>
          <w:tab w:val="left" w:pos="0"/>
        </w:tabs>
        <w:ind w:left="425" w:hanging="425"/>
      </w:pPr>
      <w:rPr>
        <w:rFonts w:hint="default"/>
      </w:rPr>
    </w:lvl>
  </w:abstractNum>
  <w:abstractNum w:abstractNumId="15">
    <w:nsid w:val="AD6E3169"/>
    <w:multiLevelType w:val="singleLevel"/>
    <w:tmpl w:val="AD6E3169"/>
    <w:lvl w:ilvl="0" w:tentative="0">
      <w:start w:val="1"/>
      <w:numFmt w:val="decimal"/>
      <w:suff w:val="nothing"/>
      <w:lvlText w:val="%1．"/>
      <w:lvlJc w:val="left"/>
      <w:pPr>
        <w:ind w:left="280" w:firstLine="400"/>
      </w:pPr>
      <w:rPr>
        <w:rFonts w:hint="default"/>
      </w:rPr>
    </w:lvl>
  </w:abstractNum>
  <w:abstractNum w:abstractNumId="16">
    <w:nsid w:val="ADD59CD5"/>
    <w:multiLevelType w:val="singleLevel"/>
    <w:tmpl w:val="ADD59CD5"/>
    <w:lvl w:ilvl="0" w:tentative="0">
      <w:start w:val="1"/>
      <w:numFmt w:val="decimal"/>
      <w:suff w:val="nothing"/>
      <w:lvlText w:val="%1"/>
      <w:lvlJc w:val="left"/>
      <w:pPr>
        <w:tabs>
          <w:tab w:val="left" w:pos="0"/>
        </w:tabs>
        <w:ind w:left="425" w:hanging="425"/>
      </w:pPr>
      <w:rPr>
        <w:rFonts w:hint="default"/>
      </w:rPr>
    </w:lvl>
  </w:abstractNum>
  <w:abstractNum w:abstractNumId="17">
    <w:nsid w:val="AE4E9D74"/>
    <w:multiLevelType w:val="singleLevel"/>
    <w:tmpl w:val="AE4E9D74"/>
    <w:lvl w:ilvl="0" w:tentative="0">
      <w:start w:val="1"/>
      <w:numFmt w:val="decimal"/>
      <w:suff w:val="nothing"/>
      <w:lvlText w:val="(%1)"/>
      <w:lvlJc w:val="left"/>
      <w:pPr>
        <w:ind w:left="425" w:hanging="425"/>
      </w:pPr>
      <w:rPr>
        <w:rFonts w:hint="default" w:ascii="宋体" w:hAnsi="宋体" w:eastAsia="宋体" w:cs="宋体"/>
        <w:sz w:val="28"/>
        <w:szCs w:val="28"/>
      </w:rPr>
    </w:lvl>
  </w:abstractNum>
  <w:abstractNum w:abstractNumId="18">
    <w:nsid w:val="AF79EE75"/>
    <w:multiLevelType w:val="singleLevel"/>
    <w:tmpl w:val="AF79EE75"/>
    <w:lvl w:ilvl="0" w:tentative="0">
      <w:start w:val="1"/>
      <w:numFmt w:val="decimal"/>
      <w:suff w:val="nothing"/>
      <w:lvlText w:val="%1．"/>
      <w:lvlJc w:val="left"/>
      <w:pPr>
        <w:ind w:left="0" w:firstLine="400"/>
      </w:pPr>
      <w:rPr>
        <w:rFonts w:hint="default"/>
      </w:rPr>
    </w:lvl>
  </w:abstractNum>
  <w:abstractNum w:abstractNumId="19">
    <w:nsid w:val="B23DF75D"/>
    <w:multiLevelType w:val="singleLevel"/>
    <w:tmpl w:val="B23DF75D"/>
    <w:lvl w:ilvl="0" w:tentative="0">
      <w:start w:val="1"/>
      <w:numFmt w:val="decimal"/>
      <w:suff w:val="nothing"/>
      <w:lvlText w:val="%1．"/>
      <w:lvlJc w:val="left"/>
      <w:pPr>
        <w:ind w:left="0" w:firstLine="400"/>
      </w:pPr>
      <w:rPr>
        <w:rFonts w:hint="default"/>
      </w:rPr>
    </w:lvl>
  </w:abstractNum>
  <w:abstractNum w:abstractNumId="20">
    <w:nsid w:val="B51A0D3D"/>
    <w:multiLevelType w:val="singleLevel"/>
    <w:tmpl w:val="B51A0D3D"/>
    <w:lvl w:ilvl="0" w:tentative="0">
      <w:start w:val="1"/>
      <w:numFmt w:val="decimal"/>
      <w:suff w:val="nothing"/>
      <w:lvlText w:val="%1．"/>
      <w:lvlJc w:val="left"/>
      <w:pPr>
        <w:ind w:left="0" w:firstLine="400"/>
      </w:pPr>
      <w:rPr>
        <w:rFonts w:hint="default"/>
      </w:rPr>
    </w:lvl>
  </w:abstractNum>
  <w:abstractNum w:abstractNumId="21">
    <w:nsid w:val="B5A31D75"/>
    <w:multiLevelType w:val="singleLevel"/>
    <w:tmpl w:val="B5A31D75"/>
    <w:lvl w:ilvl="0" w:tentative="0">
      <w:start w:val="1"/>
      <w:numFmt w:val="decimal"/>
      <w:suff w:val="nothing"/>
      <w:lvlText w:val="%1"/>
      <w:lvlJc w:val="left"/>
      <w:pPr>
        <w:tabs>
          <w:tab w:val="left" w:pos="0"/>
        </w:tabs>
        <w:ind w:left="425" w:hanging="425"/>
      </w:pPr>
      <w:rPr>
        <w:rFonts w:hint="default"/>
      </w:rPr>
    </w:lvl>
  </w:abstractNum>
  <w:abstractNum w:abstractNumId="22">
    <w:nsid w:val="B81395F1"/>
    <w:multiLevelType w:val="singleLevel"/>
    <w:tmpl w:val="B81395F1"/>
    <w:lvl w:ilvl="0" w:tentative="0">
      <w:start w:val="1"/>
      <w:numFmt w:val="decimal"/>
      <w:suff w:val="nothing"/>
      <w:lvlText w:val="%1．"/>
      <w:lvlJc w:val="left"/>
      <w:pPr>
        <w:ind w:left="0" w:firstLine="400"/>
      </w:pPr>
      <w:rPr>
        <w:rFonts w:hint="default"/>
      </w:rPr>
    </w:lvl>
  </w:abstractNum>
  <w:abstractNum w:abstractNumId="23">
    <w:nsid w:val="BAE274A3"/>
    <w:multiLevelType w:val="singleLevel"/>
    <w:tmpl w:val="BAE274A3"/>
    <w:lvl w:ilvl="0" w:tentative="0">
      <w:start w:val="1"/>
      <w:numFmt w:val="decimal"/>
      <w:suff w:val="nothing"/>
      <w:lvlText w:val="%1"/>
      <w:lvlJc w:val="left"/>
      <w:pPr>
        <w:tabs>
          <w:tab w:val="left" w:pos="0"/>
        </w:tabs>
        <w:ind w:left="425" w:hanging="425"/>
      </w:pPr>
      <w:rPr>
        <w:rFonts w:hint="default"/>
      </w:rPr>
    </w:lvl>
  </w:abstractNum>
  <w:abstractNum w:abstractNumId="24">
    <w:nsid w:val="BEA4F242"/>
    <w:multiLevelType w:val="singleLevel"/>
    <w:tmpl w:val="BEA4F242"/>
    <w:lvl w:ilvl="0" w:tentative="0">
      <w:start w:val="1"/>
      <w:numFmt w:val="decimal"/>
      <w:suff w:val="nothing"/>
      <w:lvlText w:val="%1．"/>
      <w:lvlJc w:val="left"/>
      <w:pPr>
        <w:ind w:left="0" w:firstLine="400"/>
      </w:pPr>
      <w:rPr>
        <w:rFonts w:hint="default"/>
      </w:rPr>
    </w:lvl>
  </w:abstractNum>
  <w:abstractNum w:abstractNumId="25">
    <w:nsid w:val="C1B9B044"/>
    <w:multiLevelType w:val="singleLevel"/>
    <w:tmpl w:val="C1B9B044"/>
    <w:lvl w:ilvl="0" w:tentative="0">
      <w:start w:val="1"/>
      <w:numFmt w:val="decimal"/>
      <w:suff w:val="nothing"/>
      <w:lvlText w:val="%1）"/>
      <w:lvlJc w:val="left"/>
    </w:lvl>
  </w:abstractNum>
  <w:abstractNum w:abstractNumId="26">
    <w:nsid w:val="C59C0E11"/>
    <w:multiLevelType w:val="singleLevel"/>
    <w:tmpl w:val="C59C0E11"/>
    <w:lvl w:ilvl="0" w:tentative="0">
      <w:start w:val="1"/>
      <w:numFmt w:val="decimal"/>
      <w:suff w:val="nothing"/>
      <w:lvlText w:val="%1．"/>
      <w:lvlJc w:val="left"/>
      <w:pPr>
        <w:ind w:left="0" w:firstLine="400"/>
      </w:pPr>
      <w:rPr>
        <w:rFonts w:hint="default"/>
      </w:rPr>
    </w:lvl>
  </w:abstractNum>
  <w:abstractNum w:abstractNumId="27">
    <w:nsid w:val="C8C67933"/>
    <w:multiLevelType w:val="singleLevel"/>
    <w:tmpl w:val="C8C67933"/>
    <w:lvl w:ilvl="0" w:tentative="0">
      <w:start w:val="1"/>
      <w:numFmt w:val="decimal"/>
      <w:suff w:val="nothing"/>
      <w:lvlText w:val="%1"/>
      <w:lvlJc w:val="left"/>
      <w:pPr>
        <w:tabs>
          <w:tab w:val="left" w:pos="0"/>
        </w:tabs>
        <w:ind w:left="425" w:hanging="425"/>
      </w:pPr>
      <w:rPr>
        <w:rFonts w:hint="default"/>
      </w:rPr>
    </w:lvl>
  </w:abstractNum>
  <w:abstractNum w:abstractNumId="28">
    <w:nsid w:val="CD8ADC7F"/>
    <w:multiLevelType w:val="singleLevel"/>
    <w:tmpl w:val="CD8ADC7F"/>
    <w:lvl w:ilvl="0" w:tentative="0">
      <w:start w:val="1"/>
      <w:numFmt w:val="decimal"/>
      <w:suff w:val="nothing"/>
      <w:lvlText w:val="%1"/>
      <w:lvlJc w:val="left"/>
      <w:pPr>
        <w:tabs>
          <w:tab w:val="left" w:pos="0"/>
        </w:tabs>
        <w:ind w:left="425" w:hanging="425"/>
      </w:pPr>
      <w:rPr>
        <w:rFonts w:hint="default"/>
      </w:rPr>
    </w:lvl>
  </w:abstractNum>
  <w:abstractNum w:abstractNumId="29">
    <w:nsid w:val="D3870C0F"/>
    <w:multiLevelType w:val="singleLevel"/>
    <w:tmpl w:val="D3870C0F"/>
    <w:lvl w:ilvl="0" w:tentative="0">
      <w:start w:val="1"/>
      <w:numFmt w:val="decimal"/>
      <w:suff w:val="nothing"/>
      <w:lvlText w:val="%1"/>
      <w:lvlJc w:val="left"/>
      <w:pPr>
        <w:tabs>
          <w:tab w:val="left" w:pos="0"/>
        </w:tabs>
        <w:ind w:left="425" w:hanging="425"/>
      </w:pPr>
      <w:rPr>
        <w:rFonts w:hint="default"/>
      </w:rPr>
    </w:lvl>
  </w:abstractNum>
  <w:abstractNum w:abstractNumId="30">
    <w:nsid w:val="DA8B707A"/>
    <w:multiLevelType w:val="singleLevel"/>
    <w:tmpl w:val="DA8B707A"/>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31">
    <w:nsid w:val="E4C542CA"/>
    <w:multiLevelType w:val="multilevel"/>
    <w:tmpl w:val="E4C542CA"/>
    <w:lvl w:ilvl="0" w:tentative="0">
      <w:start w:val="1"/>
      <w:numFmt w:val="decimal"/>
      <w:pStyle w:val="2"/>
      <w:suff w:val="space"/>
      <w:lvlText w:val="第%1章"/>
      <w:lvlJc w:val="left"/>
      <w:pPr>
        <w:tabs>
          <w:tab w:val="left" w:pos="0"/>
        </w:tabs>
        <w:ind w:left="432" w:hanging="432"/>
      </w:pPr>
      <w:rPr>
        <w:rFonts w:hint="default" w:ascii="黑体" w:hAnsi="黑体" w:eastAsia="黑体" w:cs="黑体"/>
        <w:b w:val="0"/>
        <w:bCs w:val="0"/>
        <w:sz w:val="36"/>
        <w:szCs w:val="36"/>
      </w:rPr>
    </w:lvl>
    <w:lvl w:ilvl="1" w:tentative="0">
      <w:start w:val="1"/>
      <w:numFmt w:val="decimal"/>
      <w:pStyle w:val="3"/>
      <w:suff w:val="space"/>
      <w:lvlText w:val="%1.%2"/>
      <w:lvlJc w:val="left"/>
      <w:pPr>
        <w:ind w:left="575" w:hanging="575"/>
      </w:pPr>
      <w:rPr>
        <w:rFonts w:hint="default" w:ascii="黑体" w:hAnsi="黑体" w:eastAsia="黑体" w:cs="黑体"/>
        <w:b w:val="0"/>
        <w:bCs w:val="0"/>
        <w:sz w:val="32"/>
        <w:szCs w:val="32"/>
      </w:rPr>
    </w:lvl>
    <w:lvl w:ilvl="2" w:tentative="0">
      <w:start w:val="1"/>
      <w:numFmt w:val="decimal"/>
      <w:pStyle w:val="4"/>
      <w:suff w:val="space"/>
      <w:lvlText w:val="%1.%2.%3"/>
      <w:lvlJc w:val="left"/>
      <w:pPr>
        <w:tabs>
          <w:tab w:val="left" w:pos="0"/>
        </w:tabs>
        <w:ind w:left="1560" w:hanging="720"/>
      </w:pPr>
      <w:rPr>
        <w:rFonts w:hint="default" w:ascii="宋体" w:hAnsi="宋体" w:cs="宋体"/>
        <w:b/>
        <w:bCs/>
        <w:sz w:val="32"/>
        <w:szCs w:val="32"/>
      </w:rPr>
    </w:lvl>
    <w:lvl w:ilvl="3" w:tentative="0">
      <w:start w:val="1"/>
      <w:numFmt w:val="decimal"/>
      <w:pStyle w:val="5"/>
      <w:suff w:val="space"/>
      <w:lvlText w:val="%1.%2.%3.%4"/>
      <w:lvlJc w:val="left"/>
      <w:pPr>
        <w:ind w:left="864" w:hanging="864"/>
      </w:pPr>
      <w:rPr>
        <w:rFonts w:hint="default" w:ascii="宋体" w:hAnsi="宋体" w:cs="宋体"/>
        <w:b/>
        <w:bCs/>
        <w:sz w:val="30"/>
        <w:szCs w:val="30"/>
      </w:rPr>
    </w:lvl>
    <w:lvl w:ilvl="4" w:tentative="0">
      <w:start w:val="1"/>
      <w:numFmt w:val="decimal"/>
      <w:pStyle w:val="6"/>
      <w:lvlText w:val="%1.%2.%3.%4.%5"/>
      <w:lvlJc w:val="left"/>
      <w:pPr>
        <w:tabs>
          <w:tab w:val="left" w:pos="420"/>
        </w:tabs>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abstractNum w:abstractNumId="32">
    <w:nsid w:val="F3573EE0"/>
    <w:multiLevelType w:val="singleLevel"/>
    <w:tmpl w:val="F3573EE0"/>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33">
    <w:nsid w:val="F9D1CA48"/>
    <w:multiLevelType w:val="singleLevel"/>
    <w:tmpl w:val="F9D1CA48"/>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34">
    <w:nsid w:val="00000028"/>
    <w:multiLevelType w:val="multilevel"/>
    <w:tmpl w:val="00000028"/>
    <w:lvl w:ilvl="0" w:tentative="0">
      <w:start w:val="1"/>
      <w:numFmt w:val="decimal"/>
      <w:lvlText w:val="附件%1  "/>
      <w:lvlJc w:val="left"/>
      <w:pPr>
        <w:tabs>
          <w:tab w:val="left" w:pos="1554"/>
        </w:tabs>
        <w:ind w:left="1554" w:hanging="420"/>
      </w:pPr>
      <w:rPr>
        <w:rFonts w:hint="eastAsia"/>
        <w:lang w:val="en-US"/>
      </w:rPr>
    </w:lvl>
    <w:lvl w:ilvl="1" w:tentative="0">
      <w:start w:val="1"/>
      <w:numFmt w:val="decimal"/>
      <w:lvlText w:val="附件%2  "/>
      <w:lvlJc w:val="left"/>
      <w:pPr>
        <w:tabs>
          <w:tab w:val="left" w:pos="1157"/>
        </w:tabs>
        <w:ind w:left="1554" w:hanging="1134"/>
      </w:pPr>
      <w:rPr>
        <w:rFonts w:hint="eastAsia"/>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034037E2"/>
    <w:multiLevelType w:val="singleLevel"/>
    <w:tmpl w:val="034037E2"/>
    <w:lvl w:ilvl="0" w:tentative="0">
      <w:start w:val="1"/>
      <w:numFmt w:val="decimal"/>
      <w:suff w:val="nothing"/>
      <w:lvlText w:val="%1．"/>
      <w:lvlJc w:val="left"/>
      <w:pPr>
        <w:ind w:left="0" w:firstLine="400"/>
      </w:pPr>
      <w:rPr>
        <w:rFonts w:hint="default"/>
      </w:rPr>
    </w:lvl>
  </w:abstractNum>
  <w:abstractNum w:abstractNumId="36">
    <w:nsid w:val="0CEC9E4E"/>
    <w:multiLevelType w:val="singleLevel"/>
    <w:tmpl w:val="0CEC9E4E"/>
    <w:lvl w:ilvl="0" w:tentative="0">
      <w:start w:val="1"/>
      <w:numFmt w:val="decimal"/>
      <w:suff w:val="nothing"/>
      <w:lvlText w:val="%1)"/>
      <w:lvlJc w:val="left"/>
      <w:pPr>
        <w:ind w:left="425" w:hanging="425"/>
      </w:pPr>
      <w:rPr>
        <w:rFonts w:hint="default"/>
      </w:rPr>
    </w:lvl>
  </w:abstractNum>
  <w:abstractNum w:abstractNumId="37">
    <w:nsid w:val="1329E278"/>
    <w:multiLevelType w:val="singleLevel"/>
    <w:tmpl w:val="1329E278"/>
    <w:lvl w:ilvl="0" w:tentative="0">
      <w:start w:val="1"/>
      <w:numFmt w:val="decimal"/>
      <w:suff w:val="nothing"/>
      <w:lvlText w:val="%1．"/>
      <w:lvlJc w:val="left"/>
      <w:pPr>
        <w:ind w:left="0" w:firstLine="400"/>
      </w:pPr>
      <w:rPr>
        <w:rFonts w:hint="default"/>
      </w:rPr>
    </w:lvl>
  </w:abstractNum>
  <w:abstractNum w:abstractNumId="38">
    <w:nsid w:val="154D5095"/>
    <w:multiLevelType w:val="singleLevel"/>
    <w:tmpl w:val="154D5095"/>
    <w:lvl w:ilvl="0" w:tentative="0">
      <w:start w:val="1"/>
      <w:numFmt w:val="decimal"/>
      <w:suff w:val="nothing"/>
      <w:lvlText w:val="%1"/>
      <w:lvlJc w:val="left"/>
      <w:pPr>
        <w:tabs>
          <w:tab w:val="left" w:pos="0"/>
        </w:tabs>
        <w:ind w:left="425" w:hanging="425"/>
      </w:pPr>
      <w:rPr>
        <w:rFonts w:hint="default"/>
      </w:rPr>
    </w:lvl>
  </w:abstractNum>
  <w:abstractNum w:abstractNumId="39">
    <w:nsid w:val="1AD41FF0"/>
    <w:multiLevelType w:val="singleLevel"/>
    <w:tmpl w:val="1AD41FF0"/>
    <w:lvl w:ilvl="0" w:tentative="0">
      <w:start w:val="1"/>
      <w:numFmt w:val="decimal"/>
      <w:suff w:val="nothing"/>
      <w:lvlText w:val="%1"/>
      <w:lvlJc w:val="left"/>
      <w:pPr>
        <w:tabs>
          <w:tab w:val="left" w:pos="0"/>
        </w:tabs>
        <w:ind w:left="425" w:hanging="425"/>
      </w:pPr>
      <w:rPr>
        <w:rFonts w:hint="default"/>
      </w:rPr>
    </w:lvl>
  </w:abstractNum>
  <w:abstractNum w:abstractNumId="40">
    <w:nsid w:val="2068D355"/>
    <w:multiLevelType w:val="singleLevel"/>
    <w:tmpl w:val="2068D355"/>
    <w:lvl w:ilvl="0" w:tentative="0">
      <w:start w:val="1"/>
      <w:numFmt w:val="decimal"/>
      <w:suff w:val="nothing"/>
      <w:lvlText w:val="%1"/>
      <w:lvlJc w:val="left"/>
      <w:pPr>
        <w:tabs>
          <w:tab w:val="left" w:pos="0"/>
        </w:tabs>
        <w:ind w:left="425" w:hanging="425"/>
      </w:pPr>
      <w:rPr>
        <w:rFonts w:hint="default"/>
      </w:rPr>
    </w:lvl>
  </w:abstractNum>
  <w:abstractNum w:abstractNumId="41">
    <w:nsid w:val="290EF17B"/>
    <w:multiLevelType w:val="singleLevel"/>
    <w:tmpl w:val="290EF17B"/>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42">
    <w:nsid w:val="2973A519"/>
    <w:multiLevelType w:val="singleLevel"/>
    <w:tmpl w:val="2973A519"/>
    <w:lvl w:ilvl="0" w:tentative="0">
      <w:start w:val="1"/>
      <w:numFmt w:val="decimal"/>
      <w:suff w:val="nothing"/>
      <w:lvlText w:val="%1"/>
      <w:lvlJc w:val="left"/>
      <w:pPr>
        <w:tabs>
          <w:tab w:val="left" w:pos="0"/>
        </w:tabs>
        <w:ind w:left="425" w:hanging="425"/>
      </w:pPr>
      <w:rPr>
        <w:rFonts w:hint="default"/>
      </w:rPr>
    </w:lvl>
  </w:abstractNum>
  <w:abstractNum w:abstractNumId="43">
    <w:nsid w:val="2B3C5120"/>
    <w:multiLevelType w:val="singleLevel"/>
    <w:tmpl w:val="2B3C5120"/>
    <w:lvl w:ilvl="0" w:tentative="0">
      <w:start w:val="1"/>
      <w:numFmt w:val="decimal"/>
      <w:suff w:val="nothing"/>
      <w:lvlText w:val="%1"/>
      <w:lvlJc w:val="left"/>
      <w:pPr>
        <w:tabs>
          <w:tab w:val="left" w:pos="0"/>
        </w:tabs>
        <w:ind w:left="425" w:hanging="425"/>
      </w:pPr>
      <w:rPr>
        <w:rFonts w:hint="default"/>
      </w:rPr>
    </w:lvl>
  </w:abstractNum>
  <w:abstractNum w:abstractNumId="44">
    <w:nsid w:val="2B5AEB77"/>
    <w:multiLevelType w:val="singleLevel"/>
    <w:tmpl w:val="2B5AEB77"/>
    <w:lvl w:ilvl="0" w:tentative="0">
      <w:start w:val="1"/>
      <w:numFmt w:val="chineseCounting"/>
      <w:suff w:val="nothing"/>
      <w:lvlText w:val="%1"/>
      <w:lvlJc w:val="left"/>
      <w:pPr>
        <w:tabs>
          <w:tab w:val="left" w:pos="0"/>
        </w:tabs>
        <w:ind w:left="0" w:firstLine="420"/>
      </w:pPr>
      <w:rPr>
        <w:rFonts w:hint="eastAsia"/>
      </w:rPr>
    </w:lvl>
  </w:abstractNum>
  <w:abstractNum w:abstractNumId="45">
    <w:nsid w:val="2CDF0109"/>
    <w:multiLevelType w:val="singleLevel"/>
    <w:tmpl w:val="2CDF0109"/>
    <w:lvl w:ilvl="0" w:tentative="0">
      <w:start w:val="1"/>
      <w:numFmt w:val="decimal"/>
      <w:suff w:val="nothing"/>
      <w:lvlText w:val="%1．"/>
      <w:lvlJc w:val="left"/>
      <w:pPr>
        <w:ind w:left="0" w:firstLine="400"/>
      </w:pPr>
      <w:rPr>
        <w:rFonts w:hint="default"/>
      </w:rPr>
    </w:lvl>
  </w:abstractNum>
  <w:abstractNum w:abstractNumId="46">
    <w:nsid w:val="2DF23739"/>
    <w:multiLevelType w:val="singleLevel"/>
    <w:tmpl w:val="2DF23739"/>
    <w:lvl w:ilvl="0" w:tentative="0">
      <w:start w:val="1"/>
      <w:numFmt w:val="decimal"/>
      <w:suff w:val="nothing"/>
      <w:lvlText w:val="%1．"/>
      <w:lvlJc w:val="left"/>
      <w:pPr>
        <w:ind w:left="0" w:firstLine="400"/>
      </w:pPr>
      <w:rPr>
        <w:rFonts w:hint="default"/>
      </w:rPr>
    </w:lvl>
  </w:abstractNum>
  <w:abstractNum w:abstractNumId="47">
    <w:nsid w:val="2EDA3E14"/>
    <w:multiLevelType w:val="singleLevel"/>
    <w:tmpl w:val="2EDA3E14"/>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48">
    <w:nsid w:val="2FE4091B"/>
    <w:multiLevelType w:val="singleLevel"/>
    <w:tmpl w:val="2FE4091B"/>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49">
    <w:nsid w:val="33FA5C52"/>
    <w:multiLevelType w:val="singleLevel"/>
    <w:tmpl w:val="33FA5C52"/>
    <w:lvl w:ilvl="0" w:tentative="0">
      <w:start w:val="1"/>
      <w:numFmt w:val="decimal"/>
      <w:suff w:val="nothing"/>
      <w:lvlText w:val="%1"/>
      <w:lvlJc w:val="left"/>
      <w:pPr>
        <w:tabs>
          <w:tab w:val="left" w:pos="0"/>
        </w:tabs>
        <w:ind w:left="425" w:hanging="425"/>
      </w:pPr>
      <w:rPr>
        <w:rFonts w:hint="default"/>
      </w:rPr>
    </w:lvl>
  </w:abstractNum>
  <w:abstractNum w:abstractNumId="50">
    <w:nsid w:val="366F17C4"/>
    <w:multiLevelType w:val="singleLevel"/>
    <w:tmpl w:val="366F17C4"/>
    <w:lvl w:ilvl="0" w:tentative="0">
      <w:start w:val="1"/>
      <w:numFmt w:val="decimal"/>
      <w:suff w:val="nothing"/>
      <w:lvlText w:val="%1．"/>
      <w:lvlJc w:val="left"/>
      <w:pPr>
        <w:ind w:left="0" w:firstLine="400"/>
      </w:pPr>
      <w:rPr>
        <w:rFonts w:hint="default"/>
      </w:rPr>
    </w:lvl>
  </w:abstractNum>
  <w:abstractNum w:abstractNumId="51">
    <w:nsid w:val="369E110E"/>
    <w:multiLevelType w:val="singleLevel"/>
    <w:tmpl w:val="369E110E"/>
    <w:lvl w:ilvl="0" w:tentative="0">
      <w:start w:val="1"/>
      <w:numFmt w:val="chineseCounting"/>
      <w:suff w:val="nothing"/>
      <w:lvlText w:val="%1"/>
      <w:lvlJc w:val="left"/>
      <w:pPr>
        <w:tabs>
          <w:tab w:val="left" w:pos="0"/>
        </w:tabs>
        <w:ind w:left="0" w:firstLine="420"/>
      </w:pPr>
      <w:rPr>
        <w:rFonts w:hint="eastAsia" w:ascii="宋体" w:hAnsi="宋体" w:eastAsia="宋体" w:cs="宋体"/>
      </w:rPr>
    </w:lvl>
  </w:abstractNum>
  <w:abstractNum w:abstractNumId="52">
    <w:nsid w:val="3E62F661"/>
    <w:multiLevelType w:val="singleLevel"/>
    <w:tmpl w:val="3E62F661"/>
    <w:lvl w:ilvl="0" w:tentative="0">
      <w:start w:val="1"/>
      <w:numFmt w:val="decimal"/>
      <w:suff w:val="nothing"/>
      <w:lvlText w:val="%1)"/>
      <w:lvlJc w:val="left"/>
      <w:pPr>
        <w:ind w:left="425" w:hanging="425"/>
      </w:pPr>
      <w:rPr>
        <w:rFonts w:hint="default"/>
      </w:rPr>
    </w:lvl>
  </w:abstractNum>
  <w:abstractNum w:abstractNumId="53">
    <w:nsid w:val="3ECF62C9"/>
    <w:multiLevelType w:val="singleLevel"/>
    <w:tmpl w:val="3ECF62C9"/>
    <w:lvl w:ilvl="0" w:tentative="0">
      <w:start w:val="1"/>
      <w:numFmt w:val="decimal"/>
      <w:suff w:val="nothing"/>
      <w:lvlText w:val="%1"/>
      <w:lvlJc w:val="left"/>
      <w:pPr>
        <w:tabs>
          <w:tab w:val="left" w:pos="0"/>
        </w:tabs>
        <w:ind w:left="425" w:hanging="425"/>
      </w:pPr>
      <w:rPr>
        <w:rFonts w:hint="default"/>
      </w:rPr>
    </w:lvl>
  </w:abstractNum>
  <w:abstractNum w:abstractNumId="54">
    <w:nsid w:val="41240996"/>
    <w:multiLevelType w:val="singleLevel"/>
    <w:tmpl w:val="41240996"/>
    <w:lvl w:ilvl="0" w:tentative="0">
      <w:start w:val="1"/>
      <w:numFmt w:val="decimal"/>
      <w:suff w:val="space"/>
      <w:lvlText w:val="(%1)"/>
      <w:lvlJc w:val="left"/>
      <w:pPr>
        <w:ind w:left="425" w:hanging="425"/>
      </w:pPr>
      <w:rPr>
        <w:rFonts w:hint="default" w:ascii="宋体" w:hAnsi="宋体" w:eastAsia="宋体" w:cs="宋体"/>
        <w:sz w:val="28"/>
        <w:szCs w:val="28"/>
      </w:rPr>
    </w:lvl>
  </w:abstractNum>
  <w:abstractNum w:abstractNumId="55">
    <w:nsid w:val="4339FCEE"/>
    <w:multiLevelType w:val="singleLevel"/>
    <w:tmpl w:val="4339FCEE"/>
    <w:lvl w:ilvl="0" w:tentative="0">
      <w:start w:val="1"/>
      <w:numFmt w:val="decimal"/>
      <w:suff w:val="nothing"/>
      <w:lvlText w:val="%1"/>
      <w:lvlJc w:val="left"/>
      <w:pPr>
        <w:tabs>
          <w:tab w:val="left" w:pos="0"/>
        </w:tabs>
        <w:ind w:left="425" w:hanging="425"/>
      </w:pPr>
      <w:rPr>
        <w:rFonts w:hint="default"/>
      </w:rPr>
    </w:lvl>
  </w:abstractNum>
  <w:abstractNum w:abstractNumId="56">
    <w:nsid w:val="4A179D42"/>
    <w:multiLevelType w:val="singleLevel"/>
    <w:tmpl w:val="4A179D42"/>
    <w:lvl w:ilvl="0" w:tentative="0">
      <w:start w:val="1"/>
      <w:numFmt w:val="decimal"/>
      <w:suff w:val="nothing"/>
      <w:lvlText w:val="%1"/>
      <w:lvlJc w:val="left"/>
      <w:pPr>
        <w:tabs>
          <w:tab w:val="left" w:pos="0"/>
        </w:tabs>
        <w:ind w:left="425" w:hanging="425"/>
      </w:pPr>
      <w:rPr>
        <w:rFonts w:hint="default"/>
      </w:rPr>
    </w:lvl>
  </w:abstractNum>
  <w:abstractNum w:abstractNumId="57">
    <w:nsid w:val="4D6B4230"/>
    <w:multiLevelType w:val="singleLevel"/>
    <w:tmpl w:val="4D6B4230"/>
    <w:lvl w:ilvl="0" w:tentative="0">
      <w:start w:val="1"/>
      <w:numFmt w:val="decimal"/>
      <w:lvlText w:val="%1."/>
      <w:lvlJc w:val="left"/>
      <w:pPr>
        <w:ind w:left="425" w:hanging="425"/>
      </w:pPr>
      <w:rPr>
        <w:rFonts w:hint="default"/>
      </w:rPr>
    </w:lvl>
  </w:abstractNum>
  <w:abstractNum w:abstractNumId="58">
    <w:nsid w:val="54360424"/>
    <w:multiLevelType w:val="singleLevel"/>
    <w:tmpl w:val="54360424"/>
    <w:lvl w:ilvl="0" w:tentative="0">
      <w:start w:val="1"/>
      <w:numFmt w:val="decimal"/>
      <w:suff w:val="nothing"/>
      <w:lvlText w:val="%1"/>
      <w:lvlJc w:val="left"/>
      <w:pPr>
        <w:tabs>
          <w:tab w:val="left" w:pos="0"/>
        </w:tabs>
        <w:ind w:left="425" w:hanging="425"/>
      </w:pPr>
      <w:rPr>
        <w:rFonts w:hint="default"/>
      </w:rPr>
    </w:lvl>
  </w:abstractNum>
  <w:abstractNum w:abstractNumId="59">
    <w:nsid w:val="5A9CA2F8"/>
    <w:multiLevelType w:val="singleLevel"/>
    <w:tmpl w:val="5A9CA2F8"/>
    <w:lvl w:ilvl="0" w:tentative="0">
      <w:start w:val="1"/>
      <w:numFmt w:val="decimal"/>
      <w:suff w:val="nothing"/>
      <w:lvlText w:val="%1．"/>
      <w:lvlJc w:val="left"/>
      <w:pPr>
        <w:ind w:left="0" w:firstLine="400"/>
      </w:pPr>
      <w:rPr>
        <w:rFonts w:hint="default"/>
      </w:rPr>
    </w:lvl>
  </w:abstractNum>
  <w:abstractNum w:abstractNumId="60">
    <w:nsid w:val="5AEC75FF"/>
    <w:multiLevelType w:val="singleLevel"/>
    <w:tmpl w:val="5AEC75FF"/>
    <w:lvl w:ilvl="0" w:tentative="0">
      <w:start w:val="1"/>
      <w:numFmt w:val="decimal"/>
      <w:suff w:val="nothing"/>
      <w:lvlText w:val="%1．"/>
      <w:lvlJc w:val="left"/>
      <w:pPr>
        <w:ind w:left="0" w:firstLine="400"/>
      </w:pPr>
      <w:rPr>
        <w:rFonts w:hint="default"/>
      </w:rPr>
    </w:lvl>
  </w:abstractNum>
  <w:abstractNum w:abstractNumId="61">
    <w:nsid w:val="655245E9"/>
    <w:multiLevelType w:val="singleLevel"/>
    <w:tmpl w:val="655245E9"/>
    <w:lvl w:ilvl="0" w:tentative="0">
      <w:start w:val="1"/>
      <w:numFmt w:val="decimal"/>
      <w:suff w:val="nothing"/>
      <w:lvlText w:val="%1"/>
      <w:lvlJc w:val="left"/>
      <w:pPr>
        <w:tabs>
          <w:tab w:val="left" w:pos="0"/>
        </w:tabs>
        <w:ind w:left="425" w:hanging="425"/>
      </w:pPr>
      <w:rPr>
        <w:rFonts w:hint="default"/>
      </w:rPr>
    </w:lvl>
  </w:abstractNum>
  <w:abstractNum w:abstractNumId="62">
    <w:nsid w:val="6BC484EE"/>
    <w:multiLevelType w:val="singleLevel"/>
    <w:tmpl w:val="6BC484EE"/>
    <w:lvl w:ilvl="0" w:tentative="0">
      <w:start w:val="1"/>
      <w:numFmt w:val="decimal"/>
      <w:suff w:val="nothing"/>
      <w:lvlText w:val="%1"/>
      <w:lvlJc w:val="left"/>
      <w:pPr>
        <w:tabs>
          <w:tab w:val="left" w:pos="0"/>
        </w:tabs>
        <w:ind w:left="425" w:hanging="425"/>
      </w:pPr>
      <w:rPr>
        <w:rFonts w:hint="default"/>
      </w:rPr>
    </w:lvl>
  </w:abstractNum>
  <w:abstractNum w:abstractNumId="63">
    <w:nsid w:val="6C60E8C3"/>
    <w:multiLevelType w:val="singleLevel"/>
    <w:tmpl w:val="6C60E8C3"/>
    <w:lvl w:ilvl="0" w:tentative="0">
      <w:start w:val="1"/>
      <w:numFmt w:val="decimal"/>
      <w:suff w:val="nothing"/>
      <w:lvlText w:val="%1"/>
      <w:lvlJc w:val="left"/>
      <w:pPr>
        <w:tabs>
          <w:tab w:val="left" w:pos="0"/>
        </w:tabs>
        <w:ind w:left="425" w:hanging="425"/>
      </w:pPr>
      <w:rPr>
        <w:rFonts w:hint="default"/>
      </w:rPr>
    </w:lvl>
  </w:abstractNum>
  <w:abstractNum w:abstractNumId="64">
    <w:nsid w:val="703275A9"/>
    <w:multiLevelType w:val="multilevel"/>
    <w:tmpl w:val="703275A9"/>
    <w:lvl w:ilvl="0" w:tentative="0">
      <w:start w:val="1"/>
      <w:numFmt w:val="decimal"/>
      <w:lvlText w:val="%1. "/>
      <w:lvlJc w:val="left"/>
      <w:pPr>
        <w:ind w:left="1050" w:hanging="420"/>
      </w:pPr>
      <w:rPr>
        <w:rFonts w:hint="eastAsia"/>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abstractNum w:abstractNumId="65">
    <w:nsid w:val="754715A1"/>
    <w:multiLevelType w:val="singleLevel"/>
    <w:tmpl w:val="754715A1"/>
    <w:lvl w:ilvl="0" w:tentative="0">
      <w:start w:val="1"/>
      <w:numFmt w:val="decimal"/>
      <w:suff w:val="nothing"/>
      <w:lvlText w:val="%1．"/>
      <w:lvlJc w:val="left"/>
      <w:pPr>
        <w:ind w:left="0" w:firstLine="400"/>
      </w:pPr>
      <w:rPr>
        <w:rFonts w:hint="default"/>
      </w:rPr>
    </w:lvl>
  </w:abstractNum>
  <w:abstractNum w:abstractNumId="66">
    <w:nsid w:val="7A5EC3A2"/>
    <w:multiLevelType w:val="singleLevel"/>
    <w:tmpl w:val="7A5EC3A2"/>
    <w:lvl w:ilvl="0" w:tentative="0">
      <w:start w:val="1"/>
      <w:numFmt w:val="decimal"/>
      <w:suff w:val="nothing"/>
      <w:lvlText w:val="%1"/>
      <w:lvlJc w:val="left"/>
      <w:pPr>
        <w:tabs>
          <w:tab w:val="left" w:pos="0"/>
        </w:tabs>
        <w:ind w:left="425" w:hanging="425"/>
      </w:pPr>
      <w:rPr>
        <w:rFonts w:hint="default"/>
      </w:rPr>
    </w:lvl>
  </w:abstractNum>
  <w:num w:numId="1">
    <w:abstractNumId w:val="31"/>
  </w:num>
  <w:num w:numId="2">
    <w:abstractNumId w:val="41"/>
  </w:num>
  <w:num w:numId="3">
    <w:abstractNumId w:val="11"/>
  </w:num>
  <w:num w:numId="4">
    <w:abstractNumId w:val="48"/>
  </w:num>
  <w:num w:numId="5">
    <w:abstractNumId w:val="54"/>
  </w:num>
  <w:num w:numId="6">
    <w:abstractNumId w:val="30"/>
  </w:num>
  <w:num w:numId="7">
    <w:abstractNumId w:val="29"/>
  </w:num>
  <w:num w:numId="8">
    <w:abstractNumId w:val="6"/>
  </w:num>
  <w:num w:numId="9">
    <w:abstractNumId w:val="32"/>
  </w:num>
  <w:num w:numId="10">
    <w:abstractNumId w:val="33"/>
  </w:num>
  <w:num w:numId="11">
    <w:abstractNumId w:val="22"/>
  </w:num>
  <w:num w:numId="12">
    <w:abstractNumId w:val="25"/>
  </w:num>
  <w:num w:numId="13">
    <w:abstractNumId w:val="51"/>
  </w:num>
  <w:num w:numId="14">
    <w:abstractNumId w:val="26"/>
  </w:num>
  <w:num w:numId="15">
    <w:abstractNumId w:val="50"/>
  </w:num>
  <w:num w:numId="16">
    <w:abstractNumId w:val="24"/>
  </w:num>
  <w:num w:numId="17">
    <w:abstractNumId w:val="7"/>
  </w:num>
  <w:num w:numId="18">
    <w:abstractNumId w:val="57"/>
  </w:num>
  <w:num w:numId="19">
    <w:abstractNumId w:val="16"/>
  </w:num>
  <w:num w:numId="20">
    <w:abstractNumId w:val="37"/>
  </w:num>
  <w:num w:numId="21">
    <w:abstractNumId w:val="18"/>
  </w:num>
  <w:num w:numId="22">
    <w:abstractNumId w:val="4"/>
  </w:num>
  <w:num w:numId="23">
    <w:abstractNumId w:val="5"/>
  </w:num>
  <w:num w:numId="24">
    <w:abstractNumId w:val="65"/>
  </w:num>
  <w:num w:numId="25">
    <w:abstractNumId w:val="47"/>
  </w:num>
  <w:num w:numId="26">
    <w:abstractNumId w:val="9"/>
  </w:num>
  <w:num w:numId="27">
    <w:abstractNumId w:val="10"/>
  </w:num>
  <w:num w:numId="28">
    <w:abstractNumId w:val="17"/>
  </w:num>
  <w:num w:numId="29">
    <w:abstractNumId w:val="19"/>
  </w:num>
  <w:num w:numId="30">
    <w:abstractNumId w:val="8"/>
  </w:num>
  <w:num w:numId="31">
    <w:abstractNumId w:val="66"/>
  </w:num>
  <w:num w:numId="32">
    <w:abstractNumId w:val="35"/>
  </w:num>
  <w:num w:numId="33">
    <w:abstractNumId w:val="36"/>
  </w:num>
  <w:num w:numId="34">
    <w:abstractNumId w:val="52"/>
  </w:num>
  <w:num w:numId="35">
    <w:abstractNumId w:val="15"/>
  </w:num>
  <w:num w:numId="36">
    <w:abstractNumId w:val="14"/>
  </w:num>
  <w:num w:numId="37">
    <w:abstractNumId w:val="43"/>
  </w:num>
  <w:num w:numId="38">
    <w:abstractNumId w:val="53"/>
  </w:num>
  <w:num w:numId="39">
    <w:abstractNumId w:val="28"/>
  </w:num>
  <w:num w:numId="40">
    <w:abstractNumId w:val="1"/>
  </w:num>
  <w:num w:numId="41">
    <w:abstractNumId w:val="40"/>
  </w:num>
  <w:num w:numId="42">
    <w:abstractNumId w:val="58"/>
  </w:num>
  <w:num w:numId="43">
    <w:abstractNumId w:val="23"/>
  </w:num>
  <w:num w:numId="44">
    <w:abstractNumId w:val="39"/>
  </w:num>
  <w:num w:numId="45">
    <w:abstractNumId w:val="63"/>
  </w:num>
  <w:num w:numId="46">
    <w:abstractNumId w:val="38"/>
  </w:num>
  <w:num w:numId="47">
    <w:abstractNumId w:val="61"/>
  </w:num>
  <w:num w:numId="48">
    <w:abstractNumId w:val="42"/>
  </w:num>
  <w:num w:numId="49">
    <w:abstractNumId w:val="44"/>
  </w:num>
  <w:num w:numId="50">
    <w:abstractNumId w:val="3"/>
  </w:num>
  <w:num w:numId="51">
    <w:abstractNumId w:val="62"/>
  </w:num>
  <w:num w:numId="52">
    <w:abstractNumId w:val="49"/>
  </w:num>
  <w:num w:numId="53">
    <w:abstractNumId w:val="21"/>
  </w:num>
  <w:num w:numId="54">
    <w:abstractNumId w:val="56"/>
  </w:num>
  <w:num w:numId="55">
    <w:abstractNumId w:val="55"/>
  </w:num>
  <w:num w:numId="56">
    <w:abstractNumId w:val="27"/>
  </w:num>
  <w:num w:numId="57">
    <w:abstractNumId w:val="2"/>
  </w:num>
  <w:num w:numId="58">
    <w:abstractNumId w:val="13"/>
  </w:num>
  <w:num w:numId="59">
    <w:abstractNumId w:val="59"/>
  </w:num>
  <w:num w:numId="60">
    <w:abstractNumId w:val="20"/>
  </w:num>
  <w:num w:numId="61">
    <w:abstractNumId w:val="12"/>
  </w:num>
  <w:num w:numId="62">
    <w:abstractNumId w:val="45"/>
  </w:num>
  <w:num w:numId="63">
    <w:abstractNumId w:val="60"/>
  </w:num>
  <w:num w:numId="64">
    <w:abstractNumId w:val="64"/>
  </w:num>
  <w:num w:numId="65">
    <w:abstractNumId w:val="46"/>
  </w:num>
  <w:num w:numId="66">
    <w:abstractNumId w:val="0"/>
  </w:num>
  <w:num w:numId="67">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1Y2JkYzQwOTU2OTFiNDAwMzIyNzk2NzNkMDI1MjAifQ=="/>
  </w:docVars>
  <w:rsids>
    <w:rsidRoot w:val="00000000"/>
    <w:rsid w:val="005635DB"/>
    <w:rsid w:val="00B34EF2"/>
    <w:rsid w:val="012416CB"/>
    <w:rsid w:val="01447FD3"/>
    <w:rsid w:val="01565C22"/>
    <w:rsid w:val="01C254EA"/>
    <w:rsid w:val="01E058CA"/>
    <w:rsid w:val="020A2568"/>
    <w:rsid w:val="02251748"/>
    <w:rsid w:val="02792668"/>
    <w:rsid w:val="027D4622"/>
    <w:rsid w:val="029B39F0"/>
    <w:rsid w:val="04222CB7"/>
    <w:rsid w:val="04BC79D1"/>
    <w:rsid w:val="05152207"/>
    <w:rsid w:val="054A15F9"/>
    <w:rsid w:val="05DB66F5"/>
    <w:rsid w:val="063E43E2"/>
    <w:rsid w:val="064F27FB"/>
    <w:rsid w:val="06621007"/>
    <w:rsid w:val="06AD61D0"/>
    <w:rsid w:val="06CD3D44"/>
    <w:rsid w:val="075731CD"/>
    <w:rsid w:val="07774FA2"/>
    <w:rsid w:val="07856705"/>
    <w:rsid w:val="07E95755"/>
    <w:rsid w:val="081859DF"/>
    <w:rsid w:val="081E7192"/>
    <w:rsid w:val="08A50E22"/>
    <w:rsid w:val="08AE4799"/>
    <w:rsid w:val="09863A53"/>
    <w:rsid w:val="09A3752A"/>
    <w:rsid w:val="09D9119E"/>
    <w:rsid w:val="0A18433D"/>
    <w:rsid w:val="0A522CFE"/>
    <w:rsid w:val="0B6F7F7C"/>
    <w:rsid w:val="0BA04D77"/>
    <w:rsid w:val="0C6E22A6"/>
    <w:rsid w:val="0D52686F"/>
    <w:rsid w:val="0D736D82"/>
    <w:rsid w:val="0DB53CD0"/>
    <w:rsid w:val="0E6025E4"/>
    <w:rsid w:val="0F135B98"/>
    <w:rsid w:val="0F2650D0"/>
    <w:rsid w:val="0FD61CDB"/>
    <w:rsid w:val="10171B86"/>
    <w:rsid w:val="103E1D5B"/>
    <w:rsid w:val="10526CC8"/>
    <w:rsid w:val="107C4CFE"/>
    <w:rsid w:val="10804334"/>
    <w:rsid w:val="109F4634"/>
    <w:rsid w:val="11052878"/>
    <w:rsid w:val="110F5D25"/>
    <w:rsid w:val="111B0B53"/>
    <w:rsid w:val="114F75F0"/>
    <w:rsid w:val="119836EC"/>
    <w:rsid w:val="120B0362"/>
    <w:rsid w:val="12AD4750"/>
    <w:rsid w:val="133D250B"/>
    <w:rsid w:val="133D570B"/>
    <w:rsid w:val="13565C8C"/>
    <w:rsid w:val="137A6465"/>
    <w:rsid w:val="13B43512"/>
    <w:rsid w:val="14397409"/>
    <w:rsid w:val="14E1679D"/>
    <w:rsid w:val="15000ED2"/>
    <w:rsid w:val="15C06AFA"/>
    <w:rsid w:val="15D126AB"/>
    <w:rsid w:val="15D171CD"/>
    <w:rsid w:val="1648658E"/>
    <w:rsid w:val="164E4CC1"/>
    <w:rsid w:val="16CF6B5D"/>
    <w:rsid w:val="16DB3835"/>
    <w:rsid w:val="16E1163F"/>
    <w:rsid w:val="176477A1"/>
    <w:rsid w:val="17D4363D"/>
    <w:rsid w:val="18306F70"/>
    <w:rsid w:val="18C109C0"/>
    <w:rsid w:val="19914776"/>
    <w:rsid w:val="1A9A5D1C"/>
    <w:rsid w:val="1B34726D"/>
    <w:rsid w:val="1B813D19"/>
    <w:rsid w:val="1BAB3A51"/>
    <w:rsid w:val="1C29027A"/>
    <w:rsid w:val="1C395ACC"/>
    <w:rsid w:val="1C771C99"/>
    <w:rsid w:val="1C794D17"/>
    <w:rsid w:val="1D0B3AA3"/>
    <w:rsid w:val="1D2A0BE1"/>
    <w:rsid w:val="1D567454"/>
    <w:rsid w:val="1D840FC9"/>
    <w:rsid w:val="1DDA6E3B"/>
    <w:rsid w:val="1DE047DA"/>
    <w:rsid w:val="1EC1196B"/>
    <w:rsid w:val="1F6E34FF"/>
    <w:rsid w:val="1F8F25D3"/>
    <w:rsid w:val="203B5995"/>
    <w:rsid w:val="206F1F65"/>
    <w:rsid w:val="20A200E4"/>
    <w:rsid w:val="20AD0425"/>
    <w:rsid w:val="20F070A1"/>
    <w:rsid w:val="211E1F94"/>
    <w:rsid w:val="21DC5877"/>
    <w:rsid w:val="220C363D"/>
    <w:rsid w:val="22BB43D7"/>
    <w:rsid w:val="23E46C65"/>
    <w:rsid w:val="25431425"/>
    <w:rsid w:val="25850F86"/>
    <w:rsid w:val="25C53ACB"/>
    <w:rsid w:val="25CE3FA9"/>
    <w:rsid w:val="25D30D3F"/>
    <w:rsid w:val="264B4D7A"/>
    <w:rsid w:val="26790E38"/>
    <w:rsid w:val="270970F6"/>
    <w:rsid w:val="27A40B9E"/>
    <w:rsid w:val="27CF4822"/>
    <w:rsid w:val="27E40422"/>
    <w:rsid w:val="27FD20A3"/>
    <w:rsid w:val="28035155"/>
    <w:rsid w:val="28055BB4"/>
    <w:rsid w:val="281178FD"/>
    <w:rsid w:val="28687E65"/>
    <w:rsid w:val="287941C6"/>
    <w:rsid w:val="2892188F"/>
    <w:rsid w:val="28BD5890"/>
    <w:rsid w:val="2925773F"/>
    <w:rsid w:val="29341ECF"/>
    <w:rsid w:val="2B157704"/>
    <w:rsid w:val="2B2871C2"/>
    <w:rsid w:val="2C1950D5"/>
    <w:rsid w:val="2C332538"/>
    <w:rsid w:val="2C93447B"/>
    <w:rsid w:val="2C9A4F21"/>
    <w:rsid w:val="2CC15D95"/>
    <w:rsid w:val="2D2B79D4"/>
    <w:rsid w:val="2D3617F0"/>
    <w:rsid w:val="2D437B3D"/>
    <w:rsid w:val="2D9B3102"/>
    <w:rsid w:val="2DA22E73"/>
    <w:rsid w:val="2DCB1872"/>
    <w:rsid w:val="2DDF56B0"/>
    <w:rsid w:val="2E383E35"/>
    <w:rsid w:val="2E9B44B5"/>
    <w:rsid w:val="2EB55D8C"/>
    <w:rsid w:val="2F0C6853"/>
    <w:rsid w:val="2F1C48E7"/>
    <w:rsid w:val="2FEE3ABF"/>
    <w:rsid w:val="305314A0"/>
    <w:rsid w:val="30960452"/>
    <w:rsid w:val="30AE6631"/>
    <w:rsid w:val="30B31E99"/>
    <w:rsid w:val="311741D6"/>
    <w:rsid w:val="3181181E"/>
    <w:rsid w:val="31D92EB2"/>
    <w:rsid w:val="32472899"/>
    <w:rsid w:val="32771829"/>
    <w:rsid w:val="32803FFD"/>
    <w:rsid w:val="32AB0783"/>
    <w:rsid w:val="3307027A"/>
    <w:rsid w:val="332B21BB"/>
    <w:rsid w:val="334A4A53"/>
    <w:rsid w:val="33D6290D"/>
    <w:rsid w:val="349463E3"/>
    <w:rsid w:val="355B5A4D"/>
    <w:rsid w:val="355B6A02"/>
    <w:rsid w:val="357154C3"/>
    <w:rsid w:val="35773495"/>
    <w:rsid w:val="35A46254"/>
    <w:rsid w:val="35B76948"/>
    <w:rsid w:val="35DC779C"/>
    <w:rsid w:val="35E827FF"/>
    <w:rsid w:val="35EA6455"/>
    <w:rsid w:val="364E1C09"/>
    <w:rsid w:val="36691E2A"/>
    <w:rsid w:val="36C962F5"/>
    <w:rsid w:val="37193AF3"/>
    <w:rsid w:val="37313B18"/>
    <w:rsid w:val="37427AD3"/>
    <w:rsid w:val="378D013D"/>
    <w:rsid w:val="37F30777"/>
    <w:rsid w:val="38192D95"/>
    <w:rsid w:val="38331F1B"/>
    <w:rsid w:val="38944D46"/>
    <w:rsid w:val="399C796E"/>
    <w:rsid w:val="39A319D7"/>
    <w:rsid w:val="39C90564"/>
    <w:rsid w:val="39F1794B"/>
    <w:rsid w:val="3A410516"/>
    <w:rsid w:val="3A540249"/>
    <w:rsid w:val="3B1D688D"/>
    <w:rsid w:val="3B2F1F99"/>
    <w:rsid w:val="3C277CF6"/>
    <w:rsid w:val="3D3D6D72"/>
    <w:rsid w:val="3E3A1504"/>
    <w:rsid w:val="3E860BED"/>
    <w:rsid w:val="3EA177D5"/>
    <w:rsid w:val="3EA4772B"/>
    <w:rsid w:val="3EDB13A4"/>
    <w:rsid w:val="3EF9145C"/>
    <w:rsid w:val="3F094F57"/>
    <w:rsid w:val="3F3F78D5"/>
    <w:rsid w:val="3F4F7680"/>
    <w:rsid w:val="3F7A2500"/>
    <w:rsid w:val="3F980BD8"/>
    <w:rsid w:val="3FD1561E"/>
    <w:rsid w:val="404A7FAB"/>
    <w:rsid w:val="405A6F63"/>
    <w:rsid w:val="40B57568"/>
    <w:rsid w:val="41055F7F"/>
    <w:rsid w:val="41A83FE1"/>
    <w:rsid w:val="4233092E"/>
    <w:rsid w:val="424335B3"/>
    <w:rsid w:val="430121C0"/>
    <w:rsid w:val="43210EE4"/>
    <w:rsid w:val="43892E66"/>
    <w:rsid w:val="44250560"/>
    <w:rsid w:val="44262A64"/>
    <w:rsid w:val="4449419B"/>
    <w:rsid w:val="44E23963"/>
    <w:rsid w:val="456F06C2"/>
    <w:rsid w:val="468218F9"/>
    <w:rsid w:val="472B0583"/>
    <w:rsid w:val="47683774"/>
    <w:rsid w:val="479C4FDD"/>
    <w:rsid w:val="48AA188E"/>
    <w:rsid w:val="48D22491"/>
    <w:rsid w:val="496164DE"/>
    <w:rsid w:val="49FD4E41"/>
    <w:rsid w:val="4AED5117"/>
    <w:rsid w:val="4B10699D"/>
    <w:rsid w:val="4BAC3563"/>
    <w:rsid w:val="4BEF4D17"/>
    <w:rsid w:val="4C251E11"/>
    <w:rsid w:val="4C883D82"/>
    <w:rsid w:val="4DA64DE3"/>
    <w:rsid w:val="4DD46A7C"/>
    <w:rsid w:val="4DD50869"/>
    <w:rsid w:val="4E345892"/>
    <w:rsid w:val="4F874BDC"/>
    <w:rsid w:val="4FC6782F"/>
    <w:rsid w:val="50BF75AB"/>
    <w:rsid w:val="50CC41F8"/>
    <w:rsid w:val="51B478EA"/>
    <w:rsid w:val="51D2426A"/>
    <w:rsid w:val="534D4212"/>
    <w:rsid w:val="534F236E"/>
    <w:rsid w:val="53CD7773"/>
    <w:rsid w:val="53CF29E3"/>
    <w:rsid w:val="550004E0"/>
    <w:rsid w:val="55523274"/>
    <w:rsid w:val="55911EF9"/>
    <w:rsid w:val="55CA0F67"/>
    <w:rsid w:val="56C34335"/>
    <w:rsid w:val="572D65CB"/>
    <w:rsid w:val="5781344E"/>
    <w:rsid w:val="57E26A3C"/>
    <w:rsid w:val="57F81810"/>
    <w:rsid w:val="592D201C"/>
    <w:rsid w:val="59AE5E06"/>
    <w:rsid w:val="59EE2FE3"/>
    <w:rsid w:val="5A407A4A"/>
    <w:rsid w:val="5AD601BB"/>
    <w:rsid w:val="5B6D4B94"/>
    <w:rsid w:val="5C120E15"/>
    <w:rsid w:val="5D107BA8"/>
    <w:rsid w:val="5D221689"/>
    <w:rsid w:val="5E7D74BF"/>
    <w:rsid w:val="5EE26EBF"/>
    <w:rsid w:val="5F1E4055"/>
    <w:rsid w:val="5F3873DA"/>
    <w:rsid w:val="5F397B7C"/>
    <w:rsid w:val="5FCF559B"/>
    <w:rsid w:val="5FF77A45"/>
    <w:rsid w:val="600F674E"/>
    <w:rsid w:val="60335A63"/>
    <w:rsid w:val="60582E38"/>
    <w:rsid w:val="607B0FEE"/>
    <w:rsid w:val="60A03BE3"/>
    <w:rsid w:val="610E7EA6"/>
    <w:rsid w:val="614F74DA"/>
    <w:rsid w:val="620B18A1"/>
    <w:rsid w:val="623001A1"/>
    <w:rsid w:val="623828D4"/>
    <w:rsid w:val="62592347"/>
    <w:rsid w:val="628C7CD0"/>
    <w:rsid w:val="63153C9D"/>
    <w:rsid w:val="63A77E68"/>
    <w:rsid w:val="63EF49BB"/>
    <w:rsid w:val="64122426"/>
    <w:rsid w:val="64E9779D"/>
    <w:rsid w:val="6503114F"/>
    <w:rsid w:val="656B6A0D"/>
    <w:rsid w:val="666333BE"/>
    <w:rsid w:val="66A03D4A"/>
    <w:rsid w:val="66E91228"/>
    <w:rsid w:val="66ED74EF"/>
    <w:rsid w:val="67E72DAB"/>
    <w:rsid w:val="67E77E6E"/>
    <w:rsid w:val="68750AB8"/>
    <w:rsid w:val="68905052"/>
    <w:rsid w:val="69530070"/>
    <w:rsid w:val="6971265B"/>
    <w:rsid w:val="69733998"/>
    <w:rsid w:val="6A827FF4"/>
    <w:rsid w:val="6AA06A0F"/>
    <w:rsid w:val="6AA61B4B"/>
    <w:rsid w:val="6ACB5950"/>
    <w:rsid w:val="6AEF1B05"/>
    <w:rsid w:val="6B404E6B"/>
    <w:rsid w:val="6B69379A"/>
    <w:rsid w:val="6BAC3463"/>
    <w:rsid w:val="6BD37585"/>
    <w:rsid w:val="6BD93ECE"/>
    <w:rsid w:val="6C663340"/>
    <w:rsid w:val="6CC019BC"/>
    <w:rsid w:val="6D012485"/>
    <w:rsid w:val="6D194857"/>
    <w:rsid w:val="6D4D2752"/>
    <w:rsid w:val="6D7E5B6C"/>
    <w:rsid w:val="6DB77A02"/>
    <w:rsid w:val="6DCA1006"/>
    <w:rsid w:val="6DE210EC"/>
    <w:rsid w:val="6DF130DE"/>
    <w:rsid w:val="6F064DEA"/>
    <w:rsid w:val="6F091DCD"/>
    <w:rsid w:val="6FE54EC4"/>
    <w:rsid w:val="701664D9"/>
    <w:rsid w:val="704A264D"/>
    <w:rsid w:val="70657DB3"/>
    <w:rsid w:val="709F6B8F"/>
    <w:rsid w:val="71896A0D"/>
    <w:rsid w:val="71BC1938"/>
    <w:rsid w:val="72897D89"/>
    <w:rsid w:val="72D37256"/>
    <w:rsid w:val="73D91A67"/>
    <w:rsid w:val="745E4F49"/>
    <w:rsid w:val="745F238F"/>
    <w:rsid w:val="747D4C59"/>
    <w:rsid w:val="74A42477"/>
    <w:rsid w:val="75693EA1"/>
    <w:rsid w:val="75A63780"/>
    <w:rsid w:val="75B710B1"/>
    <w:rsid w:val="762F6E99"/>
    <w:rsid w:val="76517264"/>
    <w:rsid w:val="76AE4262"/>
    <w:rsid w:val="77813373"/>
    <w:rsid w:val="78B6476D"/>
    <w:rsid w:val="7A5D41F8"/>
    <w:rsid w:val="7AEE3247"/>
    <w:rsid w:val="7B236134"/>
    <w:rsid w:val="7BB317BC"/>
    <w:rsid w:val="7BF749F7"/>
    <w:rsid w:val="7C26103C"/>
    <w:rsid w:val="7C5807CC"/>
    <w:rsid w:val="7D0C0CC2"/>
    <w:rsid w:val="7D17343E"/>
    <w:rsid w:val="7D584F27"/>
    <w:rsid w:val="7D645B7C"/>
    <w:rsid w:val="7E160741"/>
    <w:rsid w:val="7F5B4762"/>
    <w:rsid w:val="7F642F1F"/>
    <w:rsid w:val="7FA47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semiHidden="0" w:name="header"/>
    <w:lsdException w:qFormat="1"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00" w:lineRule="exact"/>
      <w:ind w:firstLine="643" w:firstLineChars="200"/>
    </w:pPr>
    <w:rPr>
      <w:rFonts w:ascii="Times New Roman" w:hAnsi="Times New Roman" w:eastAsia="宋体" w:cs="Times New Roman"/>
      <w:kern w:val="2"/>
      <w:sz w:val="28"/>
      <w:szCs w:val="24"/>
      <w:lang w:val="en-US" w:eastAsia="zh-CN" w:bidi="ar-SA"/>
    </w:rPr>
  </w:style>
  <w:style w:type="paragraph" w:styleId="2">
    <w:name w:val="heading 1"/>
    <w:basedOn w:val="1"/>
    <w:next w:val="1"/>
    <w:link w:val="34"/>
    <w:autoRedefine/>
    <w:qFormat/>
    <w:uiPriority w:val="0"/>
    <w:pPr>
      <w:keepLines/>
      <w:pageBreakBefore/>
      <w:numPr>
        <w:ilvl w:val="0"/>
        <w:numId w:val="1"/>
      </w:numPr>
      <w:tabs>
        <w:tab w:val="left" w:pos="5220"/>
        <w:tab w:val="clear" w:pos="0"/>
      </w:tabs>
      <w:spacing w:before="50" w:beforeLines="50" w:after="50" w:afterLines="50" w:line="240" w:lineRule="auto"/>
      <w:ind w:firstLineChars="0"/>
      <w:jc w:val="center"/>
      <w:outlineLvl w:val="0"/>
    </w:pPr>
    <w:rPr>
      <w:rFonts w:ascii="黑体" w:hAnsi="黑体" w:eastAsia="黑体"/>
      <w:kern w:val="3"/>
      <w:sz w:val="36"/>
      <w:szCs w:val="44"/>
    </w:rPr>
  </w:style>
  <w:style w:type="paragraph" w:styleId="3">
    <w:name w:val="heading 2"/>
    <w:basedOn w:val="1"/>
    <w:next w:val="1"/>
    <w:link w:val="35"/>
    <w:qFormat/>
    <w:uiPriority w:val="0"/>
    <w:pPr>
      <w:keepNext/>
      <w:keepLines/>
      <w:numPr>
        <w:ilvl w:val="1"/>
        <w:numId w:val="1"/>
      </w:numPr>
      <w:tabs>
        <w:tab w:val="left" w:pos="0"/>
      </w:tabs>
      <w:snapToGrid w:val="0"/>
      <w:spacing w:before="50" w:beforeLines="50" w:after="50" w:afterLines="50" w:line="240" w:lineRule="auto"/>
      <w:ind w:firstLineChars="0"/>
      <w:outlineLvl w:val="1"/>
    </w:pPr>
    <w:rPr>
      <w:rFonts w:ascii="黑体" w:hAnsi="黑体" w:eastAsia="黑体"/>
      <w:bCs/>
      <w:sz w:val="32"/>
      <w:szCs w:val="36"/>
    </w:rPr>
  </w:style>
  <w:style w:type="paragraph" w:styleId="4">
    <w:name w:val="heading 3"/>
    <w:basedOn w:val="1"/>
    <w:next w:val="1"/>
    <w:link w:val="37"/>
    <w:qFormat/>
    <w:uiPriority w:val="9"/>
    <w:pPr>
      <w:numPr>
        <w:ilvl w:val="2"/>
        <w:numId w:val="1"/>
      </w:numPr>
      <w:snapToGrid w:val="0"/>
      <w:spacing w:before="50" w:beforeLines="50" w:after="50" w:afterLines="50" w:line="240" w:lineRule="auto"/>
      <w:ind w:left="0" w:firstLine="0" w:firstLineChars="0"/>
      <w:outlineLvl w:val="2"/>
    </w:pPr>
    <w:rPr>
      <w:rFonts w:ascii="宋体" w:hAnsi="宋体" w:eastAsia="宋体"/>
      <w:b/>
      <w:sz w:val="32"/>
    </w:rPr>
  </w:style>
  <w:style w:type="paragraph" w:styleId="5">
    <w:name w:val="heading 4"/>
    <w:basedOn w:val="1"/>
    <w:next w:val="1"/>
    <w:link w:val="36"/>
    <w:qFormat/>
    <w:uiPriority w:val="0"/>
    <w:pPr>
      <w:keepNext/>
      <w:keepLines/>
      <w:numPr>
        <w:ilvl w:val="3"/>
        <w:numId w:val="1"/>
      </w:numPr>
      <w:tabs>
        <w:tab w:val="left" w:pos="420"/>
      </w:tabs>
      <w:spacing w:before="50" w:beforeLines="50" w:after="50" w:afterLines="50" w:line="240" w:lineRule="auto"/>
      <w:ind w:left="864" w:hanging="864" w:firstLineChars="0"/>
      <w:outlineLvl w:val="3"/>
    </w:pPr>
    <w:rPr>
      <w:rFonts w:ascii="宋体" w:hAnsi="宋体"/>
      <w:sz w:val="30"/>
      <w:szCs w:val="28"/>
    </w:rPr>
  </w:style>
  <w:style w:type="paragraph" w:styleId="6">
    <w:name w:val="heading 5"/>
    <w:basedOn w:val="1"/>
    <w:next w:val="1"/>
    <w:link w:val="38"/>
    <w:autoRedefine/>
    <w:qFormat/>
    <w:uiPriority w:val="0"/>
    <w:pPr>
      <w:keepNext/>
      <w:keepLines/>
      <w:numPr>
        <w:ilvl w:val="4"/>
        <w:numId w:val="1"/>
      </w:numPr>
      <w:spacing w:line="240" w:lineRule="auto"/>
      <w:ind w:firstLineChars="0"/>
      <w:outlineLvl w:val="4"/>
    </w:pPr>
    <w:rPr>
      <w:rFonts w:ascii="Times New Roman" w:hAnsi="Times New Roman" w:eastAsia="宋体"/>
      <w:b/>
      <w:bCs/>
      <w:szCs w:val="28"/>
    </w:rPr>
  </w:style>
  <w:style w:type="paragraph" w:styleId="7">
    <w:name w:val="heading 6"/>
    <w:basedOn w:val="1"/>
    <w:next w:val="1"/>
    <w:link w:val="41"/>
    <w:qFormat/>
    <w:uiPriority w:val="0"/>
    <w:pPr>
      <w:keepNext/>
      <w:keepLines/>
      <w:numPr>
        <w:ilvl w:val="5"/>
        <w:numId w:val="1"/>
      </w:numPr>
      <w:spacing w:before="240" w:after="64" w:line="320" w:lineRule="auto"/>
      <w:ind w:firstLineChars="0"/>
      <w:outlineLvl w:val="5"/>
    </w:pPr>
    <w:rPr>
      <w:rFonts w:ascii="Arial" w:hAnsi="Arial" w:eastAsia="黑体"/>
      <w:b/>
      <w:kern w:val="0"/>
      <w:sz w:val="24"/>
      <w:szCs w:val="20"/>
    </w:rPr>
  </w:style>
  <w:style w:type="paragraph" w:styleId="8">
    <w:name w:val="heading 7"/>
    <w:basedOn w:val="1"/>
    <w:next w:val="1"/>
    <w:link w:val="45"/>
    <w:qFormat/>
    <w:uiPriority w:val="99"/>
    <w:pPr>
      <w:keepNext/>
      <w:keepLines/>
      <w:numPr>
        <w:ilvl w:val="6"/>
        <w:numId w:val="1"/>
      </w:numPr>
      <w:spacing w:before="240" w:after="64" w:line="320" w:lineRule="auto"/>
      <w:ind w:firstLineChars="0"/>
      <w:outlineLvl w:val="6"/>
    </w:pPr>
    <w:rPr>
      <w:b/>
      <w:kern w:val="0"/>
      <w:sz w:val="24"/>
      <w:szCs w:val="20"/>
    </w:rPr>
  </w:style>
  <w:style w:type="paragraph" w:styleId="9">
    <w:name w:val="heading 8"/>
    <w:basedOn w:val="1"/>
    <w:next w:val="1"/>
    <w:link w:val="46"/>
    <w:autoRedefine/>
    <w:qFormat/>
    <w:uiPriority w:val="99"/>
    <w:pPr>
      <w:keepNext/>
      <w:keepLines/>
      <w:numPr>
        <w:ilvl w:val="7"/>
        <w:numId w:val="1"/>
      </w:numPr>
      <w:spacing w:before="240" w:after="64" w:line="320" w:lineRule="auto"/>
      <w:ind w:firstLineChars="0"/>
      <w:outlineLvl w:val="7"/>
    </w:pPr>
    <w:rPr>
      <w:rFonts w:ascii="Arial" w:hAnsi="Arial" w:eastAsia="黑体"/>
      <w:kern w:val="0"/>
      <w:sz w:val="24"/>
      <w:szCs w:val="20"/>
    </w:rPr>
  </w:style>
  <w:style w:type="paragraph" w:styleId="10">
    <w:name w:val="heading 9"/>
    <w:basedOn w:val="1"/>
    <w:next w:val="1"/>
    <w:link w:val="47"/>
    <w:qFormat/>
    <w:uiPriority w:val="99"/>
    <w:pPr>
      <w:keepNext/>
      <w:keepLines/>
      <w:numPr>
        <w:ilvl w:val="8"/>
        <w:numId w:val="1"/>
      </w:numPr>
      <w:spacing w:before="240" w:after="64" w:line="320" w:lineRule="auto"/>
      <w:ind w:firstLineChars="0"/>
      <w:outlineLvl w:val="8"/>
    </w:pPr>
    <w:rPr>
      <w:rFonts w:ascii="Arial" w:hAnsi="Arial" w:eastAsia="黑体"/>
      <w:kern w:val="0"/>
      <w:sz w:val="20"/>
      <w:szCs w:val="20"/>
    </w:rPr>
  </w:style>
  <w:style w:type="character" w:default="1" w:styleId="30">
    <w:name w:val="Default Paragraph Font"/>
    <w:unhideWhenUsed/>
    <w:qFormat/>
    <w:uiPriority w:val="1"/>
    <w:rPr>
      <w:rFonts w:ascii="宋体" w:hAnsi="宋体" w:eastAsia="宋体"/>
      <w:sz w:val="28"/>
      <w:szCs w:val="28"/>
    </w:rPr>
  </w:style>
  <w:style w:type="table" w:default="1" w:styleId="28">
    <w:name w:val="Normal Table"/>
    <w:autoRedefine/>
    <w:semiHidden/>
    <w:qFormat/>
    <w:uiPriority w:val="0"/>
    <w:tblPr>
      <w:tblCellMar>
        <w:top w:w="0" w:type="dxa"/>
        <w:left w:w="108" w:type="dxa"/>
        <w:bottom w:w="0" w:type="dxa"/>
        <w:right w:w="108" w:type="dxa"/>
      </w:tblCellMar>
    </w:tblPr>
  </w:style>
  <w:style w:type="paragraph" w:styleId="11">
    <w:name w:val="Normal Indent"/>
    <w:basedOn w:val="1"/>
    <w:qFormat/>
    <w:uiPriority w:val="0"/>
    <w:pPr>
      <w:adjustRightInd w:val="0"/>
      <w:ind w:firstLine="518" w:firstLineChars="185"/>
      <w:textAlignment w:val="baseline"/>
    </w:pPr>
    <w:rPr>
      <w:color w:val="000000"/>
      <w:kern w:val="0"/>
      <w:sz w:val="28"/>
      <w:szCs w:val="28"/>
    </w:rPr>
  </w:style>
  <w:style w:type="paragraph" w:styleId="12">
    <w:name w:val="caption"/>
    <w:basedOn w:val="1"/>
    <w:next w:val="1"/>
    <w:link w:val="48"/>
    <w:qFormat/>
    <w:uiPriority w:val="99"/>
    <w:pPr>
      <w:spacing w:line="240" w:lineRule="auto"/>
      <w:ind w:firstLine="0" w:firstLineChars="0"/>
      <w:jc w:val="center"/>
    </w:pPr>
    <w:rPr>
      <w:rFonts w:ascii="宋体" w:hAnsi="宋体" w:eastAsia="宋体" w:cs="宋体"/>
      <w:b/>
      <w:sz w:val="24"/>
      <w:szCs w:val="28"/>
    </w:rPr>
  </w:style>
  <w:style w:type="paragraph" w:styleId="13">
    <w:name w:val="annotation text"/>
    <w:basedOn w:val="1"/>
    <w:semiHidden/>
    <w:qFormat/>
    <w:uiPriority w:val="0"/>
    <w:pPr>
      <w:jc w:val="left"/>
    </w:pPr>
  </w:style>
  <w:style w:type="paragraph" w:styleId="14">
    <w:name w:val="Body Text"/>
    <w:basedOn w:val="1"/>
    <w:next w:val="15"/>
    <w:autoRedefine/>
    <w:qFormat/>
    <w:uiPriority w:val="0"/>
    <w:pPr>
      <w:spacing w:after="120" w:afterLines="0" w:afterAutospacing="0"/>
    </w:pPr>
  </w:style>
  <w:style w:type="paragraph" w:styleId="15">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16">
    <w:name w:val="Body Text Indent"/>
    <w:basedOn w:val="1"/>
    <w:autoRedefine/>
    <w:qFormat/>
    <w:uiPriority w:val="0"/>
    <w:pPr>
      <w:spacing w:after="120" w:afterLines="0" w:afterAutospacing="0"/>
      <w:ind w:left="420" w:leftChars="200"/>
    </w:pPr>
  </w:style>
  <w:style w:type="paragraph" w:styleId="17">
    <w:name w:val="toc 3"/>
    <w:basedOn w:val="1"/>
    <w:next w:val="1"/>
    <w:qFormat/>
    <w:uiPriority w:val="39"/>
    <w:pPr>
      <w:adjustRightInd w:val="0"/>
      <w:snapToGrid w:val="0"/>
      <w:spacing w:line="400" w:lineRule="exact"/>
      <w:ind w:left="0" w:leftChars="0" w:firstLine="0" w:firstLineChars="0"/>
    </w:pPr>
    <w:rPr>
      <w:rFonts w:ascii="宋体" w:hAnsi="宋体" w:eastAsia="宋体"/>
      <w:sz w:val="24"/>
    </w:rPr>
  </w:style>
  <w:style w:type="paragraph" w:styleId="18">
    <w:name w:val="footer"/>
    <w:basedOn w:val="1"/>
    <w:autoRedefine/>
    <w:unhideWhenUsed/>
    <w:qFormat/>
    <w:uiPriority w:val="99"/>
    <w:pPr>
      <w:tabs>
        <w:tab w:val="center" w:pos="4153"/>
        <w:tab w:val="right" w:pos="8306"/>
      </w:tabs>
      <w:snapToGrid w:val="0"/>
      <w:jc w:val="left"/>
    </w:pPr>
    <w:rPr>
      <w:rFonts w:ascii="宋体" w:hAnsi="宋体" w:eastAsia="宋体" w:cs="Times New Roman"/>
      <w:sz w:val="21"/>
    </w:rPr>
  </w:style>
  <w:style w:type="paragraph" w:styleId="19">
    <w:name w:val="header"/>
    <w:basedOn w:val="1"/>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0">
    <w:name w:val="toc 1"/>
    <w:basedOn w:val="1"/>
    <w:next w:val="1"/>
    <w:autoRedefine/>
    <w:qFormat/>
    <w:uiPriority w:val="39"/>
    <w:pPr>
      <w:spacing w:line="400" w:lineRule="exact"/>
      <w:ind w:firstLine="0" w:firstLineChars="0"/>
    </w:pPr>
    <w:rPr>
      <w:rFonts w:ascii="宋体" w:hAnsi="宋体" w:eastAsia="宋体"/>
      <w:b/>
      <w:sz w:val="24"/>
    </w:rPr>
  </w:style>
  <w:style w:type="paragraph" w:styleId="21">
    <w:name w:val="toc 4"/>
    <w:basedOn w:val="1"/>
    <w:next w:val="1"/>
    <w:autoRedefine/>
    <w:qFormat/>
    <w:uiPriority w:val="0"/>
    <w:pPr>
      <w:spacing w:line="400" w:lineRule="exact"/>
      <w:ind w:left="0" w:leftChars="0" w:firstLine="0" w:firstLineChars="0"/>
    </w:pPr>
    <w:rPr>
      <w:rFonts w:ascii="Times New Roman" w:hAnsi="Times New Roman" w:eastAsia="宋体"/>
      <w:sz w:val="24"/>
    </w:rPr>
  </w:style>
  <w:style w:type="paragraph" w:styleId="22">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23">
    <w:name w:val="List"/>
    <w:basedOn w:val="1"/>
    <w:qFormat/>
    <w:uiPriority w:val="0"/>
    <w:pPr>
      <w:widowControl w:val="0"/>
      <w:jc w:val="center"/>
    </w:pPr>
    <w:rPr>
      <w:rFonts w:ascii="Times New Roman" w:hAnsi="Times New Roman" w:eastAsia="宋体" w:cs="Times New Roman"/>
      <w:kern w:val="2"/>
      <w:sz w:val="21"/>
      <w:szCs w:val="21"/>
      <w:lang w:val="en-US" w:eastAsia="zh-CN" w:bidi="ar-SA"/>
    </w:rPr>
  </w:style>
  <w:style w:type="paragraph" w:styleId="24">
    <w:name w:val="toc 2"/>
    <w:basedOn w:val="1"/>
    <w:next w:val="1"/>
    <w:autoRedefine/>
    <w:qFormat/>
    <w:uiPriority w:val="0"/>
    <w:pPr>
      <w:spacing w:line="400" w:lineRule="exact"/>
      <w:ind w:left="0" w:leftChars="0" w:firstLine="0" w:firstLineChars="0"/>
      <w:jc w:val="left"/>
    </w:pPr>
    <w:rPr>
      <w:rFonts w:ascii="宋体" w:hAnsi="宋体" w:eastAsia="宋体"/>
      <w:sz w:val="24"/>
    </w:rPr>
  </w:style>
  <w:style w:type="paragraph" w:styleId="2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6">
    <w:name w:val="Body Text First Indent"/>
    <w:basedOn w:val="14"/>
    <w:next w:val="1"/>
    <w:qFormat/>
    <w:uiPriority w:val="0"/>
    <w:pPr>
      <w:spacing w:line="500" w:lineRule="exact"/>
      <w:ind w:firstLine="420" w:firstLineChars="100"/>
    </w:pPr>
    <w:rPr>
      <w:rFonts w:ascii="宋体" w:hAnsi="宋体"/>
      <w:szCs w:val="24"/>
    </w:rPr>
  </w:style>
  <w:style w:type="paragraph" w:styleId="27">
    <w:name w:val="Body Text First Indent 2"/>
    <w:basedOn w:val="16"/>
    <w:next w:val="1"/>
    <w:autoRedefine/>
    <w:qFormat/>
    <w:uiPriority w:val="0"/>
    <w:pPr>
      <w:ind w:firstLine="420" w:firstLineChars="200"/>
    </w:pPr>
  </w:style>
  <w:style w:type="table" w:styleId="29">
    <w:name w:val="Table Grid"/>
    <w:basedOn w:val="28"/>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0"/>
    <w:rPr>
      <w:b/>
    </w:rPr>
  </w:style>
  <w:style w:type="character" w:styleId="32">
    <w:name w:val="Emphasis"/>
    <w:basedOn w:val="30"/>
    <w:qFormat/>
    <w:uiPriority w:val="0"/>
    <w:rPr>
      <w:i/>
    </w:rPr>
  </w:style>
  <w:style w:type="character" w:styleId="33">
    <w:name w:val="annotation reference"/>
    <w:qFormat/>
    <w:uiPriority w:val="0"/>
    <w:rPr>
      <w:sz w:val="21"/>
      <w:szCs w:val="21"/>
    </w:rPr>
  </w:style>
  <w:style w:type="character" w:customStyle="1" w:styleId="34">
    <w:name w:val="标题 1 字符"/>
    <w:link w:val="2"/>
    <w:qFormat/>
    <w:uiPriority w:val="0"/>
    <w:rPr>
      <w:rFonts w:ascii="黑体" w:hAnsi="黑体" w:eastAsia="黑体"/>
      <w:kern w:val="3"/>
      <w:sz w:val="36"/>
      <w:szCs w:val="44"/>
    </w:rPr>
  </w:style>
  <w:style w:type="character" w:customStyle="1" w:styleId="35">
    <w:name w:val="标题 2 字符"/>
    <w:link w:val="3"/>
    <w:qFormat/>
    <w:uiPriority w:val="0"/>
    <w:rPr>
      <w:rFonts w:ascii="黑体" w:hAnsi="黑体" w:eastAsia="黑体"/>
      <w:bCs/>
      <w:sz w:val="32"/>
      <w:szCs w:val="36"/>
    </w:rPr>
  </w:style>
  <w:style w:type="character" w:customStyle="1" w:styleId="36">
    <w:name w:val="标题 4 字符"/>
    <w:link w:val="5"/>
    <w:qFormat/>
    <w:uiPriority w:val="0"/>
    <w:rPr>
      <w:rFonts w:ascii="宋体" w:hAnsi="宋体" w:eastAsia="宋体" w:cs="Times New Roman"/>
      <w:b/>
      <w:bCs/>
      <w:kern w:val="2"/>
      <w:sz w:val="30"/>
      <w:szCs w:val="28"/>
      <w:lang w:val="en-US" w:eastAsia="zh-CN" w:bidi="ar-SA"/>
    </w:rPr>
  </w:style>
  <w:style w:type="character" w:customStyle="1" w:styleId="37">
    <w:name w:val="标题 3 字符"/>
    <w:link w:val="4"/>
    <w:qFormat/>
    <w:uiPriority w:val="9"/>
    <w:rPr>
      <w:rFonts w:ascii="宋体" w:hAnsi="宋体" w:eastAsia="宋体"/>
      <w:b/>
      <w:kern w:val="2"/>
      <w:sz w:val="32"/>
      <w:szCs w:val="24"/>
    </w:rPr>
  </w:style>
  <w:style w:type="character" w:customStyle="1" w:styleId="38">
    <w:name w:val="标题 5 字符"/>
    <w:link w:val="6"/>
    <w:autoRedefine/>
    <w:qFormat/>
    <w:uiPriority w:val="0"/>
    <w:rPr>
      <w:rFonts w:ascii="Times New Roman" w:hAnsi="Times New Roman" w:eastAsia="宋体"/>
      <w:b/>
      <w:bCs/>
      <w:sz w:val="28"/>
      <w:szCs w:val="28"/>
    </w:rPr>
  </w:style>
  <w:style w:type="paragraph" w:customStyle="1" w:styleId="39">
    <w:name w:val="表头"/>
    <w:basedOn w:val="1"/>
    <w:next w:val="1"/>
    <w:autoRedefine/>
    <w:qFormat/>
    <w:uiPriority w:val="0"/>
    <w:pPr>
      <w:spacing w:line="240" w:lineRule="auto"/>
      <w:ind w:firstLine="0" w:firstLineChars="0"/>
      <w:jc w:val="center"/>
    </w:pPr>
    <w:rPr>
      <w:rFonts w:ascii="Times New Roman" w:hAnsi="Times New Roman" w:eastAsia="宋体"/>
      <w:b/>
      <w:sz w:val="21"/>
      <w:szCs w:val="28"/>
    </w:rPr>
  </w:style>
  <w:style w:type="paragraph" w:customStyle="1" w:styleId="40">
    <w:name w:val="表格1"/>
    <w:autoRedefine/>
    <w:qFormat/>
    <w:uiPriority w:val="0"/>
    <w:pPr>
      <w:adjustRightInd w:val="0"/>
      <w:snapToGrid w:val="0"/>
      <w:spacing w:line="240" w:lineRule="auto"/>
      <w:jc w:val="center"/>
      <w:textAlignment w:val="center"/>
    </w:pPr>
    <w:rPr>
      <w:rFonts w:ascii="Times New Roman" w:hAnsi="Times New Roman" w:eastAsia="宋体" w:cstheme="minorBidi"/>
      <w:sz w:val="21"/>
      <w:lang w:val="en-US" w:eastAsia="zh-CN" w:bidi="ar-SA"/>
    </w:rPr>
  </w:style>
  <w:style w:type="character" w:customStyle="1" w:styleId="41">
    <w:name w:val="标题 6 字符"/>
    <w:link w:val="7"/>
    <w:qFormat/>
    <w:uiPriority w:val="0"/>
    <w:rPr>
      <w:rFonts w:ascii="Arial" w:hAnsi="Arial" w:eastAsia="黑体"/>
      <w:b/>
      <w:kern w:val="0"/>
      <w:sz w:val="24"/>
      <w:szCs w:val="20"/>
    </w:rPr>
  </w:style>
  <w:style w:type="paragraph" w:customStyle="1" w:styleId="42">
    <w:name w:val="Table Text"/>
    <w:basedOn w:val="1"/>
    <w:autoRedefine/>
    <w:semiHidden/>
    <w:qFormat/>
    <w:uiPriority w:val="0"/>
    <w:pPr>
      <w:spacing w:line="240" w:lineRule="auto"/>
      <w:ind w:firstLine="0" w:firstLineChars="0"/>
    </w:pPr>
    <w:rPr>
      <w:rFonts w:ascii="宋体" w:hAnsi="宋体" w:eastAsia="宋体" w:cs="宋体"/>
      <w:sz w:val="21"/>
      <w:szCs w:val="21"/>
      <w:lang w:eastAsia="en-US"/>
    </w:rPr>
  </w:style>
  <w:style w:type="paragraph" w:customStyle="1" w:styleId="43">
    <w:name w:val="表格（五号）"/>
    <w:basedOn w:val="1"/>
    <w:next w:val="1"/>
    <w:autoRedefine/>
    <w:qFormat/>
    <w:uiPriority w:val="0"/>
    <w:pPr>
      <w:adjustRightInd w:val="0"/>
      <w:snapToGrid w:val="0"/>
      <w:spacing w:line="240" w:lineRule="auto"/>
      <w:ind w:firstLine="0" w:firstLineChars="0"/>
      <w:jc w:val="center"/>
    </w:pPr>
    <w:rPr>
      <w:rFonts w:ascii="Times New Roman" w:hAnsi="Times New Roman" w:eastAsia="宋体"/>
      <w:bCs/>
      <w:sz w:val="21"/>
    </w:rPr>
  </w:style>
  <w:style w:type="paragraph" w:customStyle="1" w:styleId="44">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5">
    <w:name w:val="标题 7 字符"/>
    <w:link w:val="8"/>
    <w:qFormat/>
    <w:uiPriority w:val="99"/>
    <w:rPr>
      <w:b/>
      <w:kern w:val="0"/>
      <w:sz w:val="24"/>
      <w:szCs w:val="20"/>
    </w:rPr>
  </w:style>
  <w:style w:type="character" w:customStyle="1" w:styleId="46">
    <w:name w:val="标题 8 字符"/>
    <w:link w:val="9"/>
    <w:qFormat/>
    <w:uiPriority w:val="99"/>
    <w:rPr>
      <w:rFonts w:ascii="Arial" w:hAnsi="Arial" w:eastAsia="黑体"/>
      <w:kern w:val="0"/>
      <w:sz w:val="24"/>
      <w:szCs w:val="20"/>
    </w:rPr>
  </w:style>
  <w:style w:type="character" w:customStyle="1" w:styleId="47">
    <w:name w:val="标题 9 字符"/>
    <w:link w:val="10"/>
    <w:qFormat/>
    <w:uiPriority w:val="99"/>
    <w:rPr>
      <w:rFonts w:ascii="Arial" w:hAnsi="Arial" w:eastAsia="黑体"/>
      <w:kern w:val="0"/>
      <w:sz w:val="20"/>
      <w:szCs w:val="20"/>
    </w:rPr>
  </w:style>
  <w:style w:type="character" w:customStyle="1" w:styleId="48">
    <w:name w:val="题注 字符"/>
    <w:link w:val="12"/>
    <w:autoRedefine/>
    <w:qFormat/>
    <w:uiPriority w:val="0"/>
    <w:rPr>
      <w:rFonts w:ascii="宋体" w:hAnsi="宋体" w:eastAsia="宋体" w:cs="宋体"/>
      <w:b/>
      <w:sz w:val="24"/>
      <w:szCs w:val="28"/>
    </w:rPr>
  </w:style>
  <w:style w:type="table" w:customStyle="1" w:styleId="49">
    <w:name w:val="Table Normal"/>
    <w:semiHidden/>
    <w:unhideWhenUsed/>
    <w:qFormat/>
    <w:uiPriority w:val="0"/>
    <w:tblPr>
      <w:tblCellMar>
        <w:top w:w="0" w:type="dxa"/>
        <w:left w:w="0" w:type="dxa"/>
        <w:bottom w:w="0" w:type="dxa"/>
        <w:right w:w="0" w:type="dxa"/>
      </w:tblCellMar>
    </w:tblPr>
  </w:style>
  <w:style w:type="paragraph" w:customStyle="1" w:styleId="50">
    <w:name w:val="表格 表蕊左对齐"/>
    <w:qFormat/>
    <w:uiPriority w:val="0"/>
    <w:pPr>
      <w:widowControl w:val="0"/>
      <w:ind w:firstLine="100" w:firstLineChars="100"/>
      <w:jc w:val="left"/>
    </w:pPr>
    <w:rPr>
      <w:rFonts w:ascii="Times New Roman" w:hAnsi="Times New Roman" w:eastAsia="宋体" w:cs="Times New Roman"/>
      <w:kern w:val="2"/>
      <w:sz w:val="21"/>
      <w:szCs w:val="22"/>
      <w:lang w:val="en-US" w:eastAsia="zh-CN" w:bidi="ar-SA"/>
    </w:rPr>
  </w:style>
  <w:style w:type="paragraph" w:customStyle="1" w:styleId="51">
    <w:name w:val="表格 表蕊居中 五号或六号宋体字"/>
    <w:qFormat/>
    <w:uiPriority w:val="0"/>
    <w:pPr>
      <w:widowControl w:val="0"/>
      <w:jc w:val="center"/>
    </w:pPr>
    <w:rPr>
      <w:rFonts w:ascii="Times New Roman" w:hAnsi="Times New Roman" w:eastAsia="宋体" w:cs="Times New Roman"/>
      <w:kern w:val="2"/>
      <w:sz w:val="21"/>
      <w:szCs w:val="22"/>
      <w:lang w:val="en-US" w:eastAsia="zh-CN" w:bidi="ar-SA"/>
    </w:rPr>
  </w:style>
  <w:style w:type="paragraph" w:customStyle="1" w:styleId="52">
    <w:name w:val="表蕊左对齐（五号）"/>
    <w:next w:val="1"/>
    <w:qFormat/>
    <w:uiPriority w:val="99"/>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53">
    <w:name w:val="报告正文 小4号宋体"/>
    <w:qFormat/>
    <w:uiPriority w:val="0"/>
    <w:pPr>
      <w:widowControl w:val="0"/>
      <w:spacing w:line="520" w:lineRule="exact"/>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54">
    <w:name w:val="正文2"/>
    <w:basedOn w:val="55"/>
    <w:qFormat/>
    <w:uiPriority w:val="0"/>
    <w:pPr>
      <w:spacing w:line="500" w:lineRule="exact"/>
    </w:pPr>
    <w:rPr>
      <w:rFonts w:eastAsia="宋体"/>
      <w:szCs w:val="28"/>
    </w:rPr>
  </w:style>
  <w:style w:type="paragraph" w:customStyle="1" w:styleId="55">
    <w:name w:val="样式 样式 四号 行距: 1.5 倍行距 首行缩进:  2 字符 + 首行缩进:  2 字符"/>
    <w:basedOn w:val="56"/>
    <w:qFormat/>
    <w:uiPriority w:val="0"/>
    <w:pPr>
      <w:ind w:firstLine="560"/>
    </w:pPr>
  </w:style>
  <w:style w:type="paragraph" w:customStyle="1" w:styleId="56">
    <w:name w:val="样式 四号 行距: 1.5 倍行距 首行缩进:  2 字符"/>
    <w:basedOn w:val="1"/>
    <w:qFormat/>
    <w:uiPriority w:val="0"/>
    <w:pPr>
      <w:ind w:firstLine="200" w:firstLineChars="200"/>
    </w:pPr>
    <w:rPr>
      <w:rFonts w:eastAsia="仿宋" w:cs="宋体"/>
      <w:sz w:val="28"/>
      <w:szCs w:val="20"/>
    </w:rPr>
  </w:style>
  <w:style w:type="paragraph" w:styleId="57">
    <w:name w:val="List Paragraph"/>
    <w:basedOn w:val="1"/>
    <w:qFormat/>
    <w:uiPriority w:val="99"/>
    <w:pPr>
      <w:ind w:firstLine="420" w:firstLineChars="200"/>
    </w:pPr>
    <w:rPr>
      <w:szCs w:val="24"/>
    </w:rPr>
  </w:style>
  <w:style w:type="paragraph" w:customStyle="1" w:styleId="58">
    <w:name w:val="正文3"/>
    <w:basedOn w:val="55"/>
    <w:qFormat/>
    <w:uiPriority w:val="0"/>
    <w:pPr>
      <w:spacing w:line="500" w:lineRule="exact"/>
    </w:pPr>
    <w:rPr>
      <w:rFonts w:eastAsia="宋体"/>
      <w:szCs w:val="28"/>
    </w:rPr>
  </w:style>
  <w:style w:type="character" w:customStyle="1" w:styleId="59">
    <w:name w:val="正文6"/>
    <w:qFormat/>
    <w:uiPriority w:val="0"/>
    <w:rPr>
      <w:rFonts w:ascii="Times New Roman" w:hAnsi="Times New Roman" w:eastAsia="宋体"/>
      <w:spacing w:val="0"/>
      <w:w w:val="100"/>
      <w:position w:val="0"/>
      <w:sz w:val="28"/>
      <w:szCs w:val="28"/>
    </w:rPr>
  </w:style>
  <w:style w:type="paragraph" w:customStyle="1" w:styleId="60">
    <w:name w:val="WPSOffice手动目录 1"/>
    <w:qFormat/>
    <w:uiPriority w:val="0"/>
    <w:pPr>
      <w:ind w:leftChars="0"/>
    </w:pPr>
    <w:rPr>
      <w:rFonts w:ascii="Times New Roman" w:hAnsi="Times New Roman" w:eastAsia="宋体" w:cs="Times New Roman"/>
      <w:sz w:val="20"/>
      <w:szCs w:val="20"/>
    </w:rPr>
  </w:style>
  <w:style w:type="paragraph" w:customStyle="1" w:styleId="6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8.jpe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jpeg"/><Relationship Id="rId18" Type="http://schemas.openxmlformats.org/officeDocument/2006/relationships/image" Target="media/image3.png"/><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header" Target="header2.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109</Pages>
  <Words>62111</Words>
  <Characters>69084</Characters>
  <Lines>1</Lines>
  <Paragraphs>1</Paragraphs>
  <TotalTime>8</TotalTime>
  <ScaleCrop>false</ScaleCrop>
  <LinksUpToDate>false</LinksUpToDate>
  <CharactersWithSpaces>69910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2023-12-07T07:08:00Z</dcterms:created>
  <dc:creator>lyypz</dc:creator>
  <cp:lastModifiedBy>荒</cp:lastModifiedBy>
  <dcterms:modified xsi:type="dcterms:W3CDTF">2025-05-12T00:35:20Z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39F51635C94E4DB898751E1DE8E59E4A_13</vt:lpwstr>
  </property>
  <property fmtid="{D5CDD505-2E9C-101B-9397-08002B2CF9AE}" pid="4" name="KSOTemplateDocerSaveRecord">
    <vt:lpwstr>eyJoZGlkIjoiYTMzNmU1OTY3NjI3MzJkNjE2MWQ5NWQzNDQ5ZGE5ODAiLCJ1c2VySWQiOiIyMTY2ODY5NzYifQ==</vt:lpwstr>
  </property>
</Properties>
</file>