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snapToGrid/>
        <w:ind w:firstLine="0" w:firstLineChars="0"/>
        <w:rPr>
          <w:rFonts w:ascii="宋体" w:hAnsi="仿宋" w:cs="宋体"/>
          <w:bCs/>
          <w:color w:val="000000" w:themeColor="text1"/>
          <w:kern w:val="0"/>
          <w:szCs w:val="28"/>
        </w:rPr>
      </w:pPr>
      <w:bookmarkStart w:id="0" w:name="_Toc469761000"/>
      <w:bookmarkStart w:id="1" w:name="_Toc470860339"/>
      <w:bookmarkStart w:id="2" w:name="_Toc486522024"/>
      <w:bookmarkStart w:id="3" w:name="_Toc484089655"/>
      <w:bookmarkStart w:id="4" w:name="_Toc470774281"/>
      <w:bookmarkStart w:id="5" w:name="_Toc470680245"/>
      <w:bookmarkStart w:id="6" w:name="_Toc470781558"/>
      <w:bookmarkStart w:id="7" w:name="_Toc470696738"/>
      <w:bookmarkStart w:id="8" w:name="_Toc470694897"/>
      <w:bookmarkStart w:id="9" w:name="_Toc472410475"/>
      <w:bookmarkStart w:id="10" w:name="_Toc485397562"/>
    </w:p>
    <w:p>
      <w:pPr>
        <w:ind w:firstLine="0" w:firstLineChars="0"/>
      </w:pPr>
    </w:p>
    <w:p>
      <w:pPr>
        <w:spacing w:line="480" w:lineRule="auto"/>
        <w:ind w:firstLine="0" w:firstLineChars="0"/>
        <w:jc w:val="center"/>
        <w:rPr>
          <w:rFonts w:ascii="宋体" w:hAnsi="宋体" w:eastAsia="黑体" w:cs="宋体-18030"/>
          <w:b/>
          <w:color w:val="000000" w:themeColor="text1"/>
          <w:sz w:val="44"/>
          <w:szCs w:val="44"/>
        </w:rPr>
      </w:pPr>
    </w:p>
    <w:p>
      <w:pPr>
        <w:spacing w:line="480" w:lineRule="auto"/>
        <w:ind w:firstLine="0" w:firstLineChars="0"/>
        <w:jc w:val="center"/>
        <w:rPr>
          <w:rFonts w:hint="eastAsia" w:ascii="黑体" w:hAnsi="黑体" w:eastAsia="黑体" w:cs="黑体"/>
          <w:b/>
          <w:color w:val="000000" w:themeColor="text1"/>
          <w:sz w:val="52"/>
          <w:szCs w:val="52"/>
          <w:lang w:eastAsia="zh-CN"/>
        </w:rPr>
      </w:pPr>
      <w:r>
        <w:rPr>
          <w:rFonts w:hint="eastAsia" w:ascii="宋体" w:hAnsi="宋体" w:eastAsia="黑体" w:cs="宋体-18030"/>
          <w:b/>
          <w:color w:val="000000" w:themeColor="text1"/>
          <w:sz w:val="44"/>
          <w:szCs w:val="44"/>
          <w:lang w:eastAsia="zh-CN"/>
        </w:rPr>
        <w:t>昆明合起工贸有限公司澄江氟化分公司</w:t>
      </w:r>
    </w:p>
    <w:p>
      <w:pPr>
        <w:spacing w:line="480" w:lineRule="auto"/>
        <w:ind w:firstLine="0" w:firstLineChars="0"/>
        <w:jc w:val="center"/>
        <w:rPr>
          <w:rFonts w:ascii="黑体" w:hAnsi="黑体" w:eastAsia="黑体" w:cs="黑体"/>
          <w:b/>
          <w:color w:val="000000" w:themeColor="text1"/>
          <w:sz w:val="52"/>
          <w:szCs w:val="52"/>
        </w:rPr>
      </w:pPr>
    </w:p>
    <w:p>
      <w:pPr>
        <w:spacing w:line="480" w:lineRule="auto"/>
        <w:ind w:firstLine="0" w:firstLineChars="0"/>
        <w:jc w:val="center"/>
        <w:rPr>
          <w:rFonts w:ascii="黑体" w:hAnsi="黑体" w:eastAsia="黑体" w:cs="黑体"/>
          <w:b/>
          <w:color w:val="000000" w:themeColor="text1"/>
          <w:sz w:val="52"/>
          <w:szCs w:val="52"/>
        </w:rPr>
      </w:pPr>
      <w:r>
        <w:rPr>
          <w:rFonts w:hint="eastAsia" w:ascii="黑体" w:hAnsi="黑体" w:eastAsia="黑体" w:cs="黑体"/>
          <w:b/>
          <w:color w:val="000000" w:themeColor="text1"/>
          <w:sz w:val="52"/>
          <w:szCs w:val="52"/>
        </w:rPr>
        <w:t>安 全 现 状 评 价 报 告</w:t>
      </w:r>
    </w:p>
    <w:p>
      <w:pPr>
        <w:ind w:firstLine="0" w:firstLineChars="0"/>
        <w:jc w:val="center"/>
        <w:rPr>
          <w:rFonts w:ascii="宋体" w:hAnsi="宋体" w:cs="宋体-18030"/>
          <w:color w:val="000000" w:themeColor="text1"/>
          <w:szCs w:val="28"/>
        </w:rPr>
      </w:pPr>
    </w:p>
    <w:p>
      <w:pPr>
        <w:spacing w:line="480" w:lineRule="auto"/>
        <w:ind w:firstLine="2800" w:firstLineChars="1000"/>
        <w:rPr>
          <w:rFonts w:ascii="宋体" w:hAnsi="宋体" w:cs="宋体-18030"/>
          <w:color w:val="000000" w:themeColor="text1"/>
          <w:szCs w:val="28"/>
        </w:rPr>
      </w:pPr>
    </w:p>
    <w:p>
      <w:pPr>
        <w:spacing w:line="480" w:lineRule="auto"/>
        <w:ind w:firstLine="2800" w:firstLineChars="1000"/>
        <w:rPr>
          <w:rFonts w:ascii="宋体" w:hAnsi="宋体" w:cs="宋体-18030"/>
          <w:color w:val="000000" w:themeColor="text1"/>
          <w:szCs w:val="28"/>
        </w:rPr>
      </w:pPr>
    </w:p>
    <w:p>
      <w:pPr>
        <w:ind w:firstLine="0" w:firstLineChars="0"/>
        <w:rPr>
          <w:rFonts w:ascii="仿宋" w:hAnsi="仿宋" w:eastAsia="仿宋"/>
          <w:b/>
          <w:bCs/>
          <w:snapToGrid w:val="0"/>
          <w:color w:val="000000" w:themeColor="text1"/>
          <w:kern w:val="0"/>
          <w:szCs w:val="28"/>
        </w:rPr>
      </w:pPr>
    </w:p>
    <w:p>
      <w:pPr>
        <w:ind w:firstLine="0" w:firstLineChars="0"/>
        <w:rPr>
          <w:rFonts w:ascii="宋体" w:hAnsi="宋体"/>
          <w:bCs/>
          <w:snapToGrid w:val="0"/>
          <w:color w:val="000000" w:themeColor="text1"/>
          <w:kern w:val="0"/>
          <w:szCs w:val="28"/>
        </w:rPr>
      </w:pP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r>
        <w:rPr>
          <w:rFonts w:hint="eastAsia" w:ascii="宋体" w:hAnsi="宋体"/>
          <w:bCs/>
          <w:snapToGrid w:val="0"/>
          <w:color w:val="000000" w:themeColor="text1"/>
          <w:kern w:val="0"/>
          <w:sz w:val="32"/>
          <w:szCs w:val="32"/>
        </w:rPr>
        <w:t>昭通市鼎安科技有限公司</w:t>
      </w:r>
    </w:p>
    <w:p>
      <w:pPr>
        <w:ind w:firstLine="0" w:firstLineChars="0"/>
        <w:jc w:val="center"/>
        <w:rPr>
          <w:rFonts w:ascii="宋体" w:hAnsi="宋体"/>
          <w:bCs/>
          <w:snapToGrid w:val="0"/>
          <w:color w:val="000000" w:themeColor="text1"/>
          <w:kern w:val="0"/>
          <w:sz w:val="32"/>
          <w:szCs w:val="32"/>
        </w:rPr>
      </w:pPr>
      <w:r>
        <w:rPr>
          <w:rFonts w:hint="eastAsia" w:ascii="宋体" w:hAnsi="宋体" w:cs="宋体"/>
          <w:bCs/>
          <w:sz w:val="32"/>
          <w:szCs w:val="32"/>
        </w:rPr>
        <w:t>评价资质证书编号：APJ-（云）-005</w:t>
      </w: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r>
        <w:rPr>
          <w:rFonts w:hint="eastAsia" w:ascii="宋体" w:hAnsi="宋体"/>
          <w:bCs/>
          <w:snapToGrid w:val="0"/>
          <w:color w:val="000000" w:themeColor="text1"/>
          <w:kern w:val="0"/>
          <w:sz w:val="32"/>
          <w:szCs w:val="32"/>
        </w:rPr>
        <w:t>2023</w:t>
      </w:r>
      <w:r>
        <w:rPr>
          <w:rFonts w:ascii="宋体" w:hAnsi="宋体"/>
          <w:bCs/>
          <w:snapToGrid w:val="0"/>
          <w:color w:val="000000" w:themeColor="text1"/>
          <w:kern w:val="0"/>
          <w:sz w:val="32"/>
          <w:szCs w:val="32"/>
        </w:rPr>
        <w:t>年</w:t>
      </w:r>
      <w:r>
        <w:rPr>
          <w:rFonts w:hint="eastAsia" w:ascii="宋体" w:hAnsi="宋体"/>
          <w:bCs/>
          <w:snapToGrid w:val="0"/>
          <w:color w:val="000000" w:themeColor="text1"/>
          <w:kern w:val="0"/>
          <w:sz w:val="32"/>
          <w:szCs w:val="32"/>
        </w:rPr>
        <w:t>1</w:t>
      </w:r>
      <w:r>
        <w:rPr>
          <w:rFonts w:hint="eastAsia" w:ascii="宋体" w:hAnsi="宋体"/>
          <w:bCs/>
          <w:snapToGrid w:val="0"/>
          <w:color w:val="000000" w:themeColor="text1"/>
          <w:kern w:val="0"/>
          <w:sz w:val="32"/>
          <w:szCs w:val="32"/>
          <w:lang w:val="en-US" w:eastAsia="zh-CN"/>
        </w:rPr>
        <w:t>1</w:t>
      </w:r>
      <w:r>
        <w:rPr>
          <w:rFonts w:ascii="宋体" w:hAnsi="宋体"/>
          <w:bCs/>
          <w:snapToGrid w:val="0"/>
          <w:color w:val="000000" w:themeColor="text1"/>
          <w:kern w:val="0"/>
          <w:sz w:val="32"/>
          <w:szCs w:val="32"/>
        </w:rPr>
        <w:t>月</w:t>
      </w:r>
    </w:p>
    <w:p>
      <w:pPr>
        <w:ind w:firstLine="0" w:firstLineChars="0"/>
        <w:rPr>
          <w:rFonts w:ascii="仿宋" w:hAnsi="仿宋" w:eastAsia="仿宋"/>
          <w:bCs/>
          <w:snapToGrid w:val="0"/>
          <w:color w:val="000000" w:themeColor="text1"/>
          <w:kern w:val="0"/>
          <w:szCs w:val="28"/>
        </w:rPr>
      </w:pPr>
    </w:p>
    <w:p>
      <w:pPr>
        <w:ind w:firstLine="0" w:firstLineChars="0"/>
        <w:jc w:val="center"/>
        <w:rPr>
          <w:rFonts w:ascii="仿宋" w:hAnsi="仿宋" w:eastAsia="仿宋"/>
          <w:bCs/>
          <w:snapToGrid w:val="0"/>
          <w:color w:val="000000" w:themeColor="text1"/>
          <w:kern w:val="0"/>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587" w:left="1417" w:header="851" w:footer="1020" w:gutter="0"/>
          <w:pgNumType w:fmt="upperRoman" w:start="1"/>
          <w:cols w:space="0" w:num="1"/>
          <w:docGrid w:linePitch="381" w:charSpace="0"/>
        </w:sectPr>
      </w:pPr>
    </w:p>
    <w:p>
      <w:pPr>
        <w:ind w:firstLine="0" w:firstLineChars="0"/>
        <w:jc w:val="center"/>
        <w:rPr>
          <w:rFonts w:asciiTheme="minorEastAsia" w:hAnsiTheme="minorEastAsia" w:eastAsiaTheme="minorEastAsia"/>
          <w:bCs/>
          <w:snapToGrid w:val="0"/>
          <w:color w:val="000000" w:themeColor="text1"/>
          <w:kern w:val="0"/>
          <w:szCs w:val="28"/>
        </w:rPr>
      </w:pPr>
    </w:p>
    <w:p>
      <w:pPr>
        <w:ind w:firstLine="0" w:firstLineChars="0"/>
        <w:jc w:val="center"/>
        <w:rPr>
          <w:rFonts w:ascii="宋体" w:hAnsi="宋体" w:cs="宋体-18030"/>
          <w:b/>
          <w:bCs/>
          <w:color w:val="000000" w:themeColor="text1"/>
          <w:sz w:val="48"/>
          <w:szCs w:val="48"/>
        </w:rPr>
      </w:pPr>
    </w:p>
    <w:p>
      <w:pPr>
        <w:ind w:firstLine="0" w:firstLineChars="0"/>
        <w:jc w:val="center"/>
        <w:rPr>
          <w:rFonts w:hint="eastAsia" w:ascii="宋体" w:hAnsi="宋体" w:eastAsia="宋体" w:cs="宋体-18030"/>
          <w:b/>
          <w:bCs/>
          <w:color w:val="000000" w:themeColor="text1"/>
          <w:sz w:val="48"/>
          <w:szCs w:val="48"/>
          <w:lang w:eastAsia="zh-CN"/>
        </w:rPr>
      </w:pPr>
      <w:r>
        <w:rPr>
          <w:rFonts w:hint="eastAsia" w:ascii="宋体" w:hAnsi="宋体" w:cs="宋体-18030"/>
          <w:b/>
          <w:bCs/>
          <w:color w:val="000000" w:themeColor="text1"/>
          <w:sz w:val="48"/>
          <w:szCs w:val="48"/>
          <w:lang w:eastAsia="zh-CN"/>
        </w:rPr>
        <w:t>昆明合起工贸有限公司澄江氟化分公司</w:t>
      </w:r>
    </w:p>
    <w:p>
      <w:pPr>
        <w:ind w:firstLine="0" w:firstLineChars="0"/>
        <w:jc w:val="center"/>
        <w:rPr>
          <w:rFonts w:ascii="宋体" w:hAnsi="宋体" w:cs="宋体-18030"/>
          <w:color w:val="000000" w:themeColor="text1"/>
          <w:szCs w:val="28"/>
        </w:rPr>
      </w:pPr>
    </w:p>
    <w:p>
      <w:pPr>
        <w:ind w:firstLine="0" w:firstLineChars="0"/>
        <w:rPr>
          <w:rFonts w:ascii="宋体" w:hAnsi="宋体" w:cs="宋体-18030"/>
          <w:color w:val="000000" w:themeColor="text1"/>
          <w:szCs w:val="28"/>
        </w:rPr>
      </w:pPr>
    </w:p>
    <w:p>
      <w:pPr>
        <w:tabs>
          <w:tab w:val="left" w:pos="720"/>
          <w:tab w:val="left" w:pos="900"/>
          <w:tab w:val="left" w:pos="7020"/>
          <w:tab w:val="left" w:pos="7307"/>
          <w:tab w:val="left" w:pos="7380"/>
        </w:tabs>
        <w:ind w:firstLine="0" w:firstLineChars="0"/>
        <w:jc w:val="center"/>
        <w:rPr>
          <w:rFonts w:ascii="宋体" w:hAnsi="宋体"/>
          <w:b/>
          <w:bCs/>
          <w:snapToGrid w:val="0"/>
          <w:color w:val="000000" w:themeColor="text1"/>
          <w:kern w:val="0"/>
          <w:sz w:val="48"/>
          <w:szCs w:val="48"/>
        </w:rPr>
      </w:pPr>
      <w:r>
        <w:rPr>
          <w:rFonts w:hint="eastAsia" w:ascii="宋体" w:hAnsi="宋体"/>
          <w:b/>
          <w:bCs/>
          <w:snapToGrid w:val="0"/>
          <w:color w:val="000000" w:themeColor="text1"/>
          <w:kern w:val="0"/>
          <w:sz w:val="48"/>
          <w:szCs w:val="48"/>
        </w:rPr>
        <w:t>安全现状评价报告</w:t>
      </w:r>
    </w:p>
    <w:p>
      <w:pPr>
        <w:ind w:firstLine="0" w:firstLineChars="0"/>
        <w:jc w:val="center"/>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p>
    <w:p>
      <w:pPr>
        <w:adjustRightInd/>
        <w:ind w:firstLine="2240" w:firstLineChars="800"/>
        <w:rPr>
          <w:rFonts w:ascii="宋体" w:hAnsi="宋体" w:cs="宋体"/>
          <w:szCs w:val="28"/>
        </w:rPr>
      </w:pPr>
      <w:r>
        <w:rPr>
          <w:rFonts w:hint="eastAsia" w:ascii="宋体" w:hAnsi="宋体" w:cs="宋体"/>
          <w:szCs w:val="28"/>
        </w:rPr>
        <w:t>评价机构名称：昭通市鼎安科技有限公司</w:t>
      </w:r>
    </w:p>
    <w:p>
      <w:pPr>
        <w:adjustRightInd/>
        <w:ind w:firstLine="2240" w:firstLineChars="800"/>
        <w:rPr>
          <w:rFonts w:ascii="宋体" w:hAnsi="宋体" w:cs="宋体"/>
          <w:szCs w:val="28"/>
        </w:rPr>
      </w:pPr>
      <w:r>
        <w:rPr>
          <w:rFonts w:hint="eastAsia" w:ascii="宋体" w:hAnsi="宋体" w:cs="宋体"/>
          <w:szCs w:val="28"/>
        </w:rPr>
        <w:t>评价资质证书编号：APJ-（云）-005</w:t>
      </w:r>
    </w:p>
    <w:p>
      <w:pPr>
        <w:adjustRightInd/>
        <w:ind w:firstLine="2240" w:firstLineChars="800"/>
        <w:rPr>
          <w:rFonts w:ascii="宋体" w:hAnsi="宋体" w:cs="宋体"/>
          <w:szCs w:val="28"/>
        </w:rPr>
      </w:pPr>
      <w:r>
        <w:rPr>
          <w:rFonts w:hint="eastAsia" w:ascii="宋体" w:hAnsi="宋体" w:cs="宋体"/>
          <w:szCs w:val="28"/>
        </w:rPr>
        <w:t>法定代表人：毛卫旭</w:t>
      </w:r>
    </w:p>
    <w:p>
      <w:pPr>
        <w:adjustRightInd/>
        <w:ind w:firstLine="2240" w:firstLineChars="800"/>
        <w:rPr>
          <w:rFonts w:ascii="宋体" w:hAnsi="宋体" w:cs="宋体"/>
          <w:szCs w:val="28"/>
        </w:rPr>
      </w:pPr>
      <w:r>
        <w:rPr>
          <w:rFonts w:hint="eastAsia" w:ascii="宋体" w:hAnsi="宋体" w:cs="宋体"/>
          <w:szCs w:val="28"/>
        </w:rPr>
        <w:t>项目负责人：杨庆国</w:t>
      </w:r>
    </w:p>
    <w:p>
      <w:pPr>
        <w:adjustRightInd/>
        <w:ind w:firstLine="2240" w:firstLineChars="800"/>
        <w:rPr>
          <w:rFonts w:ascii="宋体" w:hAnsi="宋体" w:cs="宋体"/>
          <w:szCs w:val="28"/>
        </w:rPr>
      </w:pPr>
      <w:r>
        <w:rPr>
          <w:rFonts w:hint="eastAsia" w:ascii="宋体" w:hAnsi="宋体" w:cs="宋体"/>
          <w:szCs w:val="28"/>
        </w:rPr>
        <w:t>技术负责人：饶旭军</w:t>
      </w:r>
    </w:p>
    <w:p>
      <w:pPr>
        <w:adjustRightInd/>
        <w:ind w:firstLine="2240" w:firstLineChars="800"/>
        <w:rPr>
          <w:rFonts w:ascii="宋体" w:hAnsi="宋体" w:cs="宋体"/>
          <w:szCs w:val="28"/>
        </w:rPr>
      </w:pPr>
      <w:r>
        <w:rPr>
          <w:rFonts w:hint="eastAsia" w:ascii="宋体" w:hAnsi="宋体" w:cs="宋体"/>
          <w:szCs w:val="28"/>
        </w:rPr>
        <w:t>过程控制负责人：李晓达</w:t>
      </w:r>
    </w:p>
    <w:p>
      <w:pPr>
        <w:adjustRightInd/>
        <w:ind w:firstLine="2240" w:firstLineChars="800"/>
        <w:rPr>
          <w:rFonts w:ascii="宋体" w:hAnsi="宋体" w:cs="宋体"/>
          <w:szCs w:val="28"/>
        </w:rPr>
      </w:pPr>
      <w:r>
        <w:rPr>
          <w:rFonts w:hint="eastAsia" w:ascii="宋体" w:hAnsi="宋体" w:cs="宋体"/>
          <w:szCs w:val="28"/>
        </w:rPr>
        <w:t>评价机构联系电话：0870-3170896</w:t>
      </w:r>
    </w:p>
    <w:p>
      <w:pPr>
        <w:ind w:firstLine="0" w:firstLineChars="0"/>
        <w:jc w:val="center"/>
        <w:rPr>
          <w:rFonts w:ascii="宋体" w:hAnsi="宋体" w:cs="宋体-18030"/>
          <w:color w:val="000000" w:themeColor="text1"/>
          <w:szCs w:val="28"/>
        </w:rPr>
      </w:pPr>
    </w:p>
    <w:p>
      <w:pPr>
        <w:ind w:firstLine="0" w:firstLineChars="0"/>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r>
        <w:rPr>
          <w:rFonts w:hint="eastAsia" w:ascii="宋体" w:hAnsi="宋体" w:cs="宋体"/>
          <w:b/>
          <w:spacing w:val="12"/>
          <w:kern w:val="0"/>
          <w:sz w:val="24"/>
        </w:rPr>
        <w:t>昭通市鼎安科技有限公司</w:t>
      </w:r>
    </w:p>
    <w:p>
      <w:pPr>
        <w:ind w:firstLine="0" w:firstLineChars="0"/>
        <w:jc w:val="center"/>
        <w:rPr>
          <w:rFonts w:ascii="宋体" w:hAnsi="宋体" w:cs="宋体-18030"/>
          <w:color w:val="000000" w:themeColor="text1"/>
          <w:szCs w:val="28"/>
        </w:rPr>
      </w:pPr>
      <w:r>
        <w:rPr>
          <w:rFonts w:hint="eastAsia" w:ascii="宋体" w:hAnsi="宋体" w:cs="宋体-18030"/>
          <w:b/>
          <w:bCs/>
          <w:color w:val="000000" w:themeColor="text1"/>
          <w:sz w:val="24"/>
        </w:rPr>
        <w:t>二0二三年十</w:t>
      </w:r>
      <w:r>
        <w:rPr>
          <w:rFonts w:hint="eastAsia" w:ascii="宋体" w:hAnsi="宋体" w:cs="宋体-18030"/>
          <w:b/>
          <w:bCs/>
          <w:color w:val="000000" w:themeColor="text1"/>
          <w:sz w:val="24"/>
          <w:lang w:val="en-US" w:eastAsia="zh-CN"/>
        </w:rPr>
        <w:t>一</w:t>
      </w:r>
      <w:r>
        <w:rPr>
          <w:rFonts w:hint="eastAsia" w:ascii="宋体" w:hAnsi="宋体" w:cs="宋体-18030"/>
          <w:b/>
          <w:bCs/>
          <w:color w:val="000000" w:themeColor="text1"/>
          <w:sz w:val="24"/>
        </w:rPr>
        <w:t>月</w:t>
      </w:r>
    </w:p>
    <w:p>
      <w:pPr>
        <w:ind w:firstLine="0" w:firstLineChars="0"/>
        <w:jc w:val="center"/>
        <w:rPr>
          <w:rFonts w:ascii="宋体" w:hAnsi="宋体" w:cs="宋体-18030"/>
          <w:color w:val="000000" w:themeColor="text1"/>
          <w:szCs w:val="28"/>
        </w:rPr>
        <w:sectPr>
          <w:headerReference r:id="rId11" w:type="default"/>
          <w:footerReference r:id="rId12" w:type="default"/>
          <w:pgSz w:w="11906" w:h="16838"/>
          <w:pgMar w:top="1417" w:right="1417" w:bottom="1587" w:left="1417" w:header="851" w:footer="1020" w:gutter="0"/>
          <w:pgNumType w:fmt="upperRoman" w:start="1"/>
          <w:cols w:space="0" w:num="1"/>
          <w:docGrid w:linePitch="381" w:charSpace="0"/>
        </w:sectPr>
      </w:pPr>
    </w:p>
    <w:p>
      <w:pPr>
        <w:spacing w:line="240" w:lineRule="auto"/>
        <w:ind w:firstLine="0" w:firstLineChars="0"/>
        <w:jc w:val="center"/>
        <w:rPr>
          <w:b/>
          <w:bCs/>
          <w:color w:val="000000" w:themeColor="text1"/>
          <w:sz w:val="44"/>
          <w:szCs w:val="44"/>
        </w:rPr>
      </w:pPr>
      <w:r>
        <w:rPr>
          <w:rFonts w:hint="eastAsia"/>
          <w:b/>
          <w:bCs/>
          <w:color w:val="000000" w:themeColor="text1"/>
          <w:sz w:val="44"/>
          <w:szCs w:val="44"/>
        </w:rPr>
        <w:t>现 场 照 片</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1" w:type="dxa"/>
          </w:tcPr>
          <w:p>
            <w:pPr>
              <w:widowControl/>
              <w:spacing w:line="240" w:lineRule="auto"/>
              <w:ind w:firstLine="0" w:firstLineChars="0"/>
              <w:jc w:val="center"/>
              <w:rPr>
                <w:rFonts w:ascii="宋体" w:hAnsi="宋体" w:cs="宋体"/>
                <w:b/>
                <w:color w:val="000000" w:themeColor="text1"/>
                <w:sz w:val="44"/>
                <w:szCs w:val="44"/>
              </w:rPr>
            </w:pPr>
            <w:r>
              <w:rPr>
                <w:rFonts w:hint="eastAsia" w:ascii="宋体" w:hAnsi="宋体" w:cs="宋体"/>
                <w:b/>
                <w:color w:val="000000" w:themeColor="text1"/>
                <w:sz w:val="44"/>
                <w:szCs w:val="44"/>
              </w:rPr>
              <w:drawing>
                <wp:inline distT="0" distB="0" distL="114300" distR="114300">
                  <wp:extent cx="5760720" cy="2613660"/>
                  <wp:effectExtent l="0" t="0" r="11430" b="15240"/>
                  <wp:docPr id="30" name="图片 30" descr="微信图片_20230925091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图片_20230925091849"/>
                          <pic:cNvPicPr>
                            <a:picLocks noChangeAspect="1"/>
                          </pic:cNvPicPr>
                        </pic:nvPicPr>
                        <pic:blipFill>
                          <a:blip r:embed="rId19" cstate="print"/>
                          <a:stretch>
                            <a:fillRect/>
                          </a:stretch>
                        </pic:blipFill>
                        <pic:spPr>
                          <a:xfrm>
                            <a:off x="0" y="0"/>
                            <a:ext cx="5760720" cy="2613660"/>
                          </a:xfrm>
                          <a:prstGeom prst="rect">
                            <a:avLst/>
                          </a:prstGeom>
                        </pic:spPr>
                      </pic:pic>
                    </a:graphicData>
                  </a:graphic>
                </wp:inline>
              </w:drawing>
            </w:r>
          </w:p>
          <w:p>
            <w:pPr>
              <w:widowControl/>
              <w:spacing w:line="240" w:lineRule="auto"/>
              <w:ind w:firstLine="0" w:firstLineChars="0"/>
              <w:jc w:val="center"/>
              <w:rPr>
                <w:rFonts w:ascii="宋体" w:hAnsi="宋体" w:cs="宋体"/>
                <w:b/>
                <w:bCs/>
                <w:color w:val="000000" w:themeColor="text1"/>
                <w:sz w:val="24"/>
              </w:rPr>
            </w:pPr>
            <w:r>
              <w:rPr>
                <w:rFonts w:hint="eastAsia" w:ascii="宋体" w:hAnsi="宋体" w:cs="宋体"/>
                <w:b/>
                <w:bCs/>
                <w:color w:val="000000" w:themeColor="text1"/>
                <w:sz w:val="24"/>
              </w:rPr>
              <w:t>图1 评价师现场照片</w:t>
            </w:r>
          </w:p>
          <w:p>
            <w:pPr>
              <w:widowControl/>
              <w:spacing w:line="240" w:lineRule="auto"/>
              <w:ind w:firstLine="0" w:firstLineChars="0"/>
              <w:jc w:val="center"/>
              <w:rPr>
                <w:color w:val="000000" w:themeColor="text1"/>
              </w:rPr>
            </w:pPr>
            <w:r>
              <w:rPr>
                <w:rFonts w:hint="eastAsia" w:ascii="宋体" w:hAnsi="宋体" w:cs="宋体"/>
                <w:b/>
                <w:bCs/>
                <w:color w:val="000000" w:themeColor="text1"/>
                <w:sz w:val="24"/>
              </w:rPr>
              <w:t>从右到左分别为：陈恭文（报告编制人）、张家凯（业主单位主要负责人）、杨庆国（项目负责人）</w:t>
            </w:r>
          </w:p>
        </w:tc>
      </w:tr>
    </w:tbl>
    <w:tbl>
      <w:tblPr>
        <w:tblStyle w:val="37"/>
        <w:tblpPr w:leftFromText="180" w:rightFromText="180" w:vertAnchor="text" w:horzAnchor="margin" w:tblpY="10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trPr>
        <w:tc>
          <w:tcPr>
            <w:tcW w:w="9401" w:type="dxa"/>
          </w:tcPr>
          <w:p>
            <w:pPr>
              <w:widowControl/>
              <w:spacing w:line="240" w:lineRule="auto"/>
              <w:ind w:firstLine="0" w:firstLineChars="0"/>
              <w:jc w:val="center"/>
              <w:rPr>
                <w:rFonts w:ascii="宋体" w:hAnsi="宋体" w:cs="宋体"/>
                <w:b/>
                <w:color w:val="000000" w:themeColor="text1"/>
                <w:sz w:val="44"/>
                <w:szCs w:val="44"/>
                <w:lang w:val="zh-CN"/>
              </w:rPr>
            </w:pPr>
            <w:r>
              <w:rPr>
                <w:rFonts w:ascii="宋体" w:hAnsi="宋体" w:cs="宋体"/>
                <w:b/>
                <w:color w:val="000000" w:themeColor="text1"/>
                <w:sz w:val="44"/>
                <w:szCs w:val="44"/>
              </w:rPr>
              <w:drawing>
                <wp:inline distT="0" distB="0" distL="114300" distR="114300">
                  <wp:extent cx="5721985" cy="2592705"/>
                  <wp:effectExtent l="0" t="0" r="12065" b="17145"/>
                  <wp:docPr id="162" name="图片 162" descr="微信图片_202309250918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微信图片_202309250918491"/>
                          <pic:cNvPicPr>
                            <a:picLocks noChangeAspect="1"/>
                          </pic:cNvPicPr>
                        </pic:nvPicPr>
                        <pic:blipFill>
                          <a:blip r:embed="rId20" cstate="print"/>
                          <a:stretch>
                            <a:fillRect/>
                          </a:stretch>
                        </pic:blipFill>
                        <pic:spPr>
                          <a:xfrm>
                            <a:off x="0" y="0"/>
                            <a:ext cx="5721985" cy="2592705"/>
                          </a:xfrm>
                          <a:prstGeom prst="rect">
                            <a:avLst/>
                          </a:prstGeom>
                        </pic:spPr>
                      </pic:pic>
                    </a:graphicData>
                  </a:graphic>
                </wp:inline>
              </w:drawing>
            </w:r>
          </w:p>
          <w:p>
            <w:pPr>
              <w:widowControl/>
              <w:spacing w:line="240" w:lineRule="auto"/>
              <w:ind w:firstLine="0" w:firstLineChars="0"/>
              <w:jc w:val="center"/>
              <w:rPr>
                <w:rFonts w:cs="宋体"/>
                <w:b/>
                <w:bCs/>
                <w:color w:val="000000" w:themeColor="text1"/>
                <w:sz w:val="24"/>
              </w:rPr>
            </w:pPr>
            <w:r>
              <w:rPr>
                <w:rFonts w:hint="eastAsia" w:cs="宋体"/>
                <w:b/>
                <w:bCs/>
                <w:color w:val="000000" w:themeColor="text1"/>
                <w:sz w:val="24"/>
              </w:rPr>
              <w:t>图2 评价师现场照片</w:t>
            </w:r>
          </w:p>
          <w:p>
            <w:pPr>
              <w:pStyle w:val="51"/>
              <w:jc w:val="center"/>
              <w:rPr>
                <w:rFonts w:hint="default" w:cs="宋体"/>
                <w:b/>
                <w:color w:val="000000" w:themeColor="text1"/>
                <w:sz w:val="44"/>
                <w:szCs w:val="44"/>
                <w:lang w:val="zh-CN"/>
              </w:rPr>
            </w:pPr>
            <w:r>
              <w:rPr>
                <w:rFonts w:cs="宋体"/>
                <w:b/>
                <w:bCs/>
                <w:color w:val="000000" w:themeColor="text1"/>
                <w:szCs w:val="24"/>
              </w:rPr>
              <w:t>从右到左分别为：</w:t>
            </w:r>
            <w:r>
              <w:rPr>
                <w:rFonts w:hint="eastAsia" w:cs="宋体"/>
                <w:b/>
                <w:bCs/>
                <w:color w:val="000000" w:themeColor="text1"/>
              </w:rPr>
              <w:t>陈恭文</w:t>
            </w:r>
            <w:r>
              <w:rPr>
                <w:rFonts w:cs="宋体"/>
                <w:b/>
                <w:bCs/>
                <w:color w:val="000000" w:themeColor="text1"/>
              </w:rPr>
              <w:t>（报告编制人）、张家凯（业主单位主要负责人）、杨庆国（项目负责人）</w:t>
            </w:r>
          </w:p>
        </w:tc>
      </w:tr>
    </w:tbl>
    <w:p>
      <w:pPr>
        <w:ind w:firstLine="0" w:firstLineChars="0"/>
        <w:rPr>
          <w:b/>
          <w:color w:val="000000" w:themeColor="text1"/>
          <w:sz w:val="24"/>
        </w:rPr>
      </w:pPr>
      <w:r>
        <w:rPr>
          <w:b/>
          <w:color w:val="000000" w:themeColor="text1"/>
          <w:sz w:val="24"/>
        </w:rPr>
        <w:br w:type="page"/>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6"/>
        <w:gridCol w:w="4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1" w:hRule="atLeast"/>
        </w:trPr>
        <w:tc>
          <w:tcPr>
            <w:tcW w:w="4626" w:type="dxa"/>
          </w:tcPr>
          <w:p>
            <w:pPr>
              <w:ind w:firstLine="0" w:firstLineChars="0"/>
              <w:jc w:val="center"/>
              <w:rPr>
                <w:rFonts w:hint="eastAsia" w:eastAsia="宋体"/>
                <w:lang w:eastAsia="zh-CN"/>
              </w:rPr>
            </w:pPr>
            <w:r>
              <w:rPr>
                <w:rFonts w:hint="eastAsia" w:eastAsia="宋体"/>
                <w:lang w:eastAsia="zh-CN"/>
              </w:rPr>
              <w:drawing>
                <wp:inline distT="0" distB="0" distL="114300" distR="114300">
                  <wp:extent cx="2765425" cy="2458720"/>
                  <wp:effectExtent l="0" t="0" r="15875" b="17780"/>
                  <wp:docPr id="4" name="图片 4" descr="IMG_20231009_15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31009_151049"/>
                          <pic:cNvPicPr>
                            <a:picLocks noChangeAspect="1"/>
                          </pic:cNvPicPr>
                        </pic:nvPicPr>
                        <pic:blipFill>
                          <a:blip r:embed="rId21"/>
                          <a:stretch>
                            <a:fillRect/>
                          </a:stretch>
                        </pic:blipFill>
                        <pic:spPr>
                          <a:xfrm>
                            <a:off x="0" y="0"/>
                            <a:ext cx="2765425" cy="2458720"/>
                          </a:xfrm>
                          <a:prstGeom prst="rect">
                            <a:avLst/>
                          </a:prstGeom>
                        </pic:spPr>
                      </pic:pic>
                    </a:graphicData>
                  </a:graphic>
                </wp:inline>
              </w:drawing>
            </w:r>
          </w:p>
        </w:tc>
        <w:tc>
          <w:tcPr>
            <w:tcW w:w="4566" w:type="dxa"/>
          </w:tcPr>
          <w:p>
            <w:pPr>
              <w:ind w:firstLine="0" w:firstLineChars="0"/>
              <w:rPr>
                <w:rFonts w:hint="eastAsia" w:eastAsia="宋体"/>
                <w:lang w:eastAsia="zh-CN"/>
              </w:rPr>
            </w:pPr>
            <w:r>
              <w:rPr>
                <w:rFonts w:hint="eastAsia" w:eastAsia="宋体"/>
                <w:lang w:eastAsia="zh-CN"/>
              </w:rPr>
              <w:drawing>
                <wp:inline distT="0" distB="0" distL="114300" distR="114300">
                  <wp:extent cx="2720975" cy="2439035"/>
                  <wp:effectExtent l="0" t="0" r="3175" b="18415"/>
                  <wp:docPr id="5" name="图片 5" descr="IMG_20231009_15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31009_151054"/>
                          <pic:cNvPicPr>
                            <a:picLocks noChangeAspect="1"/>
                          </pic:cNvPicPr>
                        </pic:nvPicPr>
                        <pic:blipFill>
                          <a:blip r:embed="rId22"/>
                          <a:stretch>
                            <a:fillRect/>
                          </a:stretch>
                        </pic:blipFill>
                        <pic:spPr>
                          <a:xfrm>
                            <a:off x="0" y="0"/>
                            <a:ext cx="2720975" cy="24390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rFonts w:hint="default" w:eastAsia="宋体"/>
                <w:b/>
                <w:bCs/>
                <w:sz w:val="24"/>
                <w:lang w:val="en-US" w:eastAsia="zh-CN"/>
              </w:rPr>
            </w:pPr>
            <w:r>
              <w:rPr>
                <w:rFonts w:hint="eastAsia"/>
                <w:b/>
                <w:bCs/>
                <w:sz w:val="24"/>
              </w:rPr>
              <w:t xml:space="preserve">图3 </w:t>
            </w:r>
            <w:r>
              <w:rPr>
                <w:rFonts w:hint="eastAsia"/>
                <w:b/>
                <w:bCs/>
                <w:sz w:val="24"/>
                <w:lang w:val="en-US" w:eastAsia="zh-CN"/>
              </w:rPr>
              <w:t>生产区大门</w:t>
            </w:r>
          </w:p>
        </w:tc>
        <w:tc>
          <w:tcPr>
            <w:tcW w:w="4566" w:type="dxa"/>
          </w:tcPr>
          <w:p>
            <w:pPr>
              <w:ind w:firstLine="0" w:firstLineChars="0"/>
              <w:jc w:val="center"/>
              <w:rPr>
                <w:rFonts w:hint="default" w:eastAsia="宋体"/>
                <w:b/>
                <w:bCs/>
                <w:sz w:val="24"/>
                <w:lang w:val="en-US" w:eastAsia="zh-CN"/>
              </w:rPr>
            </w:pPr>
            <w:r>
              <w:rPr>
                <w:rFonts w:hint="eastAsia"/>
                <w:b/>
                <w:bCs/>
                <w:sz w:val="24"/>
              </w:rPr>
              <w:t xml:space="preserve">图4 </w:t>
            </w:r>
            <w:r>
              <w:rPr>
                <w:rFonts w:hint="eastAsia"/>
                <w:b/>
                <w:bCs/>
                <w:sz w:val="24"/>
                <w:lang w:val="en-US" w:eastAsia="zh-CN"/>
              </w:rPr>
              <w:t>生产区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rFonts w:hint="eastAsia" w:eastAsia="宋体"/>
                <w:lang w:eastAsia="zh-CN"/>
              </w:rPr>
            </w:pPr>
            <w:r>
              <w:rPr>
                <w:rFonts w:hint="eastAsia" w:eastAsia="宋体"/>
                <w:lang w:eastAsia="zh-CN"/>
              </w:rPr>
              <w:drawing>
                <wp:inline distT="0" distB="0" distL="114300" distR="114300">
                  <wp:extent cx="2765425" cy="2248535"/>
                  <wp:effectExtent l="0" t="0" r="15875" b="18415"/>
                  <wp:docPr id="7" name="图片 7" descr="IMG_20231009_15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31009_151328"/>
                          <pic:cNvPicPr>
                            <a:picLocks noChangeAspect="1"/>
                          </pic:cNvPicPr>
                        </pic:nvPicPr>
                        <pic:blipFill>
                          <a:blip r:embed="rId23"/>
                          <a:stretch>
                            <a:fillRect/>
                          </a:stretch>
                        </pic:blipFill>
                        <pic:spPr>
                          <a:xfrm>
                            <a:off x="0" y="0"/>
                            <a:ext cx="2765425" cy="2248535"/>
                          </a:xfrm>
                          <a:prstGeom prst="rect">
                            <a:avLst/>
                          </a:prstGeom>
                        </pic:spPr>
                      </pic:pic>
                    </a:graphicData>
                  </a:graphic>
                </wp:inline>
              </w:drawing>
            </w:r>
          </w:p>
        </w:tc>
        <w:tc>
          <w:tcPr>
            <w:tcW w:w="4566" w:type="dxa"/>
          </w:tcPr>
          <w:p>
            <w:pPr>
              <w:ind w:firstLine="0" w:firstLineChars="0"/>
            </w:pPr>
            <w:r>
              <w:rPr>
                <w:rFonts w:hint="eastAsia" w:eastAsia="宋体"/>
                <w:lang w:eastAsia="zh-CN"/>
              </w:rPr>
              <w:drawing>
                <wp:inline distT="0" distB="0" distL="114300" distR="114300">
                  <wp:extent cx="2750820" cy="2205990"/>
                  <wp:effectExtent l="0" t="0" r="11430" b="3810"/>
                  <wp:docPr id="1" name="图片 1" descr="IMG_20231009_15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31009_152912"/>
                          <pic:cNvPicPr>
                            <a:picLocks noChangeAspect="1"/>
                          </pic:cNvPicPr>
                        </pic:nvPicPr>
                        <pic:blipFill>
                          <a:blip r:embed="rId24"/>
                          <a:stretch>
                            <a:fillRect/>
                          </a:stretch>
                        </pic:blipFill>
                        <pic:spPr>
                          <a:xfrm>
                            <a:off x="0" y="0"/>
                            <a:ext cx="2750820" cy="22059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626" w:type="dxa"/>
          </w:tcPr>
          <w:p>
            <w:pPr>
              <w:ind w:firstLine="0" w:firstLineChars="0"/>
              <w:jc w:val="center"/>
              <w:rPr>
                <w:rFonts w:hint="default" w:eastAsia="宋体"/>
                <w:b/>
                <w:bCs/>
                <w:sz w:val="24"/>
                <w:lang w:val="en-US" w:eastAsia="zh-CN"/>
              </w:rPr>
            </w:pPr>
            <w:r>
              <w:rPr>
                <w:rFonts w:hint="eastAsia"/>
                <w:b/>
                <w:bCs/>
                <w:sz w:val="24"/>
              </w:rPr>
              <w:t xml:space="preserve">图5 </w:t>
            </w:r>
            <w:r>
              <w:rPr>
                <w:rFonts w:hint="eastAsia"/>
                <w:b/>
                <w:bCs/>
                <w:sz w:val="24"/>
                <w:lang w:val="en-US" w:eastAsia="zh-CN"/>
              </w:rPr>
              <w:t>喷淋洗眼器</w:t>
            </w:r>
          </w:p>
        </w:tc>
        <w:tc>
          <w:tcPr>
            <w:tcW w:w="4566" w:type="dxa"/>
          </w:tcPr>
          <w:p>
            <w:pPr>
              <w:ind w:firstLine="0" w:firstLineChars="0"/>
              <w:jc w:val="center"/>
              <w:rPr>
                <w:b/>
                <w:bCs/>
                <w:sz w:val="24"/>
              </w:rPr>
            </w:pPr>
            <w:r>
              <w:rPr>
                <w:rFonts w:hint="eastAsia"/>
                <w:b/>
                <w:bCs/>
                <w:sz w:val="24"/>
              </w:rPr>
              <w:t xml:space="preserve">图6 </w:t>
            </w:r>
            <w:r>
              <w:rPr>
                <w:rFonts w:hint="eastAsia"/>
                <w:b/>
                <w:bCs/>
                <w:sz w:val="24"/>
                <w:lang w:val="en-US" w:eastAsia="zh-CN"/>
              </w:rPr>
              <w:t>视频监控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rFonts w:hint="eastAsia" w:eastAsia="宋体"/>
                <w:lang w:eastAsia="zh-CN"/>
              </w:rPr>
            </w:pPr>
            <w:r>
              <w:rPr>
                <w:rFonts w:hint="eastAsia" w:eastAsia="宋体"/>
                <w:lang w:eastAsia="zh-CN"/>
              </w:rPr>
              <w:drawing>
                <wp:inline distT="0" distB="0" distL="114300" distR="114300">
                  <wp:extent cx="2765425" cy="2225675"/>
                  <wp:effectExtent l="0" t="0" r="0" b="0"/>
                  <wp:docPr id="8" name="图片 8" descr="IMG_20231009_15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31009_151356"/>
                          <pic:cNvPicPr>
                            <a:picLocks noChangeAspect="1"/>
                          </pic:cNvPicPr>
                        </pic:nvPicPr>
                        <pic:blipFill>
                          <a:blip r:embed="rId25"/>
                          <a:srcRect t="10518"/>
                          <a:stretch>
                            <a:fillRect/>
                          </a:stretch>
                        </pic:blipFill>
                        <pic:spPr>
                          <a:xfrm>
                            <a:off x="0" y="0"/>
                            <a:ext cx="2765425" cy="2225675"/>
                          </a:xfrm>
                          <a:prstGeom prst="rect">
                            <a:avLst/>
                          </a:prstGeom>
                        </pic:spPr>
                      </pic:pic>
                    </a:graphicData>
                  </a:graphic>
                </wp:inline>
              </w:drawing>
            </w:r>
          </w:p>
        </w:tc>
        <w:tc>
          <w:tcPr>
            <w:tcW w:w="4566" w:type="dxa"/>
          </w:tcPr>
          <w:p>
            <w:pPr>
              <w:ind w:firstLine="0" w:firstLineChars="0"/>
              <w:jc w:val="center"/>
              <w:rPr>
                <w:rFonts w:hint="eastAsia" w:eastAsia="宋体"/>
                <w:lang w:eastAsia="zh-CN"/>
              </w:rPr>
            </w:pPr>
            <w:r>
              <w:rPr>
                <w:rFonts w:hint="eastAsia" w:eastAsia="宋体"/>
                <w:lang w:eastAsia="zh-CN"/>
              </w:rPr>
              <w:drawing>
                <wp:inline distT="0" distB="0" distL="114300" distR="114300">
                  <wp:extent cx="2750820" cy="2234565"/>
                  <wp:effectExtent l="0" t="0" r="11430" b="13335"/>
                  <wp:docPr id="15" name="图片 15" descr="IMG_20231009_151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31009_151727"/>
                          <pic:cNvPicPr>
                            <a:picLocks noChangeAspect="1"/>
                          </pic:cNvPicPr>
                        </pic:nvPicPr>
                        <pic:blipFill>
                          <a:blip r:embed="rId26"/>
                          <a:stretch>
                            <a:fillRect/>
                          </a:stretch>
                        </pic:blipFill>
                        <pic:spPr>
                          <a:xfrm>
                            <a:off x="0" y="0"/>
                            <a:ext cx="2750820" cy="22345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b/>
                <w:bCs/>
                <w:sz w:val="24"/>
              </w:rPr>
            </w:pPr>
            <w:r>
              <w:rPr>
                <w:rFonts w:hint="eastAsia"/>
                <w:b/>
                <w:bCs/>
                <w:sz w:val="24"/>
              </w:rPr>
              <w:t>图7</w:t>
            </w:r>
            <w:r>
              <w:rPr>
                <w:rFonts w:hint="eastAsia"/>
                <w:b/>
                <w:bCs/>
                <w:sz w:val="24"/>
                <w:lang w:val="en-US" w:eastAsia="zh-CN"/>
              </w:rPr>
              <w:t xml:space="preserve"> 职业危害告知卡</w:t>
            </w:r>
            <w:r>
              <w:rPr>
                <w:rFonts w:hint="eastAsia"/>
                <w:b/>
                <w:bCs/>
                <w:sz w:val="24"/>
              </w:rPr>
              <w:t xml:space="preserve"> </w:t>
            </w:r>
          </w:p>
        </w:tc>
        <w:tc>
          <w:tcPr>
            <w:tcW w:w="4566" w:type="dxa"/>
          </w:tcPr>
          <w:p>
            <w:pPr>
              <w:ind w:firstLine="0" w:firstLineChars="0"/>
              <w:jc w:val="center"/>
              <w:rPr>
                <w:rFonts w:hint="default" w:eastAsia="宋体"/>
                <w:b/>
                <w:bCs/>
                <w:sz w:val="24"/>
                <w:lang w:val="en-US" w:eastAsia="zh-CN"/>
              </w:rPr>
            </w:pPr>
            <w:r>
              <w:rPr>
                <w:rFonts w:hint="eastAsia"/>
                <w:b/>
                <w:bCs/>
                <w:sz w:val="24"/>
              </w:rPr>
              <w:t xml:space="preserve">图8 </w:t>
            </w:r>
            <w:r>
              <w:rPr>
                <w:rFonts w:hint="eastAsia"/>
                <w:b/>
                <w:bCs/>
                <w:sz w:val="24"/>
                <w:lang w:val="en-US" w:eastAsia="zh-CN"/>
              </w:rPr>
              <w:t>风险告知栏</w:t>
            </w:r>
          </w:p>
        </w:tc>
      </w:tr>
    </w:tbl>
    <w:p>
      <w:pPr>
        <w:ind w:firstLine="0" w:firstLineChars="0"/>
        <w:jc w:val="center"/>
        <w:rPr>
          <w:b/>
          <w:color w:val="000000" w:themeColor="text1"/>
          <w:sz w:val="24"/>
        </w:rPr>
      </w:pPr>
    </w:p>
    <w:p>
      <w:pPr>
        <w:pStyle w:val="3"/>
        <w:sectPr>
          <w:headerReference r:id="rId13" w:type="default"/>
          <w:footerReference r:id="rId14" w:type="default"/>
          <w:pgSz w:w="11906" w:h="16838"/>
          <w:pgMar w:top="1417" w:right="1417" w:bottom="1587" w:left="1417" w:header="851" w:footer="1020" w:gutter="0"/>
          <w:pgNumType w:fmt="upperRoman" w:start="1"/>
          <w:cols w:space="0" w:num="1"/>
          <w:docGrid w:linePitch="381" w:charSpace="0"/>
        </w:sectPr>
      </w:pPr>
    </w:p>
    <w:p>
      <w:pPr>
        <w:ind w:firstLine="0" w:firstLineChars="0"/>
        <w:jc w:val="center"/>
        <w:rPr>
          <w:b/>
          <w:bCs/>
          <w:color w:val="000000" w:themeColor="text1"/>
          <w:sz w:val="44"/>
          <w:szCs w:val="44"/>
          <w:lang w:val="zh-CN"/>
        </w:rPr>
      </w:pPr>
      <w:r>
        <w:rPr>
          <w:rFonts w:hint="eastAsia"/>
          <w:b/>
          <w:bCs/>
          <w:color w:val="000000" w:themeColor="text1"/>
          <w:sz w:val="44"/>
          <w:szCs w:val="44"/>
          <w:lang w:val="zh-CN"/>
        </w:rPr>
        <w:t>前</w:t>
      </w:r>
      <w:r>
        <w:rPr>
          <w:rFonts w:hint="eastAsia"/>
          <w:b/>
          <w:bCs/>
          <w:color w:val="000000" w:themeColor="text1"/>
          <w:sz w:val="44"/>
          <w:szCs w:val="44"/>
        </w:rPr>
        <w:t xml:space="preserve">  </w:t>
      </w:r>
      <w:r>
        <w:rPr>
          <w:rFonts w:hint="eastAsia"/>
          <w:b/>
          <w:bCs/>
          <w:color w:val="000000" w:themeColor="text1"/>
          <w:sz w:val="44"/>
          <w:szCs w:val="44"/>
          <w:lang w:val="zh-CN"/>
        </w:rPr>
        <w:t>言</w:t>
      </w:r>
      <w:bookmarkEnd w:id="0"/>
      <w:bookmarkEnd w:id="1"/>
      <w:bookmarkEnd w:id="2"/>
      <w:bookmarkEnd w:id="3"/>
      <w:bookmarkEnd w:id="4"/>
      <w:bookmarkEnd w:id="5"/>
      <w:bookmarkEnd w:id="6"/>
      <w:bookmarkEnd w:id="7"/>
      <w:bookmarkEnd w:id="8"/>
      <w:bookmarkEnd w:id="9"/>
      <w:bookmarkEnd w:id="10"/>
    </w:p>
    <w:p>
      <w:pPr>
        <w:ind w:firstLine="0" w:firstLineChars="0"/>
        <w:rPr>
          <w:lang w:val="zh-CN"/>
        </w:rPr>
      </w:pPr>
    </w:p>
    <w:p>
      <w:pPr>
        <w:topLinePunct/>
        <w:ind w:firstLine="560"/>
        <w:rPr>
          <w:rFonts w:ascii="宋体" w:hAnsi="宋体"/>
          <w:color w:val="000000" w:themeColor="text1"/>
          <w:szCs w:val="20"/>
        </w:rPr>
      </w:pPr>
      <w:r>
        <w:rPr>
          <w:rFonts w:hint="eastAsia" w:ascii="宋体" w:hAnsi="宋体"/>
          <w:color w:val="000000" w:themeColor="text1"/>
          <w:szCs w:val="20"/>
        </w:rPr>
        <w:t>随着我国法制化的日趋健全和完善，安全生产监督管理体系也逐步向科学化、规范化、制度化发展，安全评价作为现代先进安全生产管理模式的主要内容之一越来越受到重视。安全评价不仅能有效地提高企业和生产设备的本质安全程度，而且可以为各级安全生产监督管理部门的决策和监督检查提供有力的技术支撑。</w:t>
      </w:r>
    </w:p>
    <w:p>
      <w:pPr>
        <w:topLinePunct/>
        <w:ind w:firstLine="560"/>
        <w:rPr>
          <w:rFonts w:ascii="宋体" w:hAnsi="宋体"/>
          <w:color w:val="000000" w:themeColor="text1"/>
          <w:szCs w:val="20"/>
        </w:rPr>
      </w:pPr>
      <w:r>
        <w:rPr>
          <w:rFonts w:hint="eastAsia" w:ascii="宋体" w:hAnsi="宋体"/>
          <w:color w:val="000000" w:themeColor="text1"/>
          <w:szCs w:val="20"/>
        </w:rPr>
        <w:t>根据《中华人民共和国安全生产法》（</w:t>
      </w:r>
      <w:r>
        <w:rPr>
          <w:rFonts w:hint="eastAsia"/>
          <w:color w:val="000000" w:themeColor="text1"/>
        </w:rPr>
        <w:t>中华人民共和国主席令第88号</w:t>
      </w:r>
      <w:r>
        <w:rPr>
          <w:rFonts w:hint="eastAsia" w:ascii="宋体" w:hAnsi="宋体"/>
          <w:color w:val="000000" w:themeColor="text1"/>
          <w:szCs w:val="20"/>
        </w:rPr>
        <w:t>）、《危险化学品安全管理条例》（中华人民共和国国务院令591号，第645号修正）、《安全生产许可证条例》（国务院397号令发布，国务院令第653号修正）等国家有关安全生产法律、法规、部门规章的要求，</w:t>
      </w:r>
      <w:r>
        <w:rPr>
          <w:rFonts w:hint="eastAsia" w:ascii="宋体" w:hAnsi="宋体"/>
          <w:color w:val="000000" w:themeColor="text1"/>
          <w:szCs w:val="20"/>
          <w:lang w:eastAsia="zh-CN"/>
        </w:rPr>
        <w:t>昆明合起工贸有限公司澄江氟化分公司</w:t>
      </w:r>
      <w:r>
        <w:rPr>
          <w:rFonts w:hint="eastAsia" w:ascii="宋体" w:hAnsi="宋体"/>
          <w:color w:val="000000" w:themeColor="text1"/>
          <w:szCs w:val="20"/>
        </w:rPr>
        <w:t>危险化学品安全生产许可证于2024年3月20日到期，按照《危险化学品生产企业安全生产许可证实施办法》（</w:t>
      </w:r>
      <w:r>
        <w:rPr>
          <w:color w:val="000000" w:themeColor="text1"/>
        </w:rPr>
        <w:t>国家安全生产监督管理总局令第41号，第79号第一次修正，第89号第二次修正</w:t>
      </w:r>
      <w:r>
        <w:rPr>
          <w:rFonts w:hint="eastAsia" w:ascii="宋体" w:hAnsi="宋体"/>
          <w:color w:val="000000" w:themeColor="text1"/>
          <w:szCs w:val="20"/>
        </w:rPr>
        <w:t>）的规定，特委托昭通市鼎安科技有限公司承担其安全现状评价工作。</w:t>
      </w:r>
    </w:p>
    <w:p>
      <w:pPr>
        <w:topLinePunct/>
        <w:ind w:firstLine="560"/>
        <w:rPr>
          <w:rFonts w:ascii="宋体" w:hAnsi="宋体"/>
          <w:color w:val="000000" w:themeColor="text1"/>
          <w:szCs w:val="20"/>
        </w:rPr>
      </w:pPr>
      <w:r>
        <w:rPr>
          <w:rFonts w:hint="eastAsia" w:ascii="宋体" w:hAnsi="宋体"/>
          <w:color w:val="000000" w:themeColor="text1"/>
          <w:szCs w:val="20"/>
        </w:rPr>
        <w:t>昭通市鼎安科技有限公司接受企业委托后，成立了项目评价组，评价组依据《安全评价通则》AQ8001-2007要求，参照《危险化学品生产企业安全评价导则(试行)》（安监管危化字[2004]127号）规定的评价程序，本着“科学、公正、独立、客观”的原则，经现场调研和查勘，以收集到的相关资料与标准规范为依据，对该公司存在的主要</w:t>
      </w:r>
      <w:r>
        <w:rPr>
          <w:rFonts w:hint="eastAsia" w:ascii="宋体" w:hAnsi="宋体"/>
          <w:color w:val="000000" w:themeColor="text1"/>
          <w:szCs w:val="20"/>
          <w:lang w:eastAsia="zh-CN"/>
        </w:rPr>
        <w:t>危险和有害因素</w:t>
      </w:r>
      <w:r>
        <w:rPr>
          <w:rFonts w:hint="eastAsia" w:ascii="宋体" w:hAnsi="宋体"/>
          <w:color w:val="000000" w:themeColor="text1"/>
          <w:szCs w:val="20"/>
        </w:rPr>
        <w:t>及其危险危害程度进行辨识与分析，对系统配备的安全设施进行了有效性、可靠性、生产条件进行了分析评价。在此基础上有针对性的提出了消除、减弱和预防危险性，提高其安全程度的对策措施，最后得出评价结论，并编制完成了安全现状评价报告。</w:t>
      </w:r>
    </w:p>
    <w:p>
      <w:pPr>
        <w:topLinePunct/>
        <w:ind w:firstLine="560"/>
        <w:rPr>
          <w:rFonts w:ascii="宋体" w:hAnsi="宋体"/>
          <w:color w:val="000000" w:themeColor="text1"/>
          <w:szCs w:val="20"/>
        </w:rPr>
      </w:pPr>
      <w:r>
        <w:rPr>
          <w:rFonts w:hint="eastAsia" w:ascii="宋体" w:hAnsi="宋体"/>
          <w:color w:val="000000" w:themeColor="text1"/>
          <w:szCs w:val="20"/>
        </w:rPr>
        <w:t>在</w:t>
      </w:r>
      <w:r>
        <w:rPr>
          <w:rFonts w:hint="eastAsia" w:ascii="宋体" w:hAnsi="宋体"/>
          <w:color w:val="000000" w:themeColor="text1"/>
          <w:szCs w:val="20"/>
          <w:lang w:eastAsia="zh-CN"/>
        </w:rPr>
        <w:t>昆明合起工贸有限公司澄江氟化分公司</w:t>
      </w:r>
      <w:r>
        <w:rPr>
          <w:rFonts w:hint="eastAsia" w:ascii="宋体" w:hAnsi="宋体"/>
          <w:color w:val="000000" w:themeColor="text1"/>
          <w:szCs w:val="20"/>
        </w:rPr>
        <w:t>的安全评价以及评价报告的编写过程中，得到了玉溪市应急管理局、澄江市应急管理局、</w:t>
      </w:r>
      <w:r>
        <w:rPr>
          <w:rFonts w:hint="eastAsia" w:ascii="宋体" w:hAnsi="宋体"/>
          <w:color w:val="000000" w:themeColor="text1"/>
          <w:szCs w:val="20"/>
          <w:lang w:eastAsia="zh-CN"/>
        </w:rPr>
        <w:t>昆明合起工贸有限公司澄江氟化分公司</w:t>
      </w:r>
      <w:r>
        <w:rPr>
          <w:rFonts w:hint="eastAsia" w:ascii="宋体" w:hAnsi="宋体"/>
          <w:color w:val="000000" w:themeColor="text1"/>
          <w:szCs w:val="20"/>
        </w:rPr>
        <w:t>等单位的支持和协助，在此表示衷心的感谢！</w:t>
      </w:r>
      <w:r>
        <w:rPr>
          <w:rFonts w:ascii="宋体" w:hAnsi="宋体"/>
          <w:color w:val="000000" w:themeColor="text1"/>
          <w:szCs w:val="20"/>
        </w:rPr>
        <w:br w:type="page"/>
      </w:r>
    </w:p>
    <w:p>
      <w:pPr>
        <w:topLinePunct/>
        <w:ind w:firstLine="0" w:firstLineChars="0"/>
        <w:rPr>
          <w:rFonts w:ascii="宋体" w:hAnsi="宋体"/>
          <w:color w:val="000000" w:themeColor="text1"/>
          <w:szCs w:val="20"/>
        </w:rPr>
        <w:sectPr>
          <w:footerReference r:id="rId15" w:type="default"/>
          <w:pgSz w:w="11906" w:h="16838"/>
          <w:pgMar w:top="1417" w:right="1417" w:bottom="1587" w:left="1417" w:header="851" w:footer="1020" w:gutter="0"/>
          <w:pgNumType w:fmt="upperRoman"/>
          <w:cols w:space="0" w:num="1"/>
          <w:docGrid w:linePitch="381" w:charSpace="0"/>
        </w:sectPr>
      </w:pPr>
    </w:p>
    <w:p>
      <w:pPr>
        <w:ind w:firstLine="0" w:firstLineChars="0"/>
        <w:jc w:val="center"/>
        <w:rPr>
          <w:lang w:val="zh-CN"/>
        </w:rPr>
      </w:pPr>
      <w:r>
        <w:rPr>
          <w:rFonts w:hint="eastAsia" w:ascii="宋体" w:hAnsi="宋体" w:cs="宋体"/>
          <w:b/>
          <w:color w:val="000000" w:themeColor="text1"/>
          <w:sz w:val="44"/>
          <w:szCs w:val="44"/>
          <w:lang w:val="zh-CN"/>
        </w:rPr>
        <w:t>目</w:t>
      </w:r>
      <w:r>
        <w:rPr>
          <w:rFonts w:hint="eastAsia" w:ascii="宋体" w:hAnsi="宋体" w:cs="宋体"/>
          <w:b/>
          <w:color w:val="000000" w:themeColor="text1"/>
          <w:sz w:val="44"/>
          <w:szCs w:val="44"/>
        </w:rPr>
        <w:t xml:space="preserve">  </w:t>
      </w:r>
      <w:r>
        <w:rPr>
          <w:rFonts w:hint="eastAsia" w:ascii="宋体" w:hAnsi="宋体" w:cs="宋体"/>
          <w:b/>
          <w:color w:val="000000" w:themeColor="text1"/>
          <w:sz w:val="44"/>
          <w:szCs w:val="44"/>
          <w:lang w:val="zh-CN"/>
        </w:rPr>
        <w:t>录</w:t>
      </w:r>
      <w:bookmarkStart w:id="11" w:name="_Toc23076_WPSOffice_Type2"/>
    </w:p>
    <w:p>
      <w:pPr>
        <w:pStyle w:val="23"/>
        <w:tabs>
          <w:tab w:val="right" w:leader="dot" w:pos="9072"/>
        </w:tabs>
        <w:rPr>
          <w:i w:val="0"/>
          <w:iCs w:val="0"/>
          <w:sz w:val="24"/>
          <w:szCs w:val="24"/>
        </w:rPr>
      </w:pPr>
      <w:r>
        <w:fldChar w:fldCharType="begin"/>
      </w:r>
      <w:r>
        <w:instrText xml:space="preserve">TOC \o "1-3" \h \u </w:instrText>
      </w:r>
      <w:r>
        <w:fldChar w:fldCharType="separate"/>
      </w:r>
      <w:r>
        <w:rPr>
          <w:i w:val="0"/>
          <w:iCs w:val="0"/>
          <w:sz w:val="24"/>
          <w:szCs w:val="24"/>
        </w:rPr>
        <w:fldChar w:fldCharType="begin"/>
      </w:r>
      <w:r>
        <w:rPr>
          <w:i w:val="0"/>
          <w:iCs w:val="0"/>
          <w:sz w:val="24"/>
          <w:szCs w:val="24"/>
        </w:rPr>
        <w:instrText xml:space="preserve"> HYPERLINK \l _Toc23535 </w:instrText>
      </w:r>
      <w:r>
        <w:rPr>
          <w:i w:val="0"/>
          <w:iCs w:val="0"/>
          <w:sz w:val="24"/>
          <w:szCs w:val="24"/>
        </w:rPr>
        <w:fldChar w:fldCharType="separate"/>
      </w:r>
      <w:r>
        <w:rPr>
          <w:rFonts w:hint="eastAsia" w:ascii="宋体" w:hAnsi="宋体" w:cs="宋体"/>
          <w:bCs/>
          <w:i w:val="0"/>
          <w:iCs w:val="0"/>
          <w:sz w:val="24"/>
          <w:szCs w:val="24"/>
        </w:rPr>
        <w:t>非常用的术语说明</w:t>
      </w:r>
      <w:r>
        <w:rPr>
          <w:i w:val="0"/>
          <w:iCs w:val="0"/>
          <w:sz w:val="24"/>
          <w:szCs w:val="24"/>
        </w:rPr>
        <w:tab/>
      </w:r>
      <w:r>
        <w:rPr>
          <w:i w:val="0"/>
          <w:iCs w:val="0"/>
          <w:sz w:val="24"/>
          <w:szCs w:val="24"/>
        </w:rPr>
        <w:fldChar w:fldCharType="begin"/>
      </w:r>
      <w:r>
        <w:rPr>
          <w:i w:val="0"/>
          <w:iCs w:val="0"/>
          <w:sz w:val="24"/>
          <w:szCs w:val="24"/>
        </w:rPr>
        <w:instrText xml:space="preserve"> PAGEREF _Toc23535 \h </w:instrText>
      </w:r>
      <w:r>
        <w:rPr>
          <w:i w:val="0"/>
          <w:iCs w:val="0"/>
          <w:sz w:val="24"/>
          <w:szCs w:val="24"/>
        </w:rPr>
        <w:fldChar w:fldCharType="separate"/>
      </w:r>
      <w:r>
        <w:rPr>
          <w:i w:val="0"/>
          <w:iCs w:val="0"/>
          <w:sz w:val="24"/>
          <w:szCs w:val="24"/>
        </w:rPr>
        <w:t>1</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_Toc5870 </w:instrText>
      </w:r>
      <w:r>
        <w:rPr>
          <w:i w:val="0"/>
          <w:iCs w:val="0"/>
          <w:sz w:val="24"/>
          <w:szCs w:val="24"/>
        </w:rPr>
        <w:fldChar w:fldCharType="separate"/>
      </w:r>
      <w:r>
        <w:rPr>
          <w:rFonts w:hint="eastAsia" w:ascii="宋体" w:hAnsi="宋体" w:eastAsia="宋体" w:cs="宋体"/>
          <w:bCs w:val="0"/>
          <w:i w:val="0"/>
          <w:iCs w:val="0"/>
          <w:sz w:val="24"/>
          <w:szCs w:val="24"/>
        </w:rPr>
        <w:t>1  编制说明</w:t>
      </w:r>
      <w:r>
        <w:rPr>
          <w:i w:val="0"/>
          <w:iCs w:val="0"/>
          <w:sz w:val="24"/>
          <w:szCs w:val="24"/>
        </w:rPr>
        <w:tab/>
      </w:r>
      <w:r>
        <w:rPr>
          <w:i w:val="0"/>
          <w:iCs w:val="0"/>
          <w:sz w:val="24"/>
          <w:szCs w:val="24"/>
        </w:rPr>
        <w:fldChar w:fldCharType="begin"/>
      </w:r>
      <w:r>
        <w:rPr>
          <w:i w:val="0"/>
          <w:iCs w:val="0"/>
          <w:sz w:val="24"/>
          <w:szCs w:val="24"/>
        </w:rPr>
        <w:instrText xml:space="preserve"> PAGEREF _Toc5870 \h </w:instrText>
      </w:r>
      <w:r>
        <w:rPr>
          <w:i w:val="0"/>
          <w:iCs w:val="0"/>
          <w:sz w:val="24"/>
          <w:szCs w:val="24"/>
        </w:rPr>
        <w:fldChar w:fldCharType="separate"/>
      </w:r>
      <w:r>
        <w:rPr>
          <w:i w:val="0"/>
          <w:iCs w:val="0"/>
          <w:sz w:val="24"/>
          <w:szCs w:val="24"/>
        </w:rPr>
        <w:t>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_Toc9509 </w:instrText>
      </w:r>
      <w:r>
        <w:rPr>
          <w:i w:val="0"/>
          <w:iCs w:val="0"/>
          <w:sz w:val="24"/>
          <w:szCs w:val="24"/>
        </w:rPr>
        <w:fldChar w:fldCharType="separate"/>
      </w:r>
      <w:r>
        <w:rPr>
          <w:rFonts w:hint="eastAsia"/>
          <w:i w:val="0"/>
          <w:iCs w:val="0"/>
          <w:sz w:val="24"/>
          <w:szCs w:val="24"/>
        </w:rPr>
        <w:t>1.1 评价目的</w:t>
      </w:r>
      <w:r>
        <w:rPr>
          <w:i w:val="0"/>
          <w:iCs w:val="0"/>
          <w:sz w:val="24"/>
          <w:szCs w:val="24"/>
        </w:rPr>
        <w:tab/>
      </w:r>
      <w:r>
        <w:rPr>
          <w:i w:val="0"/>
          <w:iCs w:val="0"/>
          <w:sz w:val="24"/>
          <w:szCs w:val="24"/>
        </w:rPr>
        <w:fldChar w:fldCharType="begin"/>
      </w:r>
      <w:r>
        <w:rPr>
          <w:i w:val="0"/>
          <w:iCs w:val="0"/>
          <w:sz w:val="24"/>
          <w:szCs w:val="24"/>
        </w:rPr>
        <w:instrText xml:space="preserve"> PAGEREF _Toc9509 \h </w:instrText>
      </w:r>
      <w:r>
        <w:rPr>
          <w:i w:val="0"/>
          <w:iCs w:val="0"/>
          <w:sz w:val="24"/>
          <w:szCs w:val="24"/>
        </w:rPr>
        <w:fldChar w:fldCharType="separate"/>
      </w:r>
      <w:r>
        <w:rPr>
          <w:i w:val="0"/>
          <w:iCs w:val="0"/>
          <w:sz w:val="24"/>
          <w:szCs w:val="24"/>
        </w:rPr>
        <w:t>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_Toc31382 </w:instrText>
      </w:r>
      <w:r>
        <w:rPr>
          <w:i w:val="0"/>
          <w:iCs w:val="0"/>
          <w:sz w:val="24"/>
          <w:szCs w:val="24"/>
        </w:rPr>
        <w:fldChar w:fldCharType="separate"/>
      </w:r>
      <w:r>
        <w:rPr>
          <w:i w:val="0"/>
          <w:iCs w:val="0"/>
          <w:sz w:val="24"/>
          <w:szCs w:val="24"/>
        </w:rPr>
        <w:t>1.2</w:t>
      </w:r>
      <w:r>
        <w:rPr>
          <w:rFonts w:hint="eastAsia"/>
          <w:i w:val="0"/>
          <w:iCs w:val="0"/>
          <w:sz w:val="24"/>
          <w:szCs w:val="24"/>
        </w:rPr>
        <w:t xml:space="preserve"> </w:t>
      </w:r>
      <w:r>
        <w:rPr>
          <w:i w:val="0"/>
          <w:iCs w:val="0"/>
          <w:sz w:val="24"/>
          <w:szCs w:val="24"/>
        </w:rPr>
        <w:t>评价依据</w:t>
      </w:r>
      <w:r>
        <w:rPr>
          <w:i w:val="0"/>
          <w:iCs w:val="0"/>
          <w:sz w:val="24"/>
          <w:szCs w:val="24"/>
        </w:rPr>
        <w:tab/>
      </w:r>
      <w:r>
        <w:rPr>
          <w:i w:val="0"/>
          <w:iCs w:val="0"/>
          <w:sz w:val="24"/>
          <w:szCs w:val="24"/>
        </w:rPr>
        <w:fldChar w:fldCharType="begin"/>
      </w:r>
      <w:r>
        <w:rPr>
          <w:i w:val="0"/>
          <w:iCs w:val="0"/>
          <w:sz w:val="24"/>
          <w:szCs w:val="24"/>
        </w:rPr>
        <w:instrText xml:space="preserve"> PAGEREF _Toc31382 \h </w:instrText>
      </w:r>
      <w:r>
        <w:rPr>
          <w:i w:val="0"/>
          <w:iCs w:val="0"/>
          <w:sz w:val="24"/>
          <w:szCs w:val="24"/>
        </w:rPr>
        <w:fldChar w:fldCharType="separate"/>
      </w:r>
      <w:r>
        <w:rPr>
          <w:i w:val="0"/>
          <w:iCs w:val="0"/>
          <w:sz w:val="24"/>
          <w:szCs w:val="24"/>
        </w:rPr>
        <w:t>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_Toc244 </w:instrText>
      </w:r>
      <w:r>
        <w:rPr>
          <w:i w:val="0"/>
          <w:iCs w:val="0"/>
          <w:sz w:val="24"/>
          <w:szCs w:val="24"/>
        </w:rPr>
        <w:fldChar w:fldCharType="separate"/>
      </w:r>
      <w:r>
        <w:rPr>
          <w:rFonts w:hint="eastAsia"/>
          <w:i w:val="0"/>
          <w:iCs w:val="0"/>
          <w:sz w:val="24"/>
          <w:szCs w:val="24"/>
        </w:rPr>
        <w:t>1.3 评价范围</w:t>
      </w:r>
      <w:r>
        <w:rPr>
          <w:i w:val="0"/>
          <w:iCs w:val="0"/>
          <w:sz w:val="24"/>
          <w:szCs w:val="24"/>
        </w:rPr>
        <w:tab/>
      </w:r>
      <w:r>
        <w:rPr>
          <w:i w:val="0"/>
          <w:iCs w:val="0"/>
          <w:sz w:val="24"/>
          <w:szCs w:val="24"/>
        </w:rPr>
        <w:fldChar w:fldCharType="begin"/>
      </w:r>
      <w:r>
        <w:rPr>
          <w:i w:val="0"/>
          <w:iCs w:val="0"/>
          <w:sz w:val="24"/>
          <w:szCs w:val="24"/>
        </w:rPr>
        <w:instrText xml:space="preserve"> PAGEREF _Toc244 \h </w:instrText>
      </w:r>
      <w:r>
        <w:rPr>
          <w:i w:val="0"/>
          <w:iCs w:val="0"/>
          <w:sz w:val="24"/>
          <w:szCs w:val="24"/>
        </w:rPr>
        <w:fldChar w:fldCharType="separate"/>
      </w:r>
      <w:r>
        <w:rPr>
          <w:i w:val="0"/>
          <w:iCs w:val="0"/>
          <w:sz w:val="24"/>
          <w:szCs w:val="24"/>
        </w:rPr>
        <w:t>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_Toc1271 </w:instrText>
      </w:r>
      <w:r>
        <w:rPr>
          <w:i w:val="0"/>
          <w:iCs w:val="0"/>
          <w:sz w:val="24"/>
          <w:szCs w:val="24"/>
        </w:rPr>
        <w:fldChar w:fldCharType="separate"/>
      </w:r>
      <w:r>
        <w:rPr>
          <w:rFonts w:hint="eastAsia"/>
          <w:i w:val="0"/>
          <w:iCs w:val="0"/>
          <w:sz w:val="24"/>
          <w:szCs w:val="24"/>
        </w:rPr>
        <w:t>1.4 评价程序</w:t>
      </w:r>
      <w:r>
        <w:rPr>
          <w:i w:val="0"/>
          <w:iCs w:val="0"/>
          <w:sz w:val="24"/>
          <w:szCs w:val="24"/>
        </w:rPr>
        <w:tab/>
      </w:r>
      <w:r>
        <w:rPr>
          <w:i w:val="0"/>
          <w:iCs w:val="0"/>
          <w:sz w:val="24"/>
          <w:szCs w:val="24"/>
        </w:rPr>
        <w:fldChar w:fldCharType="begin"/>
      </w:r>
      <w:r>
        <w:rPr>
          <w:i w:val="0"/>
          <w:iCs w:val="0"/>
          <w:sz w:val="24"/>
          <w:szCs w:val="24"/>
        </w:rPr>
        <w:instrText xml:space="preserve"> PAGEREF _Toc1271 \h </w:instrText>
      </w:r>
      <w:r>
        <w:rPr>
          <w:i w:val="0"/>
          <w:iCs w:val="0"/>
          <w:sz w:val="24"/>
          <w:szCs w:val="24"/>
        </w:rPr>
        <w:fldChar w:fldCharType="separate"/>
      </w:r>
      <w:r>
        <w:rPr>
          <w:i w:val="0"/>
          <w:iCs w:val="0"/>
          <w:sz w:val="24"/>
          <w:szCs w:val="24"/>
        </w:rPr>
        <w:t>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_Toc17464 </w:instrText>
      </w:r>
      <w:r>
        <w:rPr>
          <w:i w:val="0"/>
          <w:iCs w:val="0"/>
          <w:sz w:val="24"/>
          <w:szCs w:val="24"/>
        </w:rPr>
        <w:fldChar w:fldCharType="separate"/>
      </w:r>
      <w:r>
        <w:rPr>
          <w:rFonts w:hint="eastAsia"/>
          <w:i w:val="0"/>
          <w:iCs w:val="0"/>
          <w:sz w:val="24"/>
          <w:szCs w:val="24"/>
        </w:rPr>
        <w:t>1.5 评价原则</w:t>
      </w:r>
      <w:r>
        <w:rPr>
          <w:i w:val="0"/>
          <w:iCs w:val="0"/>
          <w:sz w:val="24"/>
          <w:szCs w:val="24"/>
        </w:rPr>
        <w:tab/>
      </w:r>
      <w:r>
        <w:rPr>
          <w:i w:val="0"/>
          <w:iCs w:val="0"/>
          <w:sz w:val="24"/>
          <w:szCs w:val="24"/>
        </w:rPr>
        <w:fldChar w:fldCharType="begin"/>
      </w:r>
      <w:r>
        <w:rPr>
          <w:i w:val="0"/>
          <w:iCs w:val="0"/>
          <w:sz w:val="24"/>
          <w:szCs w:val="24"/>
        </w:rPr>
        <w:instrText xml:space="preserve"> PAGEREF _Toc17464 \h </w:instrText>
      </w:r>
      <w:r>
        <w:rPr>
          <w:i w:val="0"/>
          <w:iCs w:val="0"/>
          <w:sz w:val="24"/>
          <w:szCs w:val="24"/>
        </w:rPr>
        <w:fldChar w:fldCharType="separate"/>
      </w:r>
      <w:r>
        <w:rPr>
          <w:i w:val="0"/>
          <w:iCs w:val="0"/>
          <w:sz w:val="24"/>
          <w:szCs w:val="24"/>
        </w:rPr>
        <w:t>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_Toc13165 </w:instrText>
      </w:r>
      <w:r>
        <w:rPr>
          <w:i w:val="0"/>
          <w:iCs w:val="0"/>
          <w:sz w:val="24"/>
          <w:szCs w:val="24"/>
        </w:rPr>
        <w:fldChar w:fldCharType="separate"/>
      </w:r>
      <w:r>
        <w:rPr>
          <w:rFonts w:hint="eastAsia"/>
          <w:i w:val="0"/>
          <w:iCs w:val="0"/>
          <w:sz w:val="24"/>
          <w:szCs w:val="24"/>
        </w:rPr>
        <w:t>1.6 评价基准日</w:t>
      </w:r>
      <w:r>
        <w:rPr>
          <w:i w:val="0"/>
          <w:iCs w:val="0"/>
          <w:sz w:val="24"/>
          <w:szCs w:val="24"/>
        </w:rPr>
        <w:tab/>
      </w:r>
      <w:r>
        <w:rPr>
          <w:i w:val="0"/>
          <w:iCs w:val="0"/>
          <w:sz w:val="24"/>
          <w:szCs w:val="24"/>
        </w:rPr>
        <w:fldChar w:fldCharType="begin"/>
      </w:r>
      <w:r>
        <w:rPr>
          <w:i w:val="0"/>
          <w:iCs w:val="0"/>
          <w:sz w:val="24"/>
          <w:szCs w:val="24"/>
        </w:rPr>
        <w:instrText xml:space="preserve"> PAGEREF _Toc13165 \h </w:instrText>
      </w:r>
      <w:r>
        <w:rPr>
          <w:i w:val="0"/>
          <w:iCs w:val="0"/>
          <w:sz w:val="24"/>
          <w:szCs w:val="24"/>
        </w:rPr>
        <w:fldChar w:fldCharType="separate"/>
      </w:r>
      <w:r>
        <w:rPr>
          <w:i w:val="0"/>
          <w:iCs w:val="0"/>
          <w:sz w:val="24"/>
          <w:szCs w:val="24"/>
        </w:rPr>
        <w:t>6</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_Toc24242 </w:instrText>
      </w:r>
      <w:r>
        <w:rPr>
          <w:i w:val="0"/>
          <w:iCs w:val="0"/>
          <w:sz w:val="24"/>
          <w:szCs w:val="24"/>
        </w:rPr>
        <w:fldChar w:fldCharType="separate"/>
      </w:r>
      <w:r>
        <w:rPr>
          <w:rFonts w:hint="eastAsia" w:ascii="宋体" w:hAnsi="宋体" w:eastAsia="宋体" w:cs="宋体"/>
          <w:bCs w:val="0"/>
          <w:i w:val="0"/>
          <w:iCs w:val="0"/>
          <w:sz w:val="24"/>
          <w:szCs w:val="24"/>
        </w:rPr>
        <w:t>2  评价项目基本概况</w:t>
      </w:r>
      <w:r>
        <w:rPr>
          <w:i w:val="0"/>
          <w:iCs w:val="0"/>
          <w:sz w:val="24"/>
          <w:szCs w:val="24"/>
        </w:rPr>
        <w:tab/>
      </w:r>
      <w:r>
        <w:rPr>
          <w:i w:val="0"/>
          <w:iCs w:val="0"/>
          <w:sz w:val="24"/>
          <w:szCs w:val="24"/>
        </w:rPr>
        <w:fldChar w:fldCharType="begin"/>
      </w:r>
      <w:r>
        <w:rPr>
          <w:i w:val="0"/>
          <w:iCs w:val="0"/>
          <w:sz w:val="24"/>
          <w:szCs w:val="24"/>
        </w:rPr>
        <w:instrText xml:space="preserve"> PAGEREF _Toc24242 \h </w:instrText>
      </w:r>
      <w:r>
        <w:rPr>
          <w:i w:val="0"/>
          <w:iCs w:val="0"/>
          <w:sz w:val="24"/>
          <w:szCs w:val="24"/>
        </w:rPr>
        <w:fldChar w:fldCharType="separate"/>
      </w:r>
      <w:r>
        <w:rPr>
          <w:i w:val="0"/>
          <w:iCs w:val="0"/>
          <w:sz w:val="24"/>
          <w:szCs w:val="24"/>
        </w:rPr>
        <w:t>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_Toc13230 </w:instrText>
      </w:r>
      <w:r>
        <w:rPr>
          <w:i w:val="0"/>
          <w:iCs w:val="0"/>
          <w:sz w:val="24"/>
          <w:szCs w:val="24"/>
        </w:rPr>
        <w:fldChar w:fldCharType="separate"/>
      </w:r>
      <w:r>
        <w:rPr>
          <w:rFonts w:hint="eastAsia"/>
          <w:i w:val="0"/>
          <w:iCs w:val="0"/>
          <w:sz w:val="24"/>
          <w:szCs w:val="24"/>
        </w:rPr>
        <w:t>2.1 被评价单位简介</w:t>
      </w:r>
      <w:r>
        <w:rPr>
          <w:i w:val="0"/>
          <w:iCs w:val="0"/>
          <w:sz w:val="24"/>
          <w:szCs w:val="24"/>
        </w:rPr>
        <w:tab/>
      </w:r>
      <w:r>
        <w:rPr>
          <w:i w:val="0"/>
          <w:iCs w:val="0"/>
          <w:sz w:val="24"/>
          <w:szCs w:val="24"/>
        </w:rPr>
        <w:fldChar w:fldCharType="begin"/>
      </w:r>
      <w:r>
        <w:rPr>
          <w:i w:val="0"/>
          <w:iCs w:val="0"/>
          <w:sz w:val="24"/>
          <w:szCs w:val="24"/>
        </w:rPr>
        <w:instrText xml:space="preserve"> PAGEREF _Toc13230 \h </w:instrText>
      </w:r>
      <w:r>
        <w:rPr>
          <w:i w:val="0"/>
          <w:iCs w:val="0"/>
          <w:sz w:val="24"/>
          <w:szCs w:val="24"/>
        </w:rPr>
        <w:fldChar w:fldCharType="separate"/>
      </w:r>
      <w:r>
        <w:rPr>
          <w:i w:val="0"/>
          <w:iCs w:val="0"/>
          <w:sz w:val="24"/>
          <w:szCs w:val="24"/>
        </w:rPr>
        <w:t>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_Toc11272 </w:instrText>
      </w:r>
      <w:r>
        <w:rPr>
          <w:i w:val="0"/>
          <w:iCs w:val="0"/>
          <w:sz w:val="24"/>
          <w:szCs w:val="24"/>
        </w:rPr>
        <w:fldChar w:fldCharType="separate"/>
      </w:r>
      <w:r>
        <w:rPr>
          <w:rFonts w:hint="eastAsia"/>
          <w:i w:val="0"/>
          <w:iCs w:val="0"/>
          <w:sz w:val="24"/>
          <w:szCs w:val="24"/>
        </w:rPr>
        <w:t>2.2 地理位置及自然条件</w:t>
      </w:r>
      <w:r>
        <w:rPr>
          <w:i w:val="0"/>
          <w:iCs w:val="0"/>
          <w:sz w:val="24"/>
          <w:szCs w:val="24"/>
        </w:rPr>
        <w:tab/>
      </w:r>
      <w:r>
        <w:rPr>
          <w:i w:val="0"/>
          <w:iCs w:val="0"/>
          <w:sz w:val="24"/>
          <w:szCs w:val="24"/>
        </w:rPr>
        <w:fldChar w:fldCharType="begin"/>
      </w:r>
      <w:r>
        <w:rPr>
          <w:i w:val="0"/>
          <w:iCs w:val="0"/>
          <w:sz w:val="24"/>
          <w:szCs w:val="24"/>
        </w:rPr>
        <w:instrText xml:space="preserve"> PAGEREF _Toc11272 \h </w:instrText>
      </w:r>
      <w:r>
        <w:rPr>
          <w:i w:val="0"/>
          <w:iCs w:val="0"/>
          <w:sz w:val="24"/>
          <w:szCs w:val="24"/>
        </w:rPr>
        <w:fldChar w:fldCharType="separate"/>
      </w:r>
      <w:r>
        <w:rPr>
          <w:i w:val="0"/>
          <w:iCs w:val="0"/>
          <w:sz w:val="24"/>
          <w:szCs w:val="24"/>
        </w:rPr>
        <w:t>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_Toc10750 </w:instrText>
      </w:r>
      <w:r>
        <w:rPr>
          <w:i w:val="0"/>
          <w:iCs w:val="0"/>
          <w:sz w:val="24"/>
          <w:szCs w:val="24"/>
        </w:rPr>
        <w:fldChar w:fldCharType="separate"/>
      </w:r>
      <w:r>
        <w:rPr>
          <w:i w:val="0"/>
          <w:iCs w:val="0"/>
          <w:sz w:val="24"/>
          <w:szCs w:val="24"/>
        </w:rPr>
        <w:t>2.</w:t>
      </w:r>
      <w:r>
        <w:rPr>
          <w:rFonts w:hint="eastAsia"/>
          <w:i w:val="0"/>
          <w:iCs w:val="0"/>
          <w:sz w:val="24"/>
          <w:szCs w:val="24"/>
        </w:rPr>
        <w:t>2</w:t>
      </w:r>
      <w:r>
        <w:rPr>
          <w:i w:val="0"/>
          <w:iCs w:val="0"/>
          <w:sz w:val="24"/>
          <w:szCs w:val="24"/>
        </w:rPr>
        <w:t>.1</w:t>
      </w:r>
      <w:r>
        <w:rPr>
          <w:rFonts w:hint="eastAsia"/>
          <w:i w:val="0"/>
          <w:iCs w:val="0"/>
          <w:sz w:val="24"/>
          <w:szCs w:val="24"/>
        </w:rPr>
        <w:t xml:space="preserve"> </w:t>
      </w:r>
      <w:r>
        <w:rPr>
          <w:i w:val="0"/>
          <w:iCs w:val="0"/>
          <w:sz w:val="24"/>
          <w:szCs w:val="24"/>
        </w:rPr>
        <w:t>地理位置</w:t>
      </w:r>
      <w:r>
        <w:rPr>
          <w:i w:val="0"/>
          <w:iCs w:val="0"/>
          <w:sz w:val="24"/>
          <w:szCs w:val="24"/>
        </w:rPr>
        <w:tab/>
      </w:r>
      <w:r>
        <w:rPr>
          <w:i w:val="0"/>
          <w:iCs w:val="0"/>
          <w:sz w:val="24"/>
          <w:szCs w:val="24"/>
        </w:rPr>
        <w:fldChar w:fldCharType="begin"/>
      </w:r>
      <w:r>
        <w:rPr>
          <w:i w:val="0"/>
          <w:iCs w:val="0"/>
          <w:sz w:val="24"/>
          <w:szCs w:val="24"/>
        </w:rPr>
        <w:instrText xml:space="preserve"> PAGEREF _Toc10750 \h </w:instrText>
      </w:r>
      <w:r>
        <w:rPr>
          <w:i w:val="0"/>
          <w:iCs w:val="0"/>
          <w:sz w:val="24"/>
          <w:szCs w:val="24"/>
        </w:rPr>
        <w:fldChar w:fldCharType="separate"/>
      </w:r>
      <w:r>
        <w:rPr>
          <w:i w:val="0"/>
          <w:iCs w:val="0"/>
          <w:sz w:val="24"/>
          <w:szCs w:val="24"/>
        </w:rPr>
        <w:t>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_Toc21565 </w:instrText>
      </w:r>
      <w:r>
        <w:rPr>
          <w:i w:val="0"/>
          <w:iCs w:val="0"/>
          <w:sz w:val="24"/>
          <w:szCs w:val="24"/>
        </w:rPr>
        <w:fldChar w:fldCharType="separate"/>
      </w:r>
      <w:r>
        <w:rPr>
          <w:i w:val="0"/>
          <w:iCs w:val="0"/>
          <w:sz w:val="24"/>
          <w:szCs w:val="24"/>
        </w:rPr>
        <w:t>2.</w:t>
      </w:r>
      <w:r>
        <w:rPr>
          <w:rFonts w:hint="eastAsia"/>
          <w:i w:val="0"/>
          <w:iCs w:val="0"/>
          <w:sz w:val="24"/>
          <w:szCs w:val="24"/>
        </w:rPr>
        <w:t>2</w:t>
      </w:r>
      <w:r>
        <w:rPr>
          <w:i w:val="0"/>
          <w:iCs w:val="0"/>
          <w:sz w:val="24"/>
          <w:szCs w:val="24"/>
        </w:rPr>
        <w:t>.2</w:t>
      </w:r>
      <w:r>
        <w:rPr>
          <w:rFonts w:hint="eastAsia"/>
          <w:i w:val="0"/>
          <w:iCs w:val="0"/>
          <w:sz w:val="24"/>
          <w:szCs w:val="24"/>
        </w:rPr>
        <w:t xml:space="preserve"> 自然条件</w:t>
      </w:r>
      <w:r>
        <w:rPr>
          <w:i w:val="0"/>
          <w:iCs w:val="0"/>
          <w:sz w:val="24"/>
          <w:szCs w:val="24"/>
        </w:rPr>
        <w:tab/>
      </w:r>
      <w:r>
        <w:rPr>
          <w:i w:val="0"/>
          <w:iCs w:val="0"/>
          <w:sz w:val="24"/>
          <w:szCs w:val="24"/>
        </w:rPr>
        <w:fldChar w:fldCharType="begin"/>
      </w:r>
      <w:r>
        <w:rPr>
          <w:i w:val="0"/>
          <w:iCs w:val="0"/>
          <w:sz w:val="24"/>
          <w:szCs w:val="24"/>
        </w:rPr>
        <w:instrText xml:space="preserve"> PAGEREF _Toc21565 \h </w:instrText>
      </w:r>
      <w:r>
        <w:rPr>
          <w:i w:val="0"/>
          <w:iCs w:val="0"/>
          <w:sz w:val="24"/>
          <w:szCs w:val="24"/>
        </w:rPr>
        <w:fldChar w:fldCharType="separate"/>
      </w:r>
      <w:r>
        <w:rPr>
          <w:i w:val="0"/>
          <w:iCs w:val="0"/>
          <w:sz w:val="24"/>
          <w:szCs w:val="24"/>
        </w:rPr>
        <w:t>8</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_Toc3129 </w:instrText>
      </w:r>
      <w:r>
        <w:rPr>
          <w:i w:val="0"/>
          <w:iCs w:val="0"/>
          <w:sz w:val="24"/>
          <w:szCs w:val="24"/>
        </w:rPr>
        <w:fldChar w:fldCharType="separate"/>
      </w:r>
      <w:r>
        <w:rPr>
          <w:rFonts w:hint="eastAsia"/>
          <w:i w:val="0"/>
          <w:iCs w:val="0"/>
          <w:sz w:val="24"/>
          <w:szCs w:val="24"/>
        </w:rPr>
        <w:t>2.3 周边环境及总平面布置</w:t>
      </w:r>
      <w:r>
        <w:rPr>
          <w:i w:val="0"/>
          <w:iCs w:val="0"/>
          <w:sz w:val="24"/>
          <w:szCs w:val="24"/>
        </w:rPr>
        <w:tab/>
      </w:r>
      <w:r>
        <w:rPr>
          <w:i w:val="0"/>
          <w:iCs w:val="0"/>
          <w:sz w:val="24"/>
          <w:szCs w:val="24"/>
        </w:rPr>
        <w:fldChar w:fldCharType="begin"/>
      </w:r>
      <w:r>
        <w:rPr>
          <w:i w:val="0"/>
          <w:iCs w:val="0"/>
          <w:sz w:val="24"/>
          <w:szCs w:val="24"/>
        </w:rPr>
        <w:instrText xml:space="preserve"> PAGEREF _Toc3129 \h </w:instrText>
      </w:r>
      <w:r>
        <w:rPr>
          <w:i w:val="0"/>
          <w:iCs w:val="0"/>
          <w:sz w:val="24"/>
          <w:szCs w:val="24"/>
        </w:rPr>
        <w:fldChar w:fldCharType="separate"/>
      </w:r>
      <w:r>
        <w:rPr>
          <w:i w:val="0"/>
          <w:iCs w:val="0"/>
          <w:sz w:val="24"/>
          <w:szCs w:val="24"/>
        </w:rPr>
        <w:t>10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_Toc14428 </w:instrText>
      </w:r>
      <w:r>
        <w:rPr>
          <w:i w:val="0"/>
          <w:iCs w:val="0"/>
          <w:sz w:val="24"/>
          <w:szCs w:val="24"/>
        </w:rPr>
        <w:fldChar w:fldCharType="separate"/>
      </w:r>
      <w:r>
        <w:rPr>
          <w:i w:val="0"/>
          <w:iCs w:val="0"/>
          <w:sz w:val="24"/>
          <w:szCs w:val="24"/>
        </w:rPr>
        <w:t>2.</w:t>
      </w:r>
      <w:r>
        <w:rPr>
          <w:rFonts w:hint="eastAsia"/>
          <w:i w:val="0"/>
          <w:iCs w:val="0"/>
          <w:sz w:val="24"/>
          <w:szCs w:val="24"/>
        </w:rPr>
        <w:t>3</w:t>
      </w:r>
      <w:r>
        <w:rPr>
          <w:i w:val="0"/>
          <w:iCs w:val="0"/>
          <w:sz w:val="24"/>
          <w:szCs w:val="24"/>
        </w:rPr>
        <w:t>.1</w:t>
      </w:r>
      <w:r>
        <w:rPr>
          <w:rFonts w:hint="eastAsia"/>
          <w:i w:val="0"/>
          <w:iCs w:val="0"/>
          <w:sz w:val="24"/>
          <w:szCs w:val="24"/>
        </w:rPr>
        <w:t xml:space="preserve"> 周边环境</w:t>
      </w:r>
      <w:r>
        <w:rPr>
          <w:i w:val="0"/>
          <w:iCs w:val="0"/>
          <w:sz w:val="24"/>
          <w:szCs w:val="24"/>
        </w:rPr>
        <w:tab/>
      </w:r>
      <w:r>
        <w:rPr>
          <w:i w:val="0"/>
          <w:iCs w:val="0"/>
          <w:sz w:val="24"/>
          <w:szCs w:val="24"/>
        </w:rPr>
        <w:fldChar w:fldCharType="begin"/>
      </w:r>
      <w:r>
        <w:rPr>
          <w:i w:val="0"/>
          <w:iCs w:val="0"/>
          <w:sz w:val="24"/>
          <w:szCs w:val="24"/>
        </w:rPr>
        <w:instrText xml:space="preserve"> PAGEREF _Toc14428 \h </w:instrText>
      </w:r>
      <w:r>
        <w:rPr>
          <w:i w:val="0"/>
          <w:iCs w:val="0"/>
          <w:sz w:val="24"/>
          <w:szCs w:val="24"/>
        </w:rPr>
        <w:fldChar w:fldCharType="separate"/>
      </w:r>
      <w:r>
        <w:rPr>
          <w:i w:val="0"/>
          <w:iCs w:val="0"/>
          <w:sz w:val="24"/>
          <w:szCs w:val="24"/>
        </w:rPr>
        <w:t>10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_Toc912 </w:instrText>
      </w:r>
      <w:r>
        <w:rPr>
          <w:i w:val="0"/>
          <w:iCs w:val="0"/>
          <w:sz w:val="24"/>
          <w:szCs w:val="24"/>
        </w:rPr>
        <w:fldChar w:fldCharType="separate"/>
      </w:r>
      <w:r>
        <w:rPr>
          <w:i w:val="0"/>
          <w:iCs w:val="0"/>
          <w:sz w:val="24"/>
          <w:szCs w:val="24"/>
        </w:rPr>
        <w:t>2.3.2 总</w:t>
      </w:r>
      <w:r>
        <w:rPr>
          <w:rFonts w:hint="eastAsia"/>
          <w:i w:val="0"/>
          <w:iCs w:val="0"/>
          <w:sz w:val="24"/>
          <w:szCs w:val="24"/>
        </w:rPr>
        <w:t>平面布置</w:t>
      </w:r>
      <w:r>
        <w:rPr>
          <w:i w:val="0"/>
          <w:iCs w:val="0"/>
          <w:sz w:val="24"/>
          <w:szCs w:val="24"/>
        </w:rPr>
        <w:tab/>
      </w:r>
      <w:r>
        <w:rPr>
          <w:i w:val="0"/>
          <w:iCs w:val="0"/>
          <w:sz w:val="24"/>
          <w:szCs w:val="24"/>
        </w:rPr>
        <w:fldChar w:fldCharType="begin"/>
      </w:r>
      <w:r>
        <w:rPr>
          <w:i w:val="0"/>
          <w:iCs w:val="0"/>
          <w:sz w:val="24"/>
          <w:szCs w:val="24"/>
        </w:rPr>
        <w:instrText xml:space="preserve"> PAGEREF _Toc912 \h </w:instrText>
      </w:r>
      <w:r>
        <w:rPr>
          <w:i w:val="0"/>
          <w:iCs w:val="0"/>
          <w:sz w:val="24"/>
          <w:szCs w:val="24"/>
        </w:rPr>
        <w:fldChar w:fldCharType="separate"/>
      </w:r>
      <w:r>
        <w:rPr>
          <w:i w:val="0"/>
          <w:iCs w:val="0"/>
          <w:sz w:val="24"/>
          <w:szCs w:val="24"/>
        </w:rPr>
        <w:t>10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_Toc19079 </w:instrText>
      </w:r>
      <w:r>
        <w:rPr>
          <w:i w:val="0"/>
          <w:iCs w:val="0"/>
          <w:sz w:val="24"/>
          <w:szCs w:val="24"/>
        </w:rPr>
        <w:fldChar w:fldCharType="separate"/>
      </w:r>
      <w:r>
        <w:rPr>
          <w:rFonts w:hint="eastAsia"/>
          <w:i w:val="0"/>
          <w:iCs w:val="0"/>
          <w:sz w:val="24"/>
          <w:szCs w:val="24"/>
        </w:rPr>
        <w:t>2.4 原料、辅助材料、产品及规模</w:t>
      </w:r>
      <w:r>
        <w:rPr>
          <w:i w:val="0"/>
          <w:iCs w:val="0"/>
          <w:sz w:val="24"/>
          <w:szCs w:val="24"/>
        </w:rPr>
        <w:tab/>
      </w:r>
      <w:r>
        <w:rPr>
          <w:i w:val="0"/>
          <w:iCs w:val="0"/>
          <w:sz w:val="24"/>
          <w:szCs w:val="24"/>
        </w:rPr>
        <w:fldChar w:fldCharType="begin"/>
      </w:r>
      <w:r>
        <w:rPr>
          <w:i w:val="0"/>
          <w:iCs w:val="0"/>
          <w:sz w:val="24"/>
          <w:szCs w:val="24"/>
        </w:rPr>
        <w:instrText xml:space="preserve"> PAGEREF _Toc19079 \h </w:instrText>
      </w:r>
      <w:r>
        <w:rPr>
          <w:i w:val="0"/>
          <w:iCs w:val="0"/>
          <w:sz w:val="24"/>
          <w:szCs w:val="24"/>
        </w:rPr>
        <w:fldChar w:fldCharType="separate"/>
      </w:r>
      <w:r>
        <w:rPr>
          <w:i w:val="0"/>
          <w:iCs w:val="0"/>
          <w:sz w:val="24"/>
          <w:szCs w:val="24"/>
        </w:rPr>
        <w:t>11</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_Toc30106 </w:instrText>
      </w:r>
      <w:r>
        <w:rPr>
          <w:i w:val="0"/>
          <w:iCs w:val="0"/>
          <w:sz w:val="24"/>
          <w:szCs w:val="24"/>
        </w:rPr>
        <w:fldChar w:fldCharType="separate"/>
      </w:r>
      <w:r>
        <w:rPr>
          <w:rFonts w:hint="eastAsia"/>
          <w:i w:val="0"/>
          <w:iCs w:val="0"/>
          <w:sz w:val="24"/>
          <w:szCs w:val="24"/>
        </w:rPr>
        <w:t>2.5 生产工艺</w:t>
      </w:r>
      <w:r>
        <w:rPr>
          <w:i w:val="0"/>
          <w:iCs w:val="0"/>
          <w:sz w:val="24"/>
          <w:szCs w:val="24"/>
        </w:rPr>
        <w:tab/>
      </w:r>
      <w:r>
        <w:rPr>
          <w:i w:val="0"/>
          <w:iCs w:val="0"/>
          <w:sz w:val="24"/>
          <w:szCs w:val="24"/>
        </w:rPr>
        <w:fldChar w:fldCharType="begin"/>
      </w:r>
      <w:r>
        <w:rPr>
          <w:i w:val="0"/>
          <w:iCs w:val="0"/>
          <w:sz w:val="24"/>
          <w:szCs w:val="24"/>
        </w:rPr>
        <w:instrText xml:space="preserve"> PAGEREF _Toc30106 \h </w:instrText>
      </w:r>
      <w:r>
        <w:rPr>
          <w:i w:val="0"/>
          <w:iCs w:val="0"/>
          <w:sz w:val="24"/>
          <w:szCs w:val="24"/>
        </w:rPr>
        <w:fldChar w:fldCharType="separate"/>
      </w:r>
      <w:r>
        <w:rPr>
          <w:i w:val="0"/>
          <w:iCs w:val="0"/>
          <w:sz w:val="24"/>
          <w:szCs w:val="24"/>
        </w:rPr>
        <w:t>12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_Toc18283 </w:instrText>
      </w:r>
      <w:r>
        <w:rPr>
          <w:i w:val="0"/>
          <w:iCs w:val="0"/>
          <w:sz w:val="24"/>
          <w:szCs w:val="24"/>
        </w:rPr>
        <w:fldChar w:fldCharType="separate"/>
      </w:r>
      <w:r>
        <w:rPr>
          <w:rFonts w:hint="eastAsia"/>
          <w:i w:val="0"/>
          <w:iCs w:val="0"/>
          <w:sz w:val="24"/>
          <w:szCs w:val="24"/>
        </w:rPr>
        <w:t>2.6 生产过程控制</w:t>
      </w:r>
      <w:r>
        <w:rPr>
          <w:i w:val="0"/>
          <w:iCs w:val="0"/>
          <w:sz w:val="24"/>
          <w:szCs w:val="24"/>
        </w:rPr>
        <w:tab/>
      </w:r>
      <w:r>
        <w:rPr>
          <w:i w:val="0"/>
          <w:iCs w:val="0"/>
          <w:sz w:val="24"/>
          <w:szCs w:val="24"/>
        </w:rPr>
        <w:fldChar w:fldCharType="begin"/>
      </w:r>
      <w:r>
        <w:rPr>
          <w:i w:val="0"/>
          <w:iCs w:val="0"/>
          <w:sz w:val="24"/>
          <w:szCs w:val="24"/>
        </w:rPr>
        <w:instrText xml:space="preserve"> PAGEREF _Toc18283 \h </w:instrText>
      </w:r>
      <w:r>
        <w:rPr>
          <w:i w:val="0"/>
          <w:iCs w:val="0"/>
          <w:sz w:val="24"/>
          <w:szCs w:val="24"/>
        </w:rPr>
        <w:fldChar w:fldCharType="separate"/>
      </w:r>
      <w:r>
        <w:rPr>
          <w:i w:val="0"/>
          <w:iCs w:val="0"/>
          <w:sz w:val="24"/>
          <w:szCs w:val="24"/>
        </w:rPr>
        <w:t>15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_Toc8206 </w:instrText>
      </w:r>
      <w:r>
        <w:rPr>
          <w:i w:val="0"/>
          <w:iCs w:val="0"/>
          <w:sz w:val="24"/>
          <w:szCs w:val="24"/>
        </w:rPr>
        <w:fldChar w:fldCharType="separate"/>
      </w:r>
      <w:r>
        <w:rPr>
          <w:rFonts w:hint="eastAsia"/>
          <w:i w:val="0"/>
          <w:iCs w:val="0"/>
          <w:sz w:val="24"/>
          <w:szCs w:val="24"/>
        </w:rPr>
        <w:t>2.7 主要建构筑物及设施设备</w:t>
      </w:r>
      <w:r>
        <w:rPr>
          <w:i w:val="0"/>
          <w:iCs w:val="0"/>
          <w:sz w:val="24"/>
          <w:szCs w:val="24"/>
        </w:rPr>
        <w:tab/>
      </w:r>
      <w:r>
        <w:rPr>
          <w:i w:val="0"/>
          <w:iCs w:val="0"/>
          <w:sz w:val="24"/>
          <w:szCs w:val="24"/>
        </w:rPr>
        <w:fldChar w:fldCharType="begin"/>
      </w:r>
      <w:r>
        <w:rPr>
          <w:i w:val="0"/>
          <w:iCs w:val="0"/>
          <w:sz w:val="24"/>
          <w:szCs w:val="24"/>
        </w:rPr>
        <w:instrText xml:space="preserve"> PAGEREF _Toc8206 \h </w:instrText>
      </w:r>
      <w:r>
        <w:rPr>
          <w:i w:val="0"/>
          <w:iCs w:val="0"/>
          <w:sz w:val="24"/>
          <w:szCs w:val="24"/>
        </w:rPr>
        <w:fldChar w:fldCharType="separate"/>
      </w:r>
      <w:r>
        <w:rPr>
          <w:i w:val="0"/>
          <w:iCs w:val="0"/>
          <w:sz w:val="24"/>
          <w:szCs w:val="24"/>
        </w:rPr>
        <w:t>15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_Toc5709 </w:instrText>
      </w:r>
      <w:r>
        <w:rPr>
          <w:i w:val="0"/>
          <w:iCs w:val="0"/>
          <w:sz w:val="24"/>
          <w:szCs w:val="24"/>
        </w:rPr>
        <w:fldChar w:fldCharType="separate"/>
      </w:r>
      <w:r>
        <w:rPr>
          <w:rFonts w:hint="eastAsia"/>
          <w:i w:val="0"/>
          <w:iCs w:val="0"/>
          <w:sz w:val="24"/>
          <w:szCs w:val="24"/>
        </w:rPr>
        <w:t>2.7.1 主要建构筑物</w:t>
      </w:r>
      <w:r>
        <w:rPr>
          <w:i w:val="0"/>
          <w:iCs w:val="0"/>
          <w:sz w:val="24"/>
          <w:szCs w:val="24"/>
        </w:rPr>
        <w:tab/>
      </w:r>
      <w:r>
        <w:rPr>
          <w:i w:val="0"/>
          <w:iCs w:val="0"/>
          <w:sz w:val="24"/>
          <w:szCs w:val="24"/>
        </w:rPr>
        <w:fldChar w:fldCharType="begin"/>
      </w:r>
      <w:r>
        <w:rPr>
          <w:i w:val="0"/>
          <w:iCs w:val="0"/>
          <w:sz w:val="24"/>
          <w:szCs w:val="24"/>
        </w:rPr>
        <w:instrText xml:space="preserve"> PAGEREF _Toc5709 \h </w:instrText>
      </w:r>
      <w:r>
        <w:rPr>
          <w:i w:val="0"/>
          <w:iCs w:val="0"/>
          <w:sz w:val="24"/>
          <w:szCs w:val="24"/>
        </w:rPr>
        <w:fldChar w:fldCharType="separate"/>
      </w:r>
      <w:r>
        <w:rPr>
          <w:i w:val="0"/>
          <w:iCs w:val="0"/>
          <w:sz w:val="24"/>
          <w:szCs w:val="24"/>
        </w:rPr>
        <w:t>15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_Toc13256 </w:instrText>
      </w:r>
      <w:r>
        <w:rPr>
          <w:i w:val="0"/>
          <w:iCs w:val="0"/>
          <w:sz w:val="24"/>
          <w:szCs w:val="24"/>
        </w:rPr>
        <w:fldChar w:fldCharType="separate"/>
      </w:r>
      <w:r>
        <w:rPr>
          <w:rFonts w:hint="eastAsia"/>
          <w:i w:val="0"/>
          <w:iCs w:val="0"/>
          <w:sz w:val="24"/>
          <w:szCs w:val="24"/>
        </w:rPr>
        <w:t>2.7.2 主要生产设备</w:t>
      </w:r>
      <w:r>
        <w:rPr>
          <w:i w:val="0"/>
          <w:iCs w:val="0"/>
          <w:sz w:val="24"/>
          <w:szCs w:val="24"/>
        </w:rPr>
        <w:tab/>
      </w:r>
      <w:r>
        <w:rPr>
          <w:i w:val="0"/>
          <w:iCs w:val="0"/>
          <w:sz w:val="24"/>
          <w:szCs w:val="24"/>
        </w:rPr>
        <w:fldChar w:fldCharType="begin"/>
      </w:r>
      <w:r>
        <w:rPr>
          <w:i w:val="0"/>
          <w:iCs w:val="0"/>
          <w:sz w:val="24"/>
          <w:szCs w:val="24"/>
        </w:rPr>
        <w:instrText xml:space="preserve"> PAGEREF _Toc13256 \h </w:instrText>
      </w:r>
      <w:r>
        <w:rPr>
          <w:i w:val="0"/>
          <w:iCs w:val="0"/>
          <w:sz w:val="24"/>
          <w:szCs w:val="24"/>
        </w:rPr>
        <w:fldChar w:fldCharType="separate"/>
      </w:r>
      <w:r>
        <w:rPr>
          <w:i w:val="0"/>
          <w:iCs w:val="0"/>
          <w:sz w:val="24"/>
          <w:szCs w:val="24"/>
        </w:rPr>
        <w:t>15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_Toc6308 </w:instrText>
      </w:r>
      <w:r>
        <w:rPr>
          <w:i w:val="0"/>
          <w:iCs w:val="0"/>
          <w:sz w:val="24"/>
          <w:szCs w:val="24"/>
        </w:rPr>
        <w:fldChar w:fldCharType="separate"/>
      </w:r>
      <w:r>
        <w:rPr>
          <w:rFonts w:hint="eastAsia"/>
          <w:i w:val="0"/>
          <w:iCs w:val="0"/>
          <w:sz w:val="24"/>
          <w:szCs w:val="24"/>
        </w:rPr>
        <w:t>2.7.3 特种设备与强制检测设施</w:t>
      </w:r>
      <w:r>
        <w:rPr>
          <w:i w:val="0"/>
          <w:iCs w:val="0"/>
          <w:sz w:val="24"/>
          <w:szCs w:val="24"/>
        </w:rPr>
        <w:tab/>
      </w:r>
      <w:r>
        <w:rPr>
          <w:i w:val="0"/>
          <w:iCs w:val="0"/>
          <w:sz w:val="24"/>
          <w:szCs w:val="24"/>
        </w:rPr>
        <w:fldChar w:fldCharType="begin"/>
      </w:r>
      <w:r>
        <w:rPr>
          <w:i w:val="0"/>
          <w:iCs w:val="0"/>
          <w:sz w:val="24"/>
          <w:szCs w:val="24"/>
        </w:rPr>
        <w:instrText xml:space="preserve"> PAGEREF _Toc6308 \h </w:instrText>
      </w:r>
      <w:r>
        <w:rPr>
          <w:i w:val="0"/>
          <w:iCs w:val="0"/>
          <w:sz w:val="24"/>
          <w:szCs w:val="24"/>
        </w:rPr>
        <w:fldChar w:fldCharType="separate"/>
      </w:r>
      <w:r>
        <w:rPr>
          <w:i w:val="0"/>
          <w:iCs w:val="0"/>
          <w:sz w:val="24"/>
          <w:szCs w:val="24"/>
        </w:rPr>
        <w:t>16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_Toc14427 </w:instrText>
      </w:r>
      <w:r>
        <w:rPr>
          <w:i w:val="0"/>
          <w:iCs w:val="0"/>
          <w:sz w:val="24"/>
          <w:szCs w:val="24"/>
        </w:rPr>
        <w:fldChar w:fldCharType="separate"/>
      </w:r>
      <w:r>
        <w:rPr>
          <w:rFonts w:hint="eastAsia"/>
          <w:i w:val="0"/>
          <w:iCs w:val="0"/>
          <w:sz w:val="24"/>
          <w:szCs w:val="24"/>
        </w:rPr>
        <w:t>2.8 公用工程和辅助设施</w:t>
      </w:r>
      <w:r>
        <w:rPr>
          <w:i w:val="0"/>
          <w:iCs w:val="0"/>
          <w:sz w:val="24"/>
          <w:szCs w:val="24"/>
        </w:rPr>
        <w:tab/>
      </w:r>
      <w:r>
        <w:rPr>
          <w:i w:val="0"/>
          <w:iCs w:val="0"/>
          <w:sz w:val="24"/>
          <w:szCs w:val="24"/>
        </w:rPr>
        <w:fldChar w:fldCharType="begin"/>
      </w:r>
      <w:r>
        <w:rPr>
          <w:i w:val="0"/>
          <w:iCs w:val="0"/>
          <w:sz w:val="24"/>
          <w:szCs w:val="24"/>
        </w:rPr>
        <w:instrText xml:space="preserve"> PAGEREF _Toc14427 \h </w:instrText>
      </w:r>
      <w:r>
        <w:rPr>
          <w:i w:val="0"/>
          <w:iCs w:val="0"/>
          <w:sz w:val="24"/>
          <w:szCs w:val="24"/>
        </w:rPr>
        <w:fldChar w:fldCharType="separate"/>
      </w:r>
      <w:r>
        <w:rPr>
          <w:i w:val="0"/>
          <w:iCs w:val="0"/>
          <w:sz w:val="24"/>
          <w:szCs w:val="24"/>
        </w:rPr>
        <w:t>17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_Toc7104 </w:instrText>
      </w:r>
      <w:r>
        <w:rPr>
          <w:i w:val="0"/>
          <w:iCs w:val="0"/>
          <w:sz w:val="24"/>
          <w:szCs w:val="24"/>
        </w:rPr>
        <w:fldChar w:fldCharType="separate"/>
      </w:r>
      <w:r>
        <w:rPr>
          <w:rFonts w:hint="eastAsia"/>
          <w:i w:val="0"/>
          <w:iCs w:val="0"/>
          <w:sz w:val="24"/>
          <w:szCs w:val="24"/>
        </w:rPr>
        <w:t>2.8</w:t>
      </w:r>
      <w:r>
        <w:rPr>
          <w:i w:val="0"/>
          <w:iCs w:val="0"/>
          <w:sz w:val="24"/>
          <w:szCs w:val="24"/>
        </w:rPr>
        <w:t>.</w:t>
      </w:r>
      <w:r>
        <w:rPr>
          <w:rFonts w:hint="eastAsia"/>
          <w:i w:val="0"/>
          <w:iCs w:val="0"/>
          <w:sz w:val="24"/>
          <w:szCs w:val="24"/>
        </w:rPr>
        <w:t xml:space="preserve">1 </w:t>
      </w:r>
      <w:r>
        <w:rPr>
          <w:i w:val="0"/>
          <w:iCs w:val="0"/>
          <w:sz w:val="24"/>
          <w:szCs w:val="24"/>
        </w:rPr>
        <w:t>供配电</w:t>
      </w:r>
      <w:r>
        <w:rPr>
          <w:i w:val="0"/>
          <w:iCs w:val="0"/>
          <w:sz w:val="24"/>
          <w:szCs w:val="24"/>
        </w:rPr>
        <w:tab/>
      </w:r>
      <w:r>
        <w:rPr>
          <w:i w:val="0"/>
          <w:iCs w:val="0"/>
          <w:sz w:val="24"/>
          <w:szCs w:val="24"/>
        </w:rPr>
        <w:fldChar w:fldCharType="begin"/>
      </w:r>
      <w:r>
        <w:rPr>
          <w:i w:val="0"/>
          <w:iCs w:val="0"/>
          <w:sz w:val="24"/>
          <w:szCs w:val="24"/>
        </w:rPr>
        <w:instrText xml:space="preserve"> PAGEREF _Toc7104 \h </w:instrText>
      </w:r>
      <w:r>
        <w:rPr>
          <w:i w:val="0"/>
          <w:iCs w:val="0"/>
          <w:sz w:val="24"/>
          <w:szCs w:val="24"/>
        </w:rPr>
        <w:fldChar w:fldCharType="separate"/>
      </w:r>
      <w:r>
        <w:rPr>
          <w:i w:val="0"/>
          <w:iCs w:val="0"/>
          <w:sz w:val="24"/>
          <w:szCs w:val="24"/>
        </w:rPr>
        <w:t>17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_Toc24993 </w:instrText>
      </w:r>
      <w:r>
        <w:rPr>
          <w:i w:val="0"/>
          <w:iCs w:val="0"/>
          <w:sz w:val="24"/>
          <w:szCs w:val="24"/>
        </w:rPr>
        <w:fldChar w:fldCharType="separate"/>
      </w:r>
      <w:r>
        <w:rPr>
          <w:rFonts w:hint="eastAsia"/>
          <w:i w:val="0"/>
          <w:iCs w:val="0"/>
          <w:sz w:val="24"/>
          <w:szCs w:val="24"/>
        </w:rPr>
        <w:t xml:space="preserve">2.8.2 </w:t>
      </w:r>
      <w:r>
        <w:rPr>
          <w:i w:val="0"/>
          <w:iCs w:val="0"/>
          <w:sz w:val="24"/>
          <w:szCs w:val="24"/>
        </w:rPr>
        <w:t>给排水</w:t>
      </w:r>
      <w:r>
        <w:rPr>
          <w:i w:val="0"/>
          <w:iCs w:val="0"/>
          <w:sz w:val="24"/>
          <w:szCs w:val="24"/>
        </w:rPr>
        <w:tab/>
      </w:r>
      <w:r>
        <w:rPr>
          <w:i w:val="0"/>
          <w:iCs w:val="0"/>
          <w:sz w:val="24"/>
          <w:szCs w:val="24"/>
        </w:rPr>
        <w:fldChar w:fldCharType="begin"/>
      </w:r>
      <w:r>
        <w:rPr>
          <w:i w:val="0"/>
          <w:iCs w:val="0"/>
          <w:sz w:val="24"/>
          <w:szCs w:val="24"/>
        </w:rPr>
        <w:instrText xml:space="preserve"> PAGEREF _Toc24993 \h </w:instrText>
      </w:r>
      <w:r>
        <w:rPr>
          <w:i w:val="0"/>
          <w:iCs w:val="0"/>
          <w:sz w:val="24"/>
          <w:szCs w:val="24"/>
        </w:rPr>
        <w:fldChar w:fldCharType="separate"/>
      </w:r>
      <w:r>
        <w:rPr>
          <w:i w:val="0"/>
          <w:iCs w:val="0"/>
          <w:sz w:val="24"/>
          <w:szCs w:val="24"/>
        </w:rPr>
        <w:t>18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_Toc22714 </w:instrText>
      </w:r>
      <w:r>
        <w:rPr>
          <w:i w:val="0"/>
          <w:iCs w:val="0"/>
          <w:sz w:val="24"/>
          <w:szCs w:val="24"/>
        </w:rPr>
        <w:fldChar w:fldCharType="separate"/>
      </w:r>
      <w:r>
        <w:rPr>
          <w:rFonts w:hint="eastAsia"/>
          <w:i w:val="0"/>
          <w:iCs w:val="0"/>
          <w:sz w:val="24"/>
          <w:szCs w:val="24"/>
        </w:rPr>
        <w:t>2.8</w:t>
      </w:r>
      <w:r>
        <w:rPr>
          <w:i w:val="0"/>
          <w:iCs w:val="0"/>
          <w:sz w:val="24"/>
          <w:szCs w:val="24"/>
        </w:rPr>
        <w:t>.</w:t>
      </w:r>
      <w:r>
        <w:rPr>
          <w:rFonts w:hint="eastAsia"/>
          <w:i w:val="0"/>
          <w:iCs w:val="0"/>
          <w:sz w:val="24"/>
          <w:szCs w:val="24"/>
        </w:rPr>
        <w:t xml:space="preserve">3 </w:t>
      </w:r>
      <w:r>
        <w:rPr>
          <w:i w:val="0"/>
          <w:iCs w:val="0"/>
          <w:sz w:val="24"/>
          <w:szCs w:val="24"/>
        </w:rPr>
        <w:t>防雷</w:t>
      </w:r>
      <w:r>
        <w:rPr>
          <w:i w:val="0"/>
          <w:iCs w:val="0"/>
          <w:sz w:val="24"/>
          <w:szCs w:val="24"/>
        </w:rPr>
        <w:tab/>
      </w:r>
      <w:r>
        <w:rPr>
          <w:i w:val="0"/>
          <w:iCs w:val="0"/>
          <w:sz w:val="24"/>
          <w:szCs w:val="24"/>
        </w:rPr>
        <w:fldChar w:fldCharType="begin"/>
      </w:r>
      <w:r>
        <w:rPr>
          <w:i w:val="0"/>
          <w:iCs w:val="0"/>
          <w:sz w:val="24"/>
          <w:szCs w:val="24"/>
        </w:rPr>
        <w:instrText xml:space="preserve"> PAGEREF _Toc22714 \h </w:instrText>
      </w:r>
      <w:r>
        <w:rPr>
          <w:i w:val="0"/>
          <w:iCs w:val="0"/>
          <w:sz w:val="24"/>
          <w:szCs w:val="24"/>
        </w:rPr>
        <w:fldChar w:fldCharType="separate"/>
      </w:r>
      <w:r>
        <w:rPr>
          <w:i w:val="0"/>
          <w:iCs w:val="0"/>
          <w:sz w:val="24"/>
          <w:szCs w:val="24"/>
        </w:rPr>
        <w:t>18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_Toc3694 </w:instrText>
      </w:r>
      <w:r>
        <w:rPr>
          <w:i w:val="0"/>
          <w:iCs w:val="0"/>
          <w:sz w:val="24"/>
          <w:szCs w:val="24"/>
        </w:rPr>
        <w:fldChar w:fldCharType="separate"/>
      </w:r>
      <w:r>
        <w:rPr>
          <w:rFonts w:hint="eastAsia"/>
          <w:i w:val="0"/>
          <w:iCs w:val="0"/>
          <w:sz w:val="24"/>
          <w:szCs w:val="24"/>
        </w:rPr>
        <w:t>2.8.4 消防</w:t>
      </w:r>
      <w:r>
        <w:rPr>
          <w:i w:val="0"/>
          <w:iCs w:val="0"/>
          <w:sz w:val="24"/>
          <w:szCs w:val="24"/>
        </w:rPr>
        <w:tab/>
      </w:r>
      <w:r>
        <w:rPr>
          <w:i w:val="0"/>
          <w:iCs w:val="0"/>
          <w:sz w:val="24"/>
          <w:szCs w:val="24"/>
        </w:rPr>
        <w:fldChar w:fldCharType="begin"/>
      </w:r>
      <w:r>
        <w:rPr>
          <w:i w:val="0"/>
          <w:iCs w:val="0"/>
          <w:sz w:val="24"/>
          <w:szCs w:val="24"/>
        </w:rPr>
        <w:instrText xml:space="preserve"> PAGEREF _Toc3694 \h </w:instrText>
      </w:r>
      <w:r>
        <w:rPr>
          <w:i w:val="0"/>
          <w:iCs w:val="0"/>
          <w:sz w:val="24"/>
          <w:szCs w:val="24"/>
        </w:rPr>
        <w:fldChar w:fldCharType="separate"/>
      </w:r>
      <w:r>
        <w:rPr>
          <w:i w:val="0"/>
          <w:iCs w:val="0"/>
          <w:sz w:val="24"/>
          <w:szCs w:val="24"/>
        </w:rPr>
        <w:t>18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_Toc31946 </w:instrText>
      </w:r>
      <w:r>
        <w:rPr>
          <w:i w:val="0"/>
          <w:iCs w:val="0"/>
          <w:sz w:val="24"/>
          <w:szCs w:val="24"/>
        </w:rPr>
        <w:fldChar w:fldCharType="separate"/>
      </w:r>
      <w:r>
        <w:rPr>
          <w:rFonts w:hint="eastAsia"/>
          <w:i w:val="0"/>
          <w:iCs w:val="0"/>
          <w:sz w:val="24"/>
          <w:szCs w:val="24"/>
        </w:rPr>
        <w:t>2.8.5 供热</w:t>
      </w:r>
      <w:r>
        <w:rPr>
          <w:i w:val="0"/>
          <w:iCs w:val="0"/>
          <w:sz w:val="24"/>
          <w:szCs w:val="24"/>
        </w:rPr>
        <w:tab/>
      </w:r>
      <w:r>
        <w:rPr>
          <w:i w:val="0"/>
          <w:iCs w:val="0"/>
          <w:sz w:val="24"/>
          <w:szCs w:val="24"/>
        </w:rPr>
        <w:fldChar w:fldCharType="begin"/>
      </w:r>
      <w:r>
        <w:rPr>
          <w:i w:val="0"/>
          <w:iCs w:val="0"/>
          <w:sz w:val="24"/>
          <w:szCs w:val="24"/>
        </w:rPr>
        <w:instrText xml:space="preserve"> PAGEREF _Toc31946 \h </w:instrText>
      </w:r>
      <w:r>
        <w:rPr>
          <w:i w:val="0"/>
          <w:iCs w:val="0"/>
          <w:sz w:val="24"/>
          <w:szCs w:val="24"/>
        </w:rPr>
        <w:fldChar w:fldCharType="separate"/>
      </w:r>
      <w:r>
        <w:rPr>
          <w:i w:val="0"/>
          <w:iCs w:val="0"/>
          <w:sz w:val="24"/>
          <w:szCs w:val="24"/>
        </w:rPr>
        <w:t>18</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_Toc8701 </w:instrText>
      </w:r>
      <w:r>
        <w:rPr>
          <w:i w:val="0"/>
          <w:iCs w:val="0"/>
          <w:sz w:val="24"/>
          <w:szCs w:val="24"/>
        </w:rPr>
        <w:fldChar w:fldCharType="separate"/>
      </w:r>
      <w:r>
        <w:rPr>
          <w:rFonts w:hint="eastAsia"/>
          <w:i w:val="0"/>
          <w:iCs w:val="0"/>
          <w:sz w:val="24"/>
          <w:szCs w:val="24"/>
        </w:rPr>
        <w:t>2.9 主要安全设施</w:t>
      </w:r>
      <w:r>
        <w:rPr>
          <w:i w:val="0"/>
          <w:iCs w:val="0"/>
          <w:sz w:val="24"/>
          <w:szCs w:val="24"/>
        </w:rPr>
        <w:tab/>
      </w:r>
      <w:r>
        <w:rPr>
          <w:i w:val="0"/>
          <w:iCs w:val="0"/>
          <w:sz w:val="24"/>
          <w:szCs w:val="24"/>
        </w:rPr>
        <w:fldChar w:fldCharType="begin"/>
      </w:r>
      <w:r>
        <w:rPr>
          <w:i w:val="0"/>
          <w:iCs w:val="0"/>
          <w:sz w:val="24"/>
          <w:szCs w:val="24"/>
        </w:rPr>
        <w:instrText xml:space="preserve"> PAGEREF _Toc8701 \h </w:instrText>
      </w:r>
      <w:r>
        <w:rPr>
          <w:i w:val="0"/>
          <w:iCs w:val="0"/>
          <w:sz w:val="24"/>
          <w:szCs w:val="24"/>
        </w:rPr>
        <w:fldChar w:fldCharType="separate"/>
      </w:r>
      <w:r>
        <w:rPr>
          <w:i w:val="0"/>
          <w:iCs w:val="0"/>
          <w:sz w:val="24"/>
          <w:szCs w:val="24"/>
        </w:rPr>
        <w:t>19</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_Toc17789 </w:instrText>
      </w:r>
      <w:r>
        <w:rPr>
          <w:i w:val="0"/>
          <w:iCs w:val="0"/>
          <w:sz w:val="24"/>
          <w:szCs w:val="24"/>
        </w:rPr>
        <w:fldChar w:fldCharType="separate"/>
      </w:r>
      <w:r>
        <w:rPr>
          <w:rFonts w:hint="eastAsia"/>
          <w:i w:val="0"/>
          <w:iCs w:val="0"/>
          <w:sz w:val="24"/>
          <w:szCs w:val="24"/>
        </w:rPr>
        <w:t>2.10 安全管理</w:t>
      </w:r>
      <w:r>
        <w:rPr>
          <w:i w:val="0"/>
          <w:iCs w:val="0"/>
          <w:sz w:val="24"/>
          <w:szCs w:val="24"/>
        </w:rPr>
        <w:tab/>
      </w:r>
      <w:r>
        <w:rPr>
          <w:i w:val="0"/>
          <w:iCs w:val="0"/>
          <w:sz w:val="24"/>
          <w:szCs w:val="24"/>
        </w:rPr>
        <w:fldChar w:fldCharType="begin"/>
      </w:r>
      <w:r>
        <w:rPr>
          <w:i w:val="0"/>
          <w:iCs w:val="0"/>
          <w:sz w:val="24"/>
          <w:szCs w:val="24"/>
        </w:rPr>
        <w:instrText xml:space="preserve"> PAGEREF _Toc17789 \h </w:instrText>
      </w:r>
      <w:r>
        <w:rPr>
          <w:i w:val="0"/>
          <w:iCs w:val="0"/>
          <w:sz w:val="24"/>
          <w:szCs w:val="24"/>
        </w:rPr>
        <w:fldChar w:fldCharType="separate"/>
      </w:r>
      <w:r>
        <w:rPr>
          <w:i w:val="0"/>
          <w:iCs w:val="0"/>
          <w:sz w:val="24"/>
          <w:szCs w:val="24"/>
        </w:rPr>
        <w:t>19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_Toc13799 </w:instrText>
      </w:r>
      <w:r>
        <w:rPr>
          <w:i w:val="0"/>
          <w:iCs w:val="0"/>
          <w:sz w:val="24"/>
          <w:szCs w:val="24"/>
        </w:rPr>
        <w:fldChar w:fldCharType="separate"/>
      </w:r>
      <w:r>
        <w:rPr>
          <w:rFonts w:hint="eastAsia"/>
          <w:bCs/>
          <w:i w:val="0"/>
          <w:iCs w:val="0"/>
          <w:sz w:val="24"/>
          <w:szCs w:val="24"/>
        </w:rPr>
        <w:t>2.10.1 安全管理机构</w:t>
      </w:r>
      <w:r>
        <w:rPr>
          <w:i w:val="0"/>
          <w:iCs w:val="0"/>
          <w:sz w:val="24"/>
          <w:szCs w:val="24"/>
        </w:rPr>
        <w:tab/>
      </w:r>
      <w:r>
        <w:rPr>
          <w:i w:val="0"/>
          <w:iCs w:val="0"/>
          <w:sz w:val="24"/>
          <w:szCs w:val="24"/>
        </w:rPr>
        <w:fldChar w:fldCharType="begin"/>
      </w:r>
      <w:r>
        <w:rPr>
          <w:i w:val="0"/>
          <w:iCs w:val="0"/>
          <w:sz w:val="24"/>
          <w:szCs w:val="24"/>
        </w:rPr>
        <w:instrText xml:space="preserve"> PAGEREF _Toc13799 \h </w:instrText>
      </w:r>
      <w:r>
        <w:rPr>
          <w:i w:val="0"/>
          <w:iCs w:val="0"/>
          <w:sz w:val="24"/>
          <w:szCs w:val="24"/>
        </w:rPr>
        <w:fldChar w:fldCharType="separate"/>
      </w:r>
      <w:r>
        <w:rPr>
          <w:i w:val="0"/>
          <w:iCs w:val="0"/>
          <w:sz w:val="24"/>
          <w:szCs w:val="24"/>
        </w:rPr>
        <w:t>19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_Toc22363 </w:instrText>
      </w:r>
      <w:r>
        <w:rPr>
          <w:i w:val="0"/>
          <w:iCs w:val="0"/>
          <w:sz w:val="24"/>
          <w:szCs w:val="24"/>
        </w:rPr>
        <w:fldChar w:fldCharType="separate"/>
      </w:r>
      <w:r>
        <w:rPr>
          <w:rFonts w:hint="eastAsia"/>
          <w:i w:val="0"/>
          <w:iCs w:val="0"/>
          <w:sz w:val="24"/>
          <w:szCs w:val="24"/>
        </w:rPr>
        <w:t>2.10.2 安全生产管理制度</w:t>
      </w:r>
      <w:r>
        <w:rPr>
          <w:i w:val="0"/>
          <w:iCs w:val="0"/>
          <w:sz w:val="24"/>
          <w:szCs w:val="24"/>
        </w:rPr>
        <w:tab/>
      </w:r>
      <w:r>
        <w:rPr>
          <w:i w:val="0"/>
          <w:iCs w:val="0"/>
          <w:sz w:val="24"/>
          <w:szCs w:val="24"/>
        </w:rPr>
        <w:fldChar w:fldCharType="begin"/>
      </w:r>
      <w:r>
        <w:rPr>
          <w:i w:val="0"/>
          <w:iCs w:val="0"/>
          <w:sz w:val="24"/>
          <w:szCs w:val="24"/>
        </w:rPr>
        <w:instrText xml:space="preserve"> PAGEREF _Toc22363 \h </w:instrText>
      </w:r>
      <w:r>
        <w:rPr>
          <w:i w:val="0"/>
          <w:iCs w:val="0"/>
          <w:sz w:val="24"/>
          <w:szCs w:val="24"/>
        </w:rPr>
        <w:fldChar w:fldCharType="separate"/>
      </w:r>
      <w:r>
        <w:rPr>
          <w:i w:val="0"/>
          <w:iCs w:val="0"/>
          <w:sz w:val="24"/>
          <w:szCs w:val="24"/>
        </w:rPr>
        <w:t>20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_Toc20633 </w:instrText>
      </w:r>
      <w:r>
        <w:rPr>
          <w:i w:val="0"/>
          <w:iCs w:val="0"/>
          <w:sz w:val="24"/>
          <w:szCs w:val="24"/>
        </w:rPr>
        <w:fldChar w:fldCharType="separate"/>
      </w:r>
      <w:r>
        <w:rPr>
          <w:rFonts w:hint="eastAsia"/>
          <w:i w:val="0"/>
          <w:iCs w:val="0"/>
          <w:sz w:val="24"/>
          <w:szCs w:val="24"/>
        </w:rPr>
        <w:t>2.10.3 安全生产教育</w:t>
      </w:r>
      <w:r>
        <w:rPr>
          <w:i w:val="0"/>
          <w:iCs w:val="0"/>
          <w:sz w:val="24"/>
          <w:szCs w:val="24"/>
        </w:rPr>
        <w:tab/>
      </w:r>
      <w:r>
        <w:rPr>
          <w:i w:val="0"/>
          <w:iCs w:val="0"/>
          <w:sz w:val="24"/>
          <w:szCs w:val="24"/>
        </w:rPr>
        <w:fldChar w:fldCharType="begin"/>
      </w:r>
      <w:r>
        <w:rPr>
          <w:i w:val="0"/>
          <w:iCs w:val="0"/>
          <w:sz w:val="24"/>
          <w:szCs w:val="24"/>
        </w:rPr>
        <w:instrText xml:space="preserve"> PAGEREF _Toc20633 \h </w:instrText>
      </w:r>
      <w:r>
        <w:rPr>
          <w:i w:val="0"/>
          <w:iCs w:val="0"/>
          <w:sz w:val="24"/>
          <w:szCs w:val="24"/>
        </w:rPr>
        <w:fldChar w:fldCharType="separate"/>
      </w:r>
      <w:r>
        <w:rPr>
          <w:i w:val="0"/>
          <w:iCs w:val="0"/>
          <w:sz w:val="24"/>
          <w:szCs w:val="24"/>
        </w:rPr>
        <w:t>20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_Toc27390 </w:instrText>
      </w:r>
      <w:r>
        <w:rPr>
          <w:i w:val="0"/>
          <w:iCs w:val="0"/>
          <w:sz w:val="24"/>
          <w:szCs w:val="24"/>
        </w:rPr>
        <w:fldChar w:fldCharType="separate"/>
      </w:r>
      <w:r>
        <w:rPr>
          <w:rFonts w:hint="eastAsia"/>
          <w:i w:val="0"/>
          <w:iCs w:val="0"/>
          <w:sz w:val="24"/>
          <w:szCs w:val="24"/>
        </w:rPr>
        <w:t>2.10.4 从业人员持证情况</w:t>
      </w:r>
      <w:r>
        <w:rPr>
          <w:i w:val="0"/>
          <w:iCs w:val="0"/>
          <w:sz w:val="24"/>
          <w:szCs w:val="24"/>
        </w:rPr>
        <w:tab/>
      </w:r>
      <w:r>
        <w:rPr>
          <w:i w:val="0"/>
          <w:iCs w:val="0"/>
          <w:sz w:val="24"/>
          <w:szCs w:val="24"/>
        </w:rPr>
        <w:fldChar w:fldCharType="begin"/>
      </w:r>
      <w:r>
        <w:rPr>
          <w:i w:val="0"/>
          <w:iCs w:val="0"/>
          <w:sz w:val="24"/>
          <w:szCs w:val="24"/>
        </w:rPr>
        <w:instrText xml:space="preserve"> PAGEREF _Toc27390 \h </w:instrText>
      </w:r>
      <w:r>
        <w:rPr>
          <w:i w:val="0"/>
          <w:iCs w:val="0"/>
          <w:sz w:val="24"/>
          <w:szCs w:val="24"/>
        </w:rPr>
        <w:fldChar w:fldCharType="separate"/>
      </w:r>
      <w:r>
        <w:rPr>
          <w:i w:val="0"/>
          <w:iCs w:val="0"/>
          <w:sz w:val="24"/>
          <w:szCs w:val="24"/>
        </w:rPr>
        <w:t>21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_Toc27810 </w:instrText>
      </w:r>
      <w:r>
        <w:rPr>
          <w:i w:val="0"/>
          <w:iCs w:val="0"/>
          <w:sz w:val="24"/>
          <w:szCs w:val="24"/>
        </w:rPr>
        <w:fldChar w:fldCharType="separate"/>
      </w:r>
      <w:r>
        <w:rPr>
          <w:i w:val="0"/>
          <w:iCs w:val="0"/>
          <w:sz w:val="24"/>
          <w:szCs w:val="24"/>
        </w:rPr>
        <w:t>2.</w:t>
      </w:r>
      <w:r>
        <w:rPr>
          <w:rFonts w:hint="eastAsia"/>
          <w:i w:val="0"/>
          <w:iCs w:val="0"/>
          <w:sz w:val="24"/>
          <w:szCs w:val="24"/>
        </w:rPr>
        <w:t>10</w:t>
      </w:r>
      <w:r>
        <w:rPr>
          <w:i w:val="0"/>
          <w:iCs w:val="0"/>
          <w:sz w:val="24"/>
          <w:szCs w:val="24"/>
        </w:rPr>
        <w:t>.</w:t>
      </w:r>
      <w:r>
        <w:rPr>
          <w:rFonts w:hint="eastAsia"/>
          <w:i w:val="0"/>
          <w:iCs w:val="0"/>
          <w:sz w:val="24"/>
          <w:szCs w:val="24"/>
        </w:rPr>
        <w:t>5 事故应急救援预案</w:t>
      </w:r>
      <w:r>
        <w:rPr>
          <w:i w:val="0"/>
          <w:iCs w:val="0"/>
          <w:sz w:val="24"/>
          <w:szCs w:val="24"/>
        </w:rPr>
        <w:tab/>
      </w:r>
      <w:r>
        <w:rPr>
          <w:i w:val="0"/>
          <w:iCs w:val="0"/>
          <w:sz w:val="24"/>
          <w:szCs w:val="24"/>
        </w:rPr>
        <w:fldChar w:fldCharType="begin"/>
      </w:r>
      <w:r>
        <w:rPr>
          <w:i w:val="0"/>
          <w:iCs w:val="0"/>
          <w:sz w:val="24"/>
          <w:szCs w:val="24"/>
        </w:rPr>
        <w:instrText xml:space="preserve"> PAGEREF _Toc27810 \h </w:instrText>
      </w:r>
      <w:r>
        <w:rPr>
          <w:i w:val="0"/>
          <w:iCs w:val="0"/>
          <w:sz w:val="24"/>
          <w:szCs w:val="24"/>
        </w:rPr>
        <w:fldChar w:fldCharType="separate"/>
      </w:r>
      <w:r>
        <w:rPr>
          <w:i w:val="0"/>
          <w:iCs w:val="0"/>
          <w:sz w:val="24"/>
          <w:szCs w:val="24"/>
        </w:rPr>
        <w:t>21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_Toc2990 </w:instrText>
      </w:r>
      <w:r>
        <w:rPr>
          <w:i w:val="0"/>
          <w:iCs w:val="0"/>
          <w:sz w:val="24"/>
          <w:szCs w:val="24"/>
        </w:rPr>
        <w:fldChar w:fldCharType="separate"/>
      </w:r>
      <w:r>
        <w:rPr>
          <w:i w:val="0"/>
          <w:iCs w:val="0"/>
          <w:sz w:val="24"/>
          <w:szCs w:val="24"/>
        </w:rPr>
        <w:t>2.</w:t>
      </w:r>
      <w:r>
        <w:rPr>
          <w:rFonts w:hint="eastAsia"/>
          <w:i w:val="0"/>
          <w:iCs w:val="0"/>
          <w:sz w:val="24"/>
          <w:szCs w:val="24"/>
        </w:rPr>
        <w:t>10</w:t>
      </w:r>
      <w:r>
        <w:rPr>
          <w:i w:val="0"/>
          <w:iCs w:val="0"/>
          <w:sz w:val="24"/>
          <w:szCs w:val="24"/>
        </w:rPr>
        <w:t>.</w:t>
      </w:r>
      <w:r>
        <w:rPr>
          <w:rFonts w:hint="eastAsia"/>
          <w:i w:val="0"/>
          <w:iCs w:val="0"/>
          <w:sz w:val="24"/>
          <w:szCs w:val="24"/>
        </w:rPr>
        <w:t>6 劳动防护用品配置</w:t>
      </w:r>
      <w:r>
        <w:rPr>
          <w:i w:val="0"/>
          <w:iCs w:val="0"/>
          <w:sz w:val="24"/>
          <w:szCs w:val="24"/>
        </w:rPr>
        <w:tab/>
      </w:r>
      <w:r>
        <w:rPr>
          <w:i w:val="0"/>
          <w:iCs w:val="0"/>
          <w:sz w:val="24"/>
          <w:szCs w:val="24"/>
        </w:rPr>
        <w:fldChar w:fldCharType="begin"/>
      </w:r>
      <w:r>
        <w:rPr>
          <w:i w:val="0"/>
          <w:iCs w:val="0"/>
          <w:sz w:val="24"/>
          <w:szCs w:val="24"/>
        </w:rPr>
        <w:instrText xml:space="preserve"> PAGEREF _Toc2990 \h </w:instrText>
      </w:r>
      <w:r>
        <w:rPr>
          <w:i w:val="0"/>
          <w:iCs w:val="0"/>
          <w:sz w:val="24"/>
          <w:szCs w:val="24"/>
        </w:rPr>
        <w:fldChar w:fldCharType="separate"/>
      </w:r>
      <w:r>
        <w:rPr>
          <w:i w:val="0"/>
          <w:iCs w:val="0"/>
          <w:sz w:val="24"/>
          <w:szCs w:val="24"/>
        </w:rPr>
        <w:t>22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_Toc16212 </w:instrText>
      </w:r>
      <w:r>
        <w:rPr>
          <w:i w:val="0"/>
          <w:iCs w:val="0"/>
          <w:sz w:val="24"/>
          <w:szCs w:val="24"/>
        </w:rPr>
        <w:fldChar w:fldCharType="separate"/>
      </w:r>
      <w:r>
        <w:rPr>
          <w:i w:val="0"/>
          <w:iCs w:val="0"/>
          <w:sz w:val="24"/>
          <w:szCs w:val="24"/>
        </w:rPr>
        <w:t>2.</w:t>
      </w:r>
      <w:r>
        <w:rPr>
          <w:rFonts w:hint="eastAsia"/>
          <w:i w:val="0"/>
          <w:iCs w:val="0"/>
          <w:sz w:val="24"/>
          <w:szCs w:val="24"/>
        </w:rPr>
        <w:t>10</w:t>
      </w:r>
      <w:r>
        <w:rPr>
          <w:i w:val="0"/>
          <w:iCs w:val="0"/>
          <w:sz w:val="24"/>
          <w:szCs w:val="24"/>
        </w:rPr>
        <w:t>.</w:t>
      </w:r>
      <w:r>
        <w:rPr>
          <w:rFonts w:hint="eastAsia"/>
          <w:i w:val="0"/>
          <w:iCs w:val="0"/>
          <w:sz w:val="24"/>
          <w:szCs w:val="24"/>
        </w:rPr>
        <w:t>7 工伤保险购买情况</w:t>
      </w:r>
      <w:r>
        <w:rPr>
          <w:i w:val="0"/>
          <w:iCs w:val="0"/>
          <w:sz w:val="24"/>
          <w:szCs w:val="24"/>
        </w:rPr>
        <w:tab/>
      </w:r>
      <w:r>
        <w:rPr>
          <w:i w:val="0"/>
          <w:iCs w:val="0"/>
          <w:sz w:val="24"/>
          <w:szCs w:val="24"/>
        </w:rPr>
        <w:fldChar w:fldCharType="begin"/>
      </w:r>
      <w:r>
        <w:rPr>
          <w:i w:val="0"/>
          <w:iCs w:val="0"/>
          <w:sz w:val="24"/>
          <w:szCs w:val="24"/>
        </w:rPr>
        <w:instrText xml:space="preserve"> PAGEREF _Toc16212 \h </w:instrText>
      </w:r>
      <w:r>
        <w:rPr>
          <w:i w:val="0"/>
          <w:iCs w:val="0"/>
          <w:sz w:val="24"/>
          <w:szCs w:val="24"/>
        </w:rPr>
        <w:fldChar w:fldCharType="separate"/>
      </w:r>
      <w:r>
        <w:rPr>
          <w:i w:val="0"/>
          <w:iCs w:val="0"/>
          <w:sz w:val="24"/>
          <w:szCs w:val="24"/>
        </w:rPr>
        <w:t>22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_Toc24972 </w:instrText>
      </w:r>
      <w:r>
        <w:rPr>
          <w:i w:val="0"/>
          <w:iCs w:val="0"/>
          <w:sz w:val="24"/>
          <w:szCs w:val="24"/>
        </w:rPr>
        <w:fldChar w:fldCharType="separate"/>
      </w:r>
      <w:r>
        <w:rPr>
          <w:rFonts w:hint="eastAsia"/>
          <w:i w:val="0"/>
          <w:iCs w:val="0"/>
          <w:sz w:val="24"/>
          <w:szCs w:val="24"/>
        </w:rPr>
        <w:t>2.11 安全费用提取使用情况</w:t>
      </w:r>
      <w:r>
        <w:rPr>
          <w:i w:val="0"/>
          <w:iCs w:val="0"/>
          <w:sz w:val="24"/>
          <w:szCs w:val="24"/>
        </w:rPr>
        <w:tab/>
      </w:r>
      <w:r>
        <w:rPr>
          <w:i w:val="0"/>
          <w:iCs w:val="0"/>
          <w:sz w:val="24"/>
          <w:szCs w:val="24"/>
        </w:rPr>
        <w:fldChar w:fldCharType="begin"/>
      </w:r>
      <w:r>
        <w:rPr>
          <w:i w:val="0"/>
          <w:iCs w:val="0"/>
          <w:sz w:val="24"/>
          <w:szCs w:val="24"/>
        </w:rPr>
        <w:instrText xml:space="preserve"> PAGEREF _Toc24972 \h </w:instrText>
      </w:r>
      <w:r>
        <w:rPr>
          <w:i w:val="0"/>
          <w:iCs w:val="0"/>
          <w:sz w:val="24"/>
          <w:szCs w:val="24"/>
        </w:rPr>
        <w:fldChar w:fldCharType="separate"/>
      </w:r>
      <w:r>
        <w:rPr>
          <w:i w:val="0"/>
          <w:iCs w:val="0"/>
          <w:sz w:val="24"/>
          <w:szCs w:val="24"/>
        </w:rPr>
        <w:t>22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_Toc14285 </w:instrText>
      </w:r>
      <w:r>
        <w:rPr>
          <w:i w:val="0"/>
          <w:iCs w:val="0"/>
          <w:sz w:val="24"/>
          <w:szCs w:val="24"/>
        </w:rPr>
        <w:fldChar w:fldCharType="separate"/>
      </w:r>
      <w:r>
        <w:rPr>
          <w:rFonts w:hint="eastAsia"/>
          <w:i w:val="0"/>
          <w:iCs w:val="0"/>
          <w:sz w:val="24"/>
          <w:szCs w:val="24"/>
        </w:rPr>
        <w:t>2.12 四区分离设置和双重预防机制情况</w:t>
      </w:r>
      <w:r>
        <w:rPr>
          <w:i w:val="0"/>
          <w:iCs w:val="0"/>
          <w:sz w:val="24"/>
          <w:szCs w:val="24"/>
        </w:rPr>
        <w:tab/>
      </w:r>
      <w:r>
        <w:rPr>
          <w:i w:val="0"/>
          <w:iCs w:val="0"/>
          <w:sz w:val="24"/>
          <w:szCs w:val="24"/>
        </w:rPr>
        <w:fldChar w:fldCharType="begin"/>
      </w:r>
      <w:r>
        <w:rPr>
          <w:i w:val="0"/>
          <w:iCs w:val="0"/>
          <w:sz w:val="24"/>
          <w:szCs w:val="24"/>
        </w:rPr>
        <w:instrText xml:space="preserve"> PAGEREF _Toc14285 \h </w:instrText>
      </w:r>
      <w:r>
        <w:rPr>
          <w:i w:val="0"/>
          <w:iCs w:val="0"/>
          <w:sz w:val="24"/>
          <w:szCs w:val="24"/>
        </w:rPr>
        <w:fldChar w:fldCharType="separate"/>
      </w:r>
      <w:r>
        <w:rPr>
          <w:i w:val="0"/>
          <w:iCs w:val="0"/>
          <w:sz w:val="24"/>
          <w:szCs w:val="24"/>
        </w:rPr>
        <w:t>23</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_Toc21406 </w:instrText>
      </w:r>
      <w:r>
        <w:rPr>
          <w:i w:val="0"/>
          <w:iCs w:val="0"/>
          <w:sz w:val="24"/>
          <w:szCs w:val="24"/>
        </w:rPr>
        <w:fldChar w:fldCharType="separate"/>
      </w:r>
      <w:r>
        <w:rPr>
          <w:rFonts w:hint="eastAsia"/>
          <w:i w:val="0"/>
          <w:iCs w:val="0"/>
          <w:sz w:val="24"/>
          <w:szCs w:val="24"/>
        </w:rPr>
        <w:t>2.13 项目换证以来的安全运行情况及工艺变更情况</w:t>
      </w:r>
      <w:r>
        <w:rPr>
          <w:i w:val="0"/>
          <w:iCs w:val="0"/>
          <w:sz w:val="24"/>
          <w:szCs w:val="24"/>
        </w:rPr>
        <w:tab/>
      </w:r>
      <w:r>
        <w:rPr>
          <w:i w:val="0"/>
          <w:iCs w:val="0"/>
          <w:sz w:val="24"/>
          <w:szCs w:val="24"/>
        </w:rPr>
        <w:fldChar w:fldCharType="begin"/>
      </w:r>
      <w:r>
        <w:rPr>
          <w:i w:val="0"/>
          <w:iCs w:val="0"/>
          <w:sz w:val="24"/>
          <w:szCs w:val="24"/>
        </w:rPr>
        <w:instrText xml:space="preserve"> PAGEREF _Toc21406 \h </w:instrText>
      </w:r>
      <w:r>
        <w:rPr>
          <w:i w:val="0"/>
          <w:iCs w:val="0"/>
          <w:sz w:val="24"/>
          <w:szCs w:val="24"/>
        </w:rPr>
        <w:fldChar w:fldCharType="separate"/>
      </w:r>
      <w:r>
        <w:rPr>
          <w:i w:val="0"/>
          <w:iCs w:val="0"/>
          <w:sz w:val="24"/>
          <w:szCs w:val="24"/>
        </w:rPr>
        <w:t>23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_Toc2398 </w:instrText>
      </w:r>
      <w:r>
        <w:rPr>
          <w:i w:val="0"/>
          <w:iCs w:val="0"/>
          <w:sz w:val="24"/>
          <w:szCs w:val="24"/>
        </w:rPr>
        <w:fldChar w:fldCharType="separate"/>
      </w:r>
      <w:r>
        <w:rPr>
          <w:rFonts w:hint="eastAsia"/>
          <w:i w:val="0"/>
          <w:iCs w:val="0"/>
          <w:sz w:val="24"/>
          <w:szCs w:val="24"/>
        </w:rPr>
        <w:t>2.13.1 项目换证以来的安全运行情况</w:t>
      </w:r>
      <w:r>
        <w:rPr>
          <w:i w:val="0"/>
          <w:iCs w:val="0"/>
          <w:sz w:val="24"/>
          <w:szCs w:val="24"/>
        </w:rPr>
        <w:tab/>
      </w:r>
      <w:r>
        <w:rPr>
          <w:i w:val="0"/>
          <w:iCs w:val="0"/>
          <w:sz w:val="24"/>
          <w:szCs w:val="24"/>
        </w:rPr>
        <w:fldChar w:fldCharType="begin"/>
      </w:r>
      <w:r>
        <w:rPr>
          <w:i w:val="0"/>
          <w:iCs w:val="0"/>
          <w:sz w:val="24"/>
          <w:szCs w:val="24"/>
        </w:rPr>
        <w:instrText xml:space="preserve"> PAGEREF _Toc2398 \h </w:instrText>
      </w:r>
      <w:r>
        <w:rPr>
          <w:i w:val="0"/>
          <w:iCs w:val="0"/>
          <w:sz w:val="24"/>
          <w:szCs w:val="24"/>
        </w:rPr>
        <w:fldChar w:fldCharType="separate"/>
      </w:r>
      <w:r>
        <w:rPr>
          <w:i w:val="0"/>
          <w:iCs w:val="0"/>
          <w:sz w:val="24"/>
          <w:szCs w:val="24"/>
        </w:rPr>
        <w:t>23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_Toc23989 </w:instrText>
      </w:r>
      <w:r>
        <w:rPr>
          <w:i w:val="0"/>
          <w:iCs w:val="0"/>
          <w:sz w:val="24"/>
          <w:szCs w:val="24"/>
        </w:rPr>
        <w:fldChar w:fldCharType="separate"/>
      </w:r>
      <w:r>
        <w:rPr>
          <w:rFonts w:hint="eastAsia"/>
          <w:i w:val="0"/>
          <w:iCs w:val="0"/>
          <w:sz w:val="24"/>
          <w:szCs w:val="24"/>
        </w:rPr>
        <w:t>2.13.2 项目换证以来的工艺装置变更情况</w:t>
      </w:r>
      <w:r>
        <w:rPr>
          <w:i w:val="0"/>
          <w:iCs w:val="0"/>
          <w:sz w:val="24"/>
          <w:szCs w:val="24"/>
        </w:rPr>
        <w:tab/>
      </w:r>
      <w:r>
        <w:rPr>
          <w:i w:val="0"/>
          <w:iCs w:val="0"/>
          <w:sz w:val="24"/>
          <w:szCs w:val="24"/>
        </w:rPr>
        <w:fldChar w:fldCharType="begin"/>
      </w:r>
      <w:r>
        <w:rPr>
          <w:i w:val="0"/>
          <w:iCs w:val="0"/>
          <w:sz w:val="24"/>
          <w:szCs w:val="24"/>
        </w:rPr>
        <w:instrText xml:space="preserve"> PAGEREF _Toc23989 \h </w:instrText>
      </w:r>
      <w:r>
        <w:rPr>
          <w:i w:val="0"/>
          <w:iCs w:val="0"/>
          <w:sz w:val="24"/>
          <w:szCs w:val="24"/>
        </w:rPr>
        <w:fldChar w:fldCharType="separate"/>
      </w:r>
      <w:r>
        <w:rPr>
          <w:i w:val="0"/>
          <w:iCs w:val="0"/>
          <w:sz w:val="24"/>
          <w:szCs w:val="24"/>
        </w:rPr>
        <w:t>23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_Toc3159 </w:instrText>
      </w:r>
      <w:r>
        <w:rPr>
          <w:i w:val="0"/>
          <w:iCs w:val="0"/>
          <w:sz w:val="24"/>
          <w:szCs w:val="24"/>
        </w:rPr>
        <w:fldChar w:fldCharType="separate"/>
      </w:r>
      <w:r>
        <w:rPr>
          <w:rFonts w:hint="eastAsia"/>
          <w:i w:val="0"/>
          <w:iCs w:val="0"/>
          <w:sz w:val="24"/>
          <w:szCs w:val="24"/>
        </w:rPr>
        <w:t>2.13.3 项目换证以来安全设施变更情况</w:t>
      </w:r>
      <w:r>
        <w:rPr>
          <w:i w:val="0"/>
          <w:iCs w:val="0"/>
          <w:sz w:val="24"/>
          <w:szCs w:val="24"/>
        </w:rPr>
        <w:tab/>
      </w:r>
      <w:r>
        <w:rPr>
          <w:i w:val="0"/>
          <w:iCs w:val="0"/>
          <w:sz w:val="24"/>
          <w:szCs w:val="24"/>
        </w:rPr>
        <w:fldChar w:fldCharType="begin"/>
      </w:r>
      <w:r>
        <w:rPr>
          <w:i w:val="0"/>
          <w:iCs w:val="0"/>
          <w:sz w:val="24"/>
          <w:szCs w:val="24"/>
        </w:rPr>
        <w:instrText xml:space="preserve"> PAGEREF _Toc3159 \h </w:instrText>
      </w:r>
      <w:r>
        <w:rPr>
          <w:i w:val="0"/>
          <w:iCs w:val="0"/>
          <w:sz w:val="24"/>
          <w:szCs w:val="24"/>
        </w:rPr>
        <w:fldChar w:fldCharType="separate"/>
      </w:r>
      <w:r>
        <w:rPr>
          <w:i w:val="0"/>
          <w:iCs w:val="0"/>
          <w:sz w:val="24"/>
          <w:szCs w:val="24"/>
        </w:rPr>
        <w:t>23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_Toc6189 </w:instrText>
      </w:r>
      <w:r>
        <w:rPr>
          <w:i w:val="0"/>
          <w:iCs w:val="0"/>
          <w:sz w:val="24"/>
          <w:szCs w:val="24"/>
        </w:rPr>
        <w:fldChar w:fldCharType="separate"/>
      </w:r>
      <w:r>
        <w:rPr>
          <w:rFonts w:hint="eastAsia"/>
          <w:i w:val="0"/>
          <w:iCs w:val="0"/>
          <w:sz w:val="24"/>
          <w:szCs w:val="24"/>
        </w:rPr>
        <w:t>2.13.4 项目换证以来周边环境变化情况</w:t>
      </w:r>
      <w:r>
        <w:rPr>
          <w:i w:val="0"/>
          <w:iCs w:val="0"/>
          <w:sz w:val="24"/>
          <w:szCs w:val="24"/>
        </w:rPr>
        <w:tab/>
      </w:r>
      <w:r>
        <w:rPr>
          <w:i w:val="0"/>
          <w:iCs w:val="0"/>
          <w:sz w:val="24"/>
          <w:szCs w:val="24"/>
        </w:rPr>
        <w:fldChar w:fldCharType="begin"/>
      </w:r>
      <w:r>
        <w:rPr>
          <w:i w:val="0"/>
          <w:iCs w:val="0"/>
          <w:sz w:val="24"/>
          <w:szCs w:val="24"/>
        </w:rPr>
        <w:instrText xml:space="preserve"> PAGEREF _Toc6189 \h </w:instrText>
      </w:r>
      <w:r>
        <w:rPr>
          <w:i w:val="0"/>
          <w:iCs w:val="0"/>
          <w:sz w:val="24"/>
          <w:szCs w:val="24"/>
        </w:rPr>
        <w:fldChar w:fldCharType="separate"/>
      </w:r>
      <w:r>
        <w:rPr>
          <w:i w:val="0"/>
          <w:iCs w:val="0"/>
          <w:sz w:val="24"/>
          <w:szCs w:val="24"/>
        </w:rPr>
        <w:t>24</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_Toc7530 </w:instrText>
      </w:r>
      <w:r>
        <w:rPr>
          <w:i w:val="0"/>
          <w:iCs w:val="0"/>
          <w:sz w:val="24"/>
          <w:szCs w:val="24"/>
        </w:rPr>
        <w:fldChar w:fldCharType="separate"/>
      </w:r>
      <w:r>
        <w:rPr>
          <w:rFonts w:hint="eastAsia" w:ascii="宋体" w:hAnsi="宋体" w:eastAsia="宋体" w:cs="宋体"/>
          <w:bCs w:val="0"/>
          <w:i w:val="0"/>
          <w:iCs w:val="0"/>
          <w:sz w:val="24"/>
          <w:szCs w:val="24"/>
        </w:rPr>
        <w:t xml:space="preserve">3  </w:t>
      </w:r>
      <w:r>
        <w:rPr>
          <w:rFonts w:hint="eastAsia" w:ascii="宋体" w:hAnsi="宋体" w:eastAsia="宋体" w:cs="宋体"/>
          <w:bCs w:val="0"/>
          <w:i w:val="0"/>
          <w:iCs w:val="0"/>
          <w:sz w:val="24"/>
          <w:szCs w:val="24"/>
          <w:lang w:eastAsia="zh-CN"/>
        </w:rPr>
        <w:t>危险和有害因素</w:t>
      </w:r>
      <w:r>
        <w:rPr>
          <w:rFonts w:hint="eastAsia" w:ascii="宋体" w:hAnsi="宋体" w:eastAsia="宋体" w:cs="宋体"/>
          <w:bCs w:val="0"/>
          <w:i w:val="0"/>
          <w:iCs w:val="0"/>
          <w:sz w:val="24"/>
          <w:szCs w:val="24"/>
        </w:rPr>
        <w:t>辨识结果</w:t>
      </w:r>
      <w:r>
        <w:rPr>
          <w:i w:val="0"/>
          <w:iCs w:val="0"/>
          <w:sz w:val="24"/>
          <w:szCs w:val="24"/>
        </w:rPr>
        <w:tab/>
      </w:r>
      <w:r>
        <w:rPr>
          <w:i w:val="0"/>
          <w:iCs w:val="0"/>
          <w:sz w:val="24"/>
          <w:szCs w:val="24"/>
        </w:rPr>
        <w:fldChar w:fldCharType="begin"/>
      </w:r>
      <w:r>
        <w:rPr>
          <w:i w:val="0"/>
          <w:iCs w:val="0"/>
          <w:sz w:val="24"/>
          <w:szCs w:val="24"/>
        </w:rPr>
        <w:instrText xml:space="preserve"> PAGEREF _Toc7530 \h </w:instrText>
      </w:r>
      <w:r>
        <w:rPr>
          <w:i w:val="0"/>
          <w:iCs w:val="0"/>
          <w:sz w:val="24"/>
          <w:szCs w:val="24"/>
        </w:rPr>
        <w:fldChar w:fldCharType="separate"/>
      </w:r>
      <w:r>
        <w:rPr>
          <w:i w:val="0"/>
          <w:iCs w:val="0"/>
          <w:sz w:val="24"/>
          <w:szCs w:val="24"/>
        </w:rPr>
        <w:t>25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_Toc935 </w:instrText>
      </w:r>
      <w:r>
        <w:rPr>
          <w:i w:val="0"/>
          <w:iCs w:val="0"/>
          <w:sz w:val="24"/>
          <w:szCs w:val="24"/>
        </w:rPr>
        <w:fldChar w:fldCharType="separate"/>
      </w:r>
      <w:r>
        <w:rPr>
          <w:rFonts w:hint="eastAsia"/>
          <w:i w:val="0"/>
          <w:iCs w:val="0"/>
          <w:sz w:val="24"/>
          <w:szCs w:val="24"/>
        </w:rPr>
        <w:t>3.1 主要危险、有害物质辨识及物质的危险性分析结果</w:t>
      </w:r>
      <w:r>
        <w:rPr>
          <w:i w:val="0"/>
          <w:iCs w:val="0"/>
          <w:sz w:val="24"/>
          <w:szCs w:val="24"/>
        </w:rPr>
        <w:tab/>
      </w:r>
      <w:r>
        <w:rPr>
          <w:i w:val="0"/>
          <w:iCs w:val="0"/>
          <w:sz w:val="24"/>
          <w:szCs w:val="24"/>
        </w:rPr>
        <w:fldChar w:fldCharType="begin"/>
      </w:r>
      <w:r>
        <w:rPr>
          <w:i w:val="0"/>
          <w:iCs w:val="0"/>
          <w:sz w:val="24"/>
          <w:szCs w:val="24"/>
        </w:rPr>
        <w:instrText xml:space="preserve"> PAGEREF _Toc935 \h </w:instrText>
      </w:r>
      <w:r>
        <w:rPr>
          <w:i w:val="0"/>
          <w:iCs w:val="0"/>
          <w:sz w:val="24"/>
          <w:szCs w:val="24"/>
        </w:rPr>
        <w:fldChar w:fldCharType="separate"/>
      </w:r>
      <w:r>
        <w:rPr>
          <w:i w:val="0"/>
          <w:iCs w:val="0"/>
          <w:sz w:val="24"/>
          <w:szCs w:val="24"/>
        </w:rPr>
        <w:t>25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_Toc24193 </w:instrText>
      </w:r>
      <w:r>
        <w:rPr>
          <w:i w:val="0"/>
          <w:iCs w:val="0"/>
          <w:sz w:val="24"/>
          <w:szCs w:val="24"/>
        </w:rPr>
        <w:fldChar w:fldCharType="separate"/>
      </w:r>
      <w:r>
        <w:rPr>
          <w:rFonts w:hint="eastAsia"/>
          <w:i w:val="0"/>
          <w:iCs w:val="0"/>
          <w:sz w:val="24"/>
          <w:szCs w:val="24"/>
        </w:rPr>
        <w:t>3.1.1 主要危险、有害物质辨识结果</w:t>
      </w:r>
      <w:r>
        <w:rPr>
          <w:i w:val="0"/>
          <w:iCs w:val="0"/>
          <w:sz w:val="24"/>
          <w:szCs w:val="24"/>
        </w:rPr>
        <w:tab/>
      </w:r>
      <w:r>
        <w:rPr>
          <w:i w:val="0"/>
          <w:iCs w:val="0"/>
          <w:sz w:val="24"/>
          <w:szCs w:val="24"/>
        </w:rPr>
        <w:fldChar w:fldCharType="begin"/>
      </w:r>
      <w:r>
        <w:rPr>
          <w:i w:val="0"/>
          <w:iCs w:val="0"/>
          <w:sz w:val="24"/>
          <w:szCs w:val="24"/>
        </w:rPr>
        <w:instrText xml:space="preserve"> PAGEREF _Toc24193 \h </w:instrText>
      </w:r>
      <w:r>
        <w:rPr>
          <w:i w:val="0"/>
          <w:iCs w:val="0"/>
          <w:sz w:val="24"/>
          <w:szCs w:val="24"/>
        </w:rPr>
        <w:fldChar w:fldCharType="separate"/>
      </w:r>
      <w:r>
        <w:rPr>
          <w:i w:val="0"/>
          <w:iCs w:val="0"/>
          <w:sz w:val="24"/>
          <w:szCs w:val="24"/>
        </w:rPr>
        <w:t>25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_Toc32150 </w:instrText>
      </w:r>
      <w:r>
        <w:rPr>
          <w:i w:val="0"/>
          <w:iCs w:val="0"/>
          <w:sz w:val="24"/>
          <w:szCs w:val="24"/>
        </w:rPr>
        <w:fldChar w:fldCharType="separate"/>
      </w:r>
      <w:r>
        <w:rPr>
          <w:rFonts w:hint="eastAsia"/>
          <w:i w:val="0"/>
          <w:iCs w:val="0"/>
          <w:sz w:val="24"/>
          <w:szCs w:val="24"/>
        </w:rPr>
        <w:t>3.1.2 主要危险、有害物质的危险性分析结果</w:t>
      </w:r>
      <w:r>
        <w:rPr>
          <w:i w:val="0"/>
          <w:iCs w:val="0"/>
          <w:sz w:val="24"/>
          <w:szCs w:val="24"/>
        </w:rPr>
        <w:tab/>
      </w:r>
      <w:r>
        <w:rPr>
          <w:i w:val="0"/>
          <w:iCs w:val="0"/>
          <w:sz w:val="24"/>
          <w:szCs w:val="24"/>
        </w:rPr>
        <w:fldChar w:fldCharType="begin"/>
      </w:r>
      <w:r>
        <w:rPr>
          <w:i w:val="0"/>
          <w:iCs w:val="0"/>
          <w:sz w:val="24"/>
          <w:szCs w:val="24"/>
        </w:rPr>
        <w:instrText xml:space="preserve"> PAGEREF _Toc32150 \h </w:instrText>
      </w:r>
      <w:r>
        <w:rPr>
          <w:i w:val="0"/>
          <w:iCs w:val="0"/>
          <w:sz w:val="24"/>
          <w:szCs w:val="24"/>
        </w:rPr>
        <w:fldChar w:fldCharType="separate"/>
      </w:r>
      <w:r>
        <w:rPr>
          <w:i w:val="0"/>
          <w:iCs w:val="0"/>
          <w:sz w:val="24"/>
          <w:szCs w:val="24"/>
        </w:rPr>
        <w:t>25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_Toc6391 </w:instrText>
      </w:r>
      <w:r>
        <w:rPr>
          <w:i w:val="0"/>
          <w:iCs w:val="0"/>
          <w:sz w:val="24"/>
          <w:szCs w:val="24"/>
        </w:rPr>
        <w:fldChar w:fldCharType="separate"/>
      </w:r>
      <w:r>
        <w:rPr>
          <w:rFonts w:hint="eastAsia"/>
          <w:i w:val="0"/>
          <w:iCs w:val="0"/>
          <w:sz w:val="24"/>
          <w:szCs w:val="24"/>
        </w:rPr>
        <w:t>3.1.3 危险和有害因素分布情况</w:t>
      </w:r>
      <w:r>
        <w:rPr>
          <w:i w:val="0"/>
          <w:iCs w:val="0"/>
          <w:sz w:val="24"/>
          <w:szCs w:val="24"/>
        </w:rPr>
        <w:tab/>
      </w:r>
      <w:r>
        <w:rPr>
          <w:i w:val="0"/>
          <w:iCs w:val="0"/>
          <w:sz w:val="24"/>
          <w:szCs w:val="24"/>
        </w:rPr>
        <w:fldChar w:fldCharType="begin"/>
      </w:r>
      <w:r>
        <w:rPr>
          <w:i w:val="0"/>
          <w:iCs w:val="0"/>
          <w:sz w:val="24"/>
          <w:szCs w:val="24"/>
        </w:rPr>
        <w:instrText xml:space="preserve"> PAGEREF _Toc6391 \h </w:instrText>
      </w:r>
      <w:r>
        <w:rPr>
          <w:i w:val="0"/>
          <w:iCs w:val="0"/>
          <w:sz w:val="24"/>
          <w:szCs w:val="24"/>
        </w:rPr>
        <w:fldChar w:fldCharType="separate"/>
      </w:r>
      <w:r>
        <w:rPr>
          <w:i w:val="0"/>
          <w:iCs w:val="0"/>
          <w:sz w:val="24"/>
          <w:szCs w:val="24"/>
        </w:rPr>
        <w:t>26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_Toc7003 </w:instrText>
      </w:r>
      <w:r>
        <w:rPr>
          <w:i w:val="0"/>
          <w:iCs w:val="0"/>
          <w:sz w:val="24"/>
          <w:szCs w:val="24"/>
        </w:rPr>
        <w:fldChar w:fldCharType="separate"/>
      </w:r>
      <w:r>
        <w:rPr>
          <w:rFonts w:hint="eastAsia"/>
          <w:i w:val="0"/>
          <w:iCs w:val="0"/>
          <w:sz w:val="24"/>
          <w:szCs w:val="24"/>
        </w:rPr>
        <w:t>3.2 主要</w:t>
      </w:r>
      <w:r>
        <w:rPr>
          <w:rFonts w:hint="eastAsia"/>
          <w:i w:val="0"/>
          <w:iCs w:val="0"/>
          <w:sz w:val="24"/>
          <w:szCs w:val="24"/>
          <w:lang w:eastAsia="zh-CN"/>
        </w:rPr>
        <w:t>危险和有害因素</w:t>
      </w:r>
      <w:r>
        <w:rPr>
          <w:rFonts w:hint="eastAsia"/>
          <w:i w:val="0"/>
          <w:iCs w:val="0"/>
          <w:sz w:val="24"/>
          <w:szCs w:val="24"/>
        </w:rPr>
        <w:t>辨识分析结果</w:t>
      </w:r>
      <w:r>
        <w:rPr>
          <w:i w:val="0"/>
          <w:iCs w:val="0"/>
          <w:sz w:val="24"/>
          <w:szCs w:val="24"/>
        </w:rPr>
        <w:tab/>
      </w:r>
      <w:r>
        <w:rPr>
          <w:i w:val="0"/>
          <w:iCs w:val="0"/>
          <w:sz w:val="24"/>
          <w:szCs w:val="24"/>
        </w:rPr>
        <w:fldChar w:fldCharType="begin"/>
      </w:r>
      <w:r>
        <w:rPr>
          <w:i w:val="0"/>
          <w:iCs w:val="0"/>
          <w:sz w:val="24"/>
          <w:szCs w:val="24"/>
        </w:rPr>
        <w:instrText xml:space="preserve"> PAGEREF _Toc7003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_Toc3915 </w:instrText>
      </w:r>
      <w:r>
        <w:rPr>
          <w:i w:val="0"/>
          <w:iCs w:val="0"/>
          <w:sz w:val="24"/>
          <w:szCs w:val="24"/>
        </w:rPr>
        <w:fldChar w:fldCharType="separate"/>
      </w:r>
      <w:r>
        <w:rPr>
          <w:rFonts w:hint="eastAsia"/>
          <w:i w:val="0"/>
          <w:iCs w:val="0"/>
          <w:sz w:val="24"/>
          <w:szCs w:val="24"/>
        </w:rPr>
        <w:t>3.3 危险化学品重大危险源辨识结果</w:t>
      </w:r>
      <w:r>
        <w:rPr>
          <w:i w:val="0"/>
          <w:iCs w:val="0"/>
          <w:sz w:val="24"/>
          <w:szCs w:val="24"/>
        </w:rPr>
        <w:tab/>
      </w:r>
      <w:r>
        <w:rPr>
          <w:i w:val="0"/>
          <w:iCs w:val="0"/>
          <w:sz w:val="24"/>
          <w:szCs w:val="24"/>
        </w:rPr>
        <w:fldChar w:fldCharType="begin"/>
      </w:r>
      <w:r>
        <w:rPr>
          <w:i w:val="0"/>
          <w:iCs w:val="0"/>
          <w:sz w:val="24"/>
          <w:szCs w:val="24"/>
        </w:rPr>
        <w:instrText xml:space="preserve"> PAGEREF _Toc3915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_Toc6165 </w:instrText>
      </w:r>
      <w:r>
        <w:rPr>
          <w:i w:val="0"/>
          <w:iCs w:val="0"/>
          <w:sz w:val="24"/>
          <w:szCs w:val="24"/>
        </w:rPr>
        <w:fldChar w:fldCharType="separate"/>
      </w:r>
      <w:r>
        <w:rPr>
          <w:rFonts w:hint="eastAsia"/>
          <w:i w:val="0"/>
          <w:iCs w:val="0"/>
          <w:sz w:val="24"/>
          <w:szCs w:val="24"/>
        </w:rPr>
        <w:t>3.4 剧毒品、易制毒化学品、易制爆化学品辨识结果</w:t>
      </w:r>
      <w:r>
        <w:rPr>
          <w:i w:val="0"/>
          <w:iCs w:val="0"/>
          <w:sz w:val="24"/>
          <w:szCs w:val="24"/>
        </w:rPr>
        <w:tab/>
      </w:r>
      <w:r>
        <w:rPr>
          <w:i w:val="0"/>
          <w:iCs w:val="0"/>
          <w:sz w:val="24"/>
          <w:szCs w:val="24"/>
        </w:rPr>
        <w:fldChar w:fldCharType="begin"/>
      </w:r>
      <w:r>
        <w:rPr>
          <w:i w:val="0"/>
          <w:iCs w:val="0"/>
          <w:sz w:val="24"/>
          <w:szCs w:val="24"/>
        </w:rPr>
        <w:instrText xml:space="preserve"> PAGEREF _Toc6165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_Toc3609 </w:instrText>
      </w:r>
      <w:r>
        <w:rPr>
          <w:i w:val="0"/>
          <w:iCs w:val="0"/>
          <w:sz w:val="24"/>
          <w:szCs w:val="24"/>
        </w:rPr>
        <w:fldChar w:fldCharType="separate"/>
      </w:r>
      <w:r>
        <w:rPr>
          <w:rFonts w:hint="eastAsia"/>
          <w:i w:val="0"/>
          <w:iCs w:val="0"/>
          <w:sz w:val="24"/>
          <w:szCs w:val="24"/>
        </w:rPr>
        <w:t>3.5 重点监管的危险化学品辨识结果</w:t>
      </w:r>
      <w:r>
        <w:rPr>
          <w:i w:val="0"/>
          <w:iCs w:val="0"/>
          <w:sz w:val="24"/>
          <w:szCs w:val="24"/>
        </w:rPr>
        <w:tab/>
      </w:r>
      <w:r>
        <w:rPr>
          <w:i w:val="0"/>
          <w:iCs w:val="0"/>
          <w:sz w:val="24"/>
          <w:szCs w:val="24"/>
        </w:rPr>
        <w:fldChar w:fldCharType="begin"/>
      </w:r>
      <w:r>
        <w:rPr>
          <w:i w:val="0"/>
          <w:iCs w:val="0"/>
          <w:sz w:val="24"/>
          <w:szCs w:val="24"/>
        </w:rPr>
        <w:instrText xml:space="preserve"> PAGEREF _Toc3609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_Toc85 </w:instrText>
      </w:r>
      <w:r>
        <w:rPr>
          <w:i w:val="0"/>
          <w:iCs w:val="0"/>
          <w:sz w:val="24"/>
          <w:szCs w:val="24"/>
        </w:rPr>
        <w:fldChar w:fldCharType="separate"/>
      </w:r>
      <w:r>
        <w:rPr>
          <w:rFonts w:hint="eastAsia"/>
          <w:i w:val="0"/>
          <w:iCs w:val="0"/>
          <w:sz w:val="24"/>
          <w:szCs w:val="24"/>
        </w:rPr>
        <w:t>3.6 重点监管的危险化工工艺辨识结果</w:t>
      </w:r>
      <w:r>
        <w:rPr>
          <w:i w:val="0"/>
          <w:iCs w:val="0"/>
          <w:sz w:val="24"/>
          <w:szCs w:val="24"/>
        </w:rPr>
        <w:tab/>
      </w:r>
      <w:r>
        <w:rPr>
          <w:i w:val="0"/>
          <w:iCs w:val="0"/>
          <w:sz w:val="24"/>
          <w:szCs w:val="24"/>
        </w:rPr>
        <w:fldChar w:fldCharType="begin"/>
      </w:r>
      <w:r>
        <w:rPr>
          <w:i w:val="0"/>
          <w:iCs w:val="0"/>
          <w:sz w:val="24"/>
          <w:szCs w:val="24"/>
        </w:rPr>
        <w:instrText xml:space="preserve"> PAGEREF _Toc85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_Toc23674 </w:instrText>
      </w:r>
      <w:r>
        <w:rPr>
          <w:i w:val="0"/>
          <w:iCs w:val="0"/>
          <w:sz w:val="24"/>
          <w:szCs w:val="24"/>
        </w:rPr>
        <w:fldChar w:fldCharType="separate"/>
      </w:r>
      <w:r>
        <w:rPr>
          <w:rFonts w:hint="eastAsia"/>
          <w:i w:val="0"/>
          <w:iCs w:val="0"/>
          <w:sz w:val="24"/>
          <w:szCs w:val="24"/>
        </w:rPr>
        <w:t>3.7 高毒物品辨识结果</w:t>
      </w:r>
      <w:r>
        <w:rPr>
          <w:i w:val="0"/>
          <w:iCs w:val="0"/>
          <w:sz w:val="24"/>
          <w:szCs w:val="24"/>
        </w:rPr>
        <w:tab/>
      </w:r>
      <w:r>
        <w:rPr>
          <w:i w:val="0"/>
          <w:iCs w:val="0"/>
          <w:sz w:val="24"/>
          <w:szCs w:val="24"/>
        </w:rPr>
        <w:fldChar w:fldCharType="begin"/>
      </w:r>
      <w:r>
        <w:rPr>
          <w:i w:val="0"/>
          <w:iCs w:val="0"/>
          <w:sz w:val="24"/>
          <w:szCs w:val="24"/>
        </w:rPr>
        <w:instrText xml:space="preserve"> PAGEREF _Toc23674 \h </w:instrText>
      </w:r>
      <w:r>
        <w:rPr>
          <w:i w:val="0"/>
          <w:iCs w:val="0"/>
          <w:sz w:val="24"/>
          <w:szCs w:val="24"/>
        </w:rPr>
        <w:fldChar w:fldCharType="separate"/>
      </w:r>
      <w:r>
        <w:rPr>
          <w:i w:val="0"/>
          <w:iCs w:val="0"/>
          <w:sz w:val="24"/>
          <w:szCs w:val="24"/>
        </w:rPr>
        <w:t>27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_Toc24692 </w:instrText>
      </w:r>
      <w:r>
        <w:rPr>
          <w:i w:val="0"/>
          <w:iCs w:val="0"/>
          <w:sz w:val="24"/>
          <w:szCs w:val="24"/>
        </w:rPr>
        <w:fldChar w:fldCharType="separate"/>
      </w:r>
      <w:r>
        <w:rPr>
          <w:rFonts w:hint="eastAsia" w:ascii="宋体" w:hAnsi="宋体"/>
          <w:bCs/>
          <w:i w:val="0"/>
          <w:iCs w:val="0"/>
          <w:sz w:val="24"/>
          <w:szCs w:val="24"/>
        </w:rPr>
        <w:t>3.8特别管控危险化学品</w:t>
      </w:r>
      <w:r>
        <w:rPr>
          <w:rFonts w:hint="eastAsia"/>
          <w:bCs/>
          <w:i w:val="0"/>
          <w:iCs w:val="0"/>
          <w:sz w:val="24"/>
          <w:szCs w:val="24"/>
        </w:rPr>
        <w:t>辨识结果</w:t>
      </w:r>
      <w:r>
        <w:rPr>
          <w:i w:val="0"/>
          <w:iCs w:val="0"/>
          <w:sz w:val="24"/>
          <w:szCs w:val="24"/>
        </w:rPr>
        <w:tab/>
      </w:r>
      <w:r>
        <w:rPr>
          <w:i w:val="0"/>
          <w:iCs w:val="0"/>
          <w:sz w:val="24"/>
          <w:szCs w:val="24"/>
        </w:rPr>
        <w:fldChar w:fldCharType="begin"/>
      </w:r>
      <w:r>
        <w:rPr>
          <w:i w:val="0"/>
          <w:iCs w:val="0"/>
          <w:sz w:val="24"/>
          <w:szCs w:val="24"/>
        </w:rPr>
        <w:instrText xml:space="preserve"> PAGEREF _Toc24692 \h </w:instrText>
      </w:r>
      <w:r>
        <w:rPr>
          <w:i w:val="0"/>
          <w:iCs w:val="0"/>
          <w:sz w:val="24"/>
          <w:szCs w:val="24"/>
        </w:rPr>
        <w:fldChar w:fldCharType="separate"/>
      </w:r>
      <w:r>
        <w:rPr>
          <w:i w:val="0"/>
          <w:iCs w:val="0"/>
          <w:sz w:val="24"/>
          <w:szCs w:val="24"/>
        </w:rPr>
        <w:t>28</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_Toc14456 </w:instrText>
      </w:r>
      <w:r>
        <w:rPr>
          <w:i w:val="0"/>
          <w:iCs w:val="0"/>
          <w:sz w:val="24"/>
          <w:szCs w:val="24"/>
        </w:rPr>
        <w:fldChar w:fldCharType="separate"/>
      </w:r>
      <w:r>
        <w:rPr>
          <w:rFonts w:hint="eastAsia" w:ascii="宋体" w:hAnsi="宋体" w:eastAsia="宋体" w:cs="宋体"/>
          <w:bCs w:val="0"/>
          <w:i w:val="0"/>
          <w:iCs w:val="0"/>
          <w:sz w:val="24"/>
          <w:szCs w:val="24"/>
        </w:rPr>
        <w:t>4  安全评价单元的划分和评价方法选择</w:t>
      </w:r>
      <w:r>
        <w:rPr>
          <w:i w:val="0"/>
          <w:iCs w:val="0"/>
          <w:sz w:val="24"/>
          <w:szCs w:val="24"/>
        </w:rPr>
        <w:tab/>
      </w:r>
      <w:r>
        <w:rPr>
          <w:i w:val="0"/>
          <w:iCs w:val="0"/>
          <w:sz w:val="24"/>
          <w:szCs w:val="24"/>
        </w:rPr>
        <w:fldChar w:fldCharType="begin"/>
      </w:r>
      <w:r>
        <w:rPr>
          <w:i w:val="0"/>
          <w:iCs w:val="0"/>
          <w:sz w:val="24"/>
          <w:szCs w:val="24"/>
        </w:rPr>
        <w:instrText xml:space="preserve"> PAGEREF _Toc14456 \h </w:instrText>
      </w:r>
      <w:r>
        <w:rPr>
          <w:i w:val="0"/>
          <w:iCs w:val="0"/>
          <w:sz w:val="24"/>
          <w:szCs w:val="24"/>
        </w:rPr>
        <w:fldChar w:fldCharType="separate"/>
      </w:r>
      <w:r>
        <w:rPr>
          <w:i w:val="0"/>
          <w:iCs w:val="0"/>
          <w:sz w:val="24"/>
          <w:szCs w:val="24"/>
        </w:rPr>
        <w:t>29</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_Toc15617 </w:instrText>
      </w:r>
      <w:r>
        <w:rPr>
          <w:i w:val="0"/>
          <w:iCs w:val="0"/>
          <w:sz w:val="24"/>
          <w:szCs w:val="24"/>
        </w:rPr>
        <w:fldChar w:fldCharType="separate"/>
      </w:r>
      <w:r>
        <w:rPr>
          <w:rFonts w:hint="eastAsia"/>
          <w:i w:val="0"/>
          <w:iCs w:val="0"/>
          <w:sz w:val="24"/>
          <w:szCs w:val="24"/>
        </w:rPr>
        <w:t>4.1 安全评价单元划分</w:t>
      </w:r>
      <w:r>
        <w:rPr>
          <w:i w:val="0"/>
          <w:iCs w:val="0"/>
          <w:sz w:val="24"/>
          <w:szCs w:val="24"/>
        </w:rPr>
        <w:tab/>
      </w:r>
      <w:r>
        <w:rPr>
          <w:i w:val="0"/>
          <w:iCs w:val="0"/>
          <w:sz w:val="24"/>
          <w:szCs w:val="24"/>
        </w:rPr>
        <w:fldChar w:fldCharType="begin"/>
      </w:r>
      <w:r>
        <w:rPr>
          <w:i w:val="0"/>
          <w:iCs w:val="0"/>
          <w:sz w:val="24"/>
          <w:szCs w:val="24"/>
        </w:rPr>
        <w:instrText xml:space="preserve"> PAGEREF _Toc15617 \h </w:instrText>
      </w:r>
      <w:r>
        <w:rPr>
          <w:i w:val="0"/>
          <w:iCs w:val="0"/>
          <w:sz w:val="24"/>
          <w:szCs w:val="24"/>
        </w:rPr>
        <w:fldChar w:fldCharType="separate"/>
      </w:r>
      <w:r>
        <w:rPr>
          <w:i w:val="0"/>
          <w:iCs w:val="0"/>
          <w:sz w:val="24"/>
          <w:szCs w:val="24"/>
        </w:rPr>
        <w:t>29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_Toc8278 </w:instrText>
      </w:r>
      <w:r>
        <w:rPr>
          <w:i w:val="0"/>
          <w:iCs w:val="0"/>
          <w:sz w:val="24"/>
          <w:szCs w:val="24"/>
        </w:rPr>
        <w:fldChar w:fldCharType="separate"/>
      </w:r>
      <w:r>
        <w:rPr>
          <w:rFonts w:hint="eastAsia"/>
          <w:i w:val="0"/>
          <w:iCs w:val="0"/>
          <w:sz w:val="24"/>
          <w:szCs w:val="24"/>
        </w:rPr>
        <w:t>4.1.1 评价单元划分原则</w:t>
      </w:r>
      <w:r>
        <w:rPr>
          <w:i w:val="0"/>
          <w:iCs w:val="0"/>
          <w:sz w:val="24"/>
          <w:szCs w:val="24"/>
        </w:rPr>
        <w:tab/>
      </w:r>
      <w:r>
        <w:rPr>
          <w:i w:val="0"/>
          <w:iCs w:val="0"/>
          <w:sz w:val="24"/>
          <w:szCs w:val="24"/>
        </w:rPr>
        <w:fldChar w:fldCharType="begin"/>
      </w:r>
      <w:r>
        <w:rPr>
          <w:i w:val="0"/>
          <w:iCs w:val="0"/>
          <w:sz w:val="24"/>
          <w:szCs w:val="24"/>
        </w:rPr>
        <w:instrText xml:space="preserve"> PAGEREF _Toc8278 \h </w:instrText>
      </w:r>
      <w:r>
        <w:rPr>
          <w:i w:val="0"/>
          <w:iCs w:val="0"/>
          <w:sz w:val="24"/>
          <w:szCs w:val="24"/>
        </w:rPr>
        <w:fldChar w:fldCharType="separate"/>
      </w:r>
      <w:r>
        <w:rPr>
          <w:i w:val="0"/>
          <w:iCs w:val="0"/>
          <w:sz w:val="24"/>
          <w:szCs w:val="24"/>
        </w:rPr>
        <w:t>29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_Toc8061 </w:instrText>
      </w:r>
      <w:r>
        <w:rPr>
          <w:i w:val="0"/>
          <w:iCs w:val="0"/>
          <w:sz w:val="24"/>
          <w:szCs w:val="24"/>
        </w:rPr>
        <w:fldChar w:fldCharType="separate"/>
      </w:r>
      <w:r>
        <w:rPr>
          <w:rFonts w:hint="eastAsia"/>
          <w:i w:val="0"/>
          <w:iCs w:val="0"/>
          <w:sz w:val="24"/>
          <w:szCs w:val="24"/>
        </w:rPr>
        <w:t>4.1.2 评价单元划分方法</w:t>
      </w:r>
      <w:r>
        <w:rPr>
          <w:i w:val="0"/>
          <w:iCs w:val="0"/>
          <w:sz w:val="24"/>
          <w:szCs w:val="24"/>
        </w:rPr>
        <w:tab/>
      </w:r>
      <w:r>
        <w:rPr>
          <w:i w:val="0"/>
          <w:iCs w:val="0"/>
          <w:sz w:val="24"/>
          <w:szCs w:val="24"/>
        </w:rPr>
        <w:fldChar w:fldCharType="begin"/>
      </w:r>
      <w:r>
        <w:rPr>
          <w:i w:val="0"/>
          <w:iCs w:val="0"/>
          <w:sz w:val="24"/>
          <w:szCs w:val="24"/>
        </w:rPr>
        <w:instrText xml:space="preserve"> PAGEREF _Toc8061 \h </w:instrText>
      </w:r>
      <w:r>
        <w:rPr>
          <w:i w:val="0"/>
          <w:iCs w:val="0"/>
          <w:sz w:val="24"/>
          <w:szCs w:val="24"/>
        </w:rPr>
        <w:fldChar w:fldCharType="separate"/>
      </w:r>
      <w:r>
        <w:rPr>
          <w:i w:val="0"/>
          <w:iCs w:val="0"/>
          <w:sz w:val="24"/>
          <w:szCs w:val="24"/>
        </w:rPr>
        <w:t>29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_Toc29382 </w:instrText>
      </w:r>
      <w:r>
        <w:rPr>
          <w:i w:val="0"/>
          <w:iCs w:val="0"/>
          <w:sz w:val="24"/>
          <w:szCs w:val="24"/>
        </w:rPr>
        <w:fldChar w:fldCharType="separate"/>
      </w:r>
      <w:r>
        <w:rPr>
          <w:rFonts w:hint="eastAsia"/>
          <w:i w:val="0"/>
          <w:iCs w:val="0"/>
          <w:sz w:val="24"/>
          <w:szCs w:val="24"/>
        </w:rPr>
        <w:t>4.1.3 评价单元的划分</w:t>
      </w:r>
      <w:r>
        <w:rPr>
          <w:i w:val="0"/>
          <w:iCs w:val="0"/>
          <w:sz w:val="24"/>
          <w:szCs w:val="24"/>
        </w:rPr>
        <w:tab/>
      </w:r>
      <w:r>
        <w:rPr>
          <w:i w:val="0"/>
          <w:iCs w:val="0"/>
          <w:sz w:val="24"/>
          <w:szCs w:val="24"/>
        </w:rPr>
        <w:fldChar w:fldCharType="begin"/>
      </w:r>
      <w:r>
        <w:rPr>
          <w:i w:val="0"/>
          <w:iCs w:val="0"/>
          <w:sz w:val="24"/>
          <w:szCs w:val="24"/>
        </w:rPr>
        <w:instrText xml:space="preserve"> PAGEREF _Toc29382 \h </w:instrText>
      </w:r>
      <w:r>
        <w:rPr>
          <w:i w:val="0"/>
          <w:iCs w:val="0"/>
          <w:sz w:val="24"/>
          <w:szCs w:val="24"/>
        </w:rPr>
        <w:fldChar w:fldCharType="separate"/>
      </w:r>
      <w:r>
        <w:rPr>
          <w:i w:val="0"/>
          <w:iCs w:val="0"/>
          <w:sz w:val="24"/>
          <w:szCs w:val="24"/>
        </w:rPr>
        <w:t>30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_Toc25114 </w:instrText>
      </w:r>
      <w:r>
        <w:rPr>
          <w:i w:val="0"/>
          <w:iCs w:val="0"/>
          <w:sz w:val="24"/>
          <w:szCs w:val="24"/>
        </w:rPr>
        <w:fldChar w:fldCharType="separate"/>
      </w:r>
      <w:r>
        <w:rPr>
          <w:rFonts w:hint="eastAsia"/>
          <w:i w:val="0"/>
          <w:iCs w:val="0"/>
          <w:sz w:val="24"/>
          <w:szCs w:val="24"/>
        </w:rPr>
        <w:t>4.2 评价方法的选择</w:t>
      </w:r>
      <w:r>
        <w:rPr>
          <w:i w:val="0"/>
          <w:iCs w:val="0"/>
          <w:sz w:val="24"/>
          <w:szCs w:val="24"/>
        </w:rPr>
        <w:tab/>
      </w:r>
      <w:r>
        <w:rPr>
          <w:i w:val="0"/>
          <w:iCs w:val="0"/>
          <w:sz w:val="24"/>
          <w:szCs w:val="24"/>
        </w:rPr>
        <w:fldChar w:fldCharType="begin"/>
      </w:r>
      <w:r>
        <w:rPr>
          <w:i w:val="0"/>
          <w:iCs w:val="0"/>
          <w:sz w:val="24"/>
          <w:szCs w:val="24"/>
        </w:rPr>
        <w:instrText xml:space="preserve"> PAGEREF _Toc25114 \h </w:instrText>
      </w:r>
      <w:r>
        <w:rPr>
          <w:i w:val="0"/>
          <w:iCs w:val="0"/>
          <w:sz w:val="24"/>
          <w:szCs w:val="24"/>
        </w:rPr>
        <w:fldChar w:fldCharType="separate"/>
      </w:r>
      <w:r>
        <w:rPr>
          <w:i w:val="0"/>
          <w:iCs w:val="0"/>
          <w:sz w:val="24"/>
          <w:szCs w:val="24"/>
        </w:rPr>
        <w:t>30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_Toc1600 </w:instrText>
      </w:r>
      <w:r>
        <w:rPr>
          <w:i w:val="0"/>
          <w:iCs w:val="0"/>
          <w:sz w:val="24"/>
          <w:szCs w:val="24"/>
        </w:rPr>
        <w:fldChar w:fldCharType="separate"/>
      </w:r>
      <w:r>
        <w:rPr>
          <w:rFonts w:hint="eastAsia"/>
          <w:i w:val="0"/>
          <w:iCs w:val="0"/>
          <w:sz w:val="24"/>
          <w:szCs w:val="24"/>
        </w:rPr>
        <w:t>4.3 评价方法简介</w:t>
      </w:r>
      <w:r>
        <w:rPr>
          <w:i w:val="0"/>
          <w:iCs w:val="0"/>
          <w:sz w:val="24"/>
          <w:szCs w:val="24"/>
        </w:rPr>
        <w:tab/>
      </w:r>
      <w:r>
        <w:rPr>
          <w:i w:val="0"/>
          <w:iCs w:val="0"/>
          <w:sz w:val="24"/>
          <w:szCs w:val="24"/>
        </w:rPr>
        <w:fldChar w:fldCharType="begin"/>
      </w:r>
      <w:r>
        <w:rPr>
          <w:i w:val="0"/>
          <w:iCs w:val="0"/>
          <w:sz w:val="24"/>
          <w:szCs w:val="24"/>
        </w:rPr>
        <w:instrText xml:space="preserve"> PAGEREF _Toc1600 \h </w:instrText>
      </w:r>
      <w:r>
        <w:rPr>
          <w:i w:val="0"/>
          <w:iCs w:val="0"/>
          <w:sz w:val="24"/>
          <w:szCs w:val="24"/>
        </w:rPr>
        <w:fldChar w:fldCharType="separate"/>
      </w:r>
      <w:r>
        <w:rPr>
          <w:i w:val="0"/>
          <w:iCs w:val="0"/>
          <w:sz w:val="24"/>
          <w:szCs w:val="24"/>
        </w:rPr>
        <w:t>31</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_Toc31324 </w:instrText>
      </w:r>
      <w:r>
        <w:rPr>
          <w:i w:val="0"/>
          <w:iCs w:val="0"/>
          <w:sz w:val="24"/>
          <w:szCs w:val="24"/>
        </w:rPr>
        <w:fldChar w:fldCharType="separate"/>
      </w:r>
      <w:r>
        <w:rPr>
          <w:rFonts w:hint="eastAsia" w:ascii="宋体" w:hAnsi="宋体" w:eastAsia="宋体" w:cs="宋体"/>
          <w:bCs w:val="0"/>
          <w:i w:val="0"/>
          <w:iCs w:val="0"/>
          <w:sz w:val="24"/>
          <w:szCs w:val="24"/>
        </w:rPr>
        <w:t xml:space="preserve">5  </w:t>
      </w:r>
      <w:r>
        <w:rPr>
          <w:rFonts w:hint="eastAsia" w:ascii="宋体" w:hAnsi="宋体" w:eastAsia="宋体"/>
          <w:bCs w:val="0"/>
          <w:i w:val="0"/>
          <w:iCs w:val="0"/>
          <w:sz w:val="24"/>
          <w:szCs w:val="24"/>
        </w:rPr>
        <w:t>安全条件和安全生产条件分析评价结果</w:t>
      </w:r>
      <w:r>
        <w:rPr>
          <w:i w:val="0"/>
          <w:iCs w:val="0"/>
          <w:sz w:val="24"/>
          <w:szCs w:val="24"/>
        </w:rPr>
        <w:tab/>
      </w:r>
      <w:r>
        <w:rPr>
          <w:i w:val="0"/>
          <w:iCs w:val="0"/>
          <w:sz w:val="24"/>
          <w:szCs w:val="24"/>
        </w:rPr>
        <w:fldChar w:fldCharType="begin"/>
      </w:r>
      <w:r>
        <w:rPr>
          <w:i w:val="0"/>
          <w:iCs w:val="0"/>
          <w:sz w:val="24"/>
          <w:szCs w:val="24"/>
        </w:rPr>
        <w:instrText xml:space="preserve"> PAGEREF _Toc31324 \h </w:instrText>
      </w:r>
      <w:r>
        <w:rPr>
          <w:i w:val="0"/>
          <w:iCs w:val="0"/>
          <w:sz w:val="24"/>
          <w:szCs w:val="24"/>
        </w:rPr>
        <w:fldChar w:fldCharType="separate"/>
      </w:r>
      <w:r>
        <w:rPr>
          <w:i w:val="0"/>
          <w:iCs w:val="0"/>
          <w:sz w:val="24"/>
          <w:szCs w:val="24"/>
        </w:rPr>
        <w:t>32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_Toc6033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1</w:t>
      </w:r>
      <w:r>
        <w:rPr>
          <w:rFonts w:hint="eastAsia"/>
          <w:i w:val="0"/>
          <w:iCs w:val="0"/>
          <w:sz w:val="24"/>
          <w:szCs w:val="24"/>
        </w:rPr>
        <w:t xml:space="preserve"> 厂址及总平面布置单元评价结果</w:t>
      </w:r>
      <w:r>
        <w:rPr>
          <w:i w:val="0"/>
          <w:iCs w:val="0"/>
          <w:sz w:val="24"/>
          <w:szCs w:val="24"/>
        </w:rPr>
        <w:tab/>
      </w:r>
      <w:r>
        <w:rPr>
          <w:i w:val="0"/>
          <w:iCs w:val="0"/>
          <w:sz w:val="24"/>
          <w:szCs w:val="24"/>
        </w:rPr>
        <w:fldChar w:fldCharType="begin"/>
      </w:r>
      <w:r>
        <w:rPr>
          <w:i w:val="0"/>
          <w:iCs w:val="0"/>
          <w:sz w:val="24"/>
          <w:szCs w:val="24"/>
        </w:rPr>
        <w:instrText xml:space="preserve"> PAGEREF _Toc6033 \h </w:instrText>
      </w:r>
      <w:r>
        <w:rPr>
          <w:i w:val="0"/>
          <w:iCs w:val="0"/>
          <w:sz w:val="24"/>
          <w:szCs w:val="24"/>
        </w:rPr>
        <w:fldChar w:fldCharType="separate"/>
      </w:r>
      <w:r>
        <w:rPr>
          <w:i w:val="0"/>
          <w:iCs w:val="0"/>
          <w:sz w:val="24"/>
          <w:szCs w:val="24"/>
        </w:rPr>
        <w:t>32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_Toc16838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2</w:t>
      </w:r>
      <w:r>
        <w:rPr>
          <w:rFonts w:hint="eastAsia"/>
          <w:i w:val="0"/>
          <w:iCs w:val="0"/>
          <w:sz w:val="24"/>
          <w:szCs w:val="24"/>
        </w:rPr>
        <w:t>生产工艺及设备设施单元评价结果</w:t>
      </w:r>
      <w:r>
        <w:rPr>
          <w:i w:val="0"/>
          <w:iCs w:val="0"/>
          <w:sz w:val="24"/>
          <w:szCs w:val="24"/>
        </w:rPr>
        <w:tab/>
      </w:r>
      <w:r>
        <w:rPr>
          <w:i w:val="0"/>
          <w:iCs w:val="0"/>
          <w:sz w:val="24"/>
          <w:szCs w:val="24"/>
        </w:rPr>
        <w:fldChar w:fldCharType="begin"/>
      </w:r>
      <w:r>
        <w:rPr>
          <w:i w:val="0"/>
          <w:iCs w:val="0"/>
          <w:sz w:val="24"/>
          <w:szCs w:val="24"/>
        </w:rPr>
        <w:instrText xml:space="preserve"> PAGEREF _Toc16838 \h </w:instrText>
      </w:r>
      <w:r>
        <w:rPr>
          <w:i w:val="0"/>
          <w:iCs w:val="0"/>
          <w:sz w:val="24"/>
          <w:szCs w:val="24"/>
        </w:rPr>
        <w:fldChar w:fldCharType="separate"/>
      </w:r>
      <w:r>
        <w:rPr>
          <w:i w:val="0"/>
          <w:iCs w:val="0"/>
          <w:sz w:val="24"/>
          <w:szCs w:val="24"/>
        </w:rPr>
        <w:t>32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_Toc12889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3</w:t>
      </w:r>
      <w:r>
        <w:rPr>
          <w:rFonts w:hint="eastAsia"/>
          <w:i w:val="0"/>
          <w:iCs w:val="0"/>
          <w:sz w:val="24"/>
          <w:szCs w:val="24"/>
        </w:rPr>
        <w:t>公用工程及辅助设施单元评价</w:t>
      </w:r>
      <w:r>
        <w:rPr>
          <w:i w:val="0"/>
          <w:iCs w:val="0"/>
          <w:sz w:val="24"/>
          <w:szCs w:val="24"/>
        </w:rPr>
        <w:tab/>
      </w:r>
      <w:r>
        <w:rPr>
          <w:i w:val="0"/>
          <w:iCs w:val="0"/>
          <w:sz w:val="24"/>
          <w:szCs w:val="24"/>
        </w:rPr>
        <w:fldChar w:fldCharType="begin"/>
      </w:r>
      <w:r>
        <w:rPr>
          <w:i w:val="0"/>
          <w:iCs w:val="0"/>
          <w:sz w:val="24"/>
          <w:szCs w:val="24"/>
        </w:rPr>
        <w:instrText xml:space="preserve"> PAGEREF _Toc12889 \h </w:instrText>
      </w:r>
      <w:r>
        <w:rPr>
          <w:i w:val="0"/>
          <w:iCs w:val="0"/>
          <w:sz w:val="24"/>
          <w:szCs w:val="24"/>
        </w:rPr>
        <w:fldChar w:fldCharType="separate"/>
      </w:r>
      <w:r>
        <w:rPr>
          <w:i w:val="0"/>
          <w:iCs w:val="0"/>
          <w:sz w:val="24"/>
          <w:szCs w:val="24"/>
        </w:rPr>
        <w:t>33</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_Toc29952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4</w:t>
      </w:r>
      <w:r>
        <w:rPr>
          <w:rFonts w:hint="eastAsia"/>
          <w:i w:val="0"/>
          <w:iCs w:val="0"/>
          <w:sz w:val="24"/>
          <w:szCs w:val="24"/>
        </w:rPr>
        <w:t xml:space="preserve"> 安全管理及应急救援单元评价结果</w:t>
      </w:r>
      <w:r>
        <w:rPr>
          <w:i w:val="0"/>
          <w:iCs w:val="0"/>
          <w:sz w:val="24"/>
          <w:szCs w:val="24"/>
        </w:rPr>
        <w:tab/>
      </w:r>
      <w:r>
        <w:rPr>
          <w:i w:val="0"/>
          <w:iCs w:val="0"/>
          <w:sz w:val="24"/>
          <w:szCs w:val="24"/>
        </w:rPr>
        <w:fldChar w:fldCharType="begin"/>
      </w:r>
      <w:r>
        <w:rPr>
          <w:i w:val="0"/>
          <w:iCs w:val="0"/>
          <w:sz w:val="24"/>
          <w:szCs w:val="24"/>
        </w:rPr>
        <w:instrText xml:space="preserve"> PAGEREF _Toc29952 \h </w:instrText>
      </w:r>
      <w:r>
        <w:rPr>
          <w:i w:val="0"/>
          <w:iCs w:val="0"/>
          <w:sz w:val="24"/>
          <w:szCs w:val="24"/>
        </w:rPr>
        <w:fldChar w:fldCharType="separate"/>
      </w:r>
      <w:r>
        <w:rPr>
          <w:i w:val="0"/>
          <w:iCs w:val="0"/>
          <w:sz w:val="24"/>
          <w:szCs w:val="24"/>
        </w:rPr>
        <w:t>33</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_Toc2584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5</w:t>
      </w:r>
      <w:r>
        <w:rPr>
          <w:rFonts w:hint="eastAsia"/>
          <w:i w:val="0"/>
          <w:iCs w:val="0"/>
          <w:sz w:val="24"/>
          <w:szCs w:val="24"/>
        </w:rPr>
        <w:t xml:space="preserve"> 重大安全隐患判定符合性分析结果</w:t>
      </w:r>
      <w:r>
        <w:rPr>
          <w:i w:val="0"/>
          <w:iCs w:val="0"/>
          <w:sz w:val="24"/>
          <w:szCs w:val="24"/>
        </w:rPr>
        <w:tab/>
      </w:r>
      <w:r>
        <w:rPr>
          <w:i w:val="0"/>
          <w:iCs w:val="0"/>
          <w:sz w:val="24"/>
          <w:szCs w:val="24"/>
        </w:rPr>
        <w:fldChar w:fldCharType="begin"/>
      </w:r>
      <w:r>
        <w:rPr>
          <w:i w:val="0"/>
          <w:iCs w:val="0"/>
          <w:sz w:val="24"/>
          <w:szCs w:val="24"/>
        </w:rPr>
        <w:instrText xml:space="preserve"> PAGEREF _Toc2584 \h </w:instrText>
      </w:r>
      <w:r>
        <w:rPr>
          <w:i w:val="0"/>
          <w:iCs w:val="0"/>
          <w:sz w:val="24"/>
          <w:szCs w:val="24"/>
        </w:rPr>
        <w:fldChar w:fldCharType="separate"/>
      </w:r>
      <w:r>
        <w:rPr>
          <w:i w:val="0"/>
          <w:iCs w:val="0"/>
          <w:sz w:val="24"/>
          <w:szCs w:val="24"/>
        </w:rPr>
        <w:t>34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_Toc12530 </w:instrText>
      </w:r>
      <w:r>
        <w:rPr>
          <w:i w:val="0"/>
          <w:iCs w:val="0"/>
          <w:sz w:val="24"/>
          <w:szCs w:val="24"/>
        </w:rPr>
        <w:fldChar w:fldCharType="separate"/>
      </w:r>
      <w:r>
        <w:rPr>
          <w:rFonts w:hint="eastAsia"/>
          <w:i w:val="0"/>
          <w:iCs w:val="0"/>
          <w:sz w:val="24"/>
          <w:szCs w:val="24"/>
        </w:rPr>
        <w:t>5.</w:t>
      </w:r>
      <w:r>
        <w:rPr>
          <w:rFonts w:hint="eastAsia"/>
          <w:i w:val="0"/>
          <w:iCs w:val="0"/>
          <w:sz w:val="24"/>
          <w:szCs w:val="24"/>
          <w:lang w:val="en-US" w:eastAsia="zh-CN"/>
        </w:rPr>
        <w:t>6</w:t>
      </w:r>
      <w:r>
        <w:rPr>
          <w:rFonts w:hint="eastAsia"/>
          <w:i w:val="0"/>
          <w:iCs w:val="0"/>
          <w:sz w:val="24"/>
          <w:szCs w:val="24"/>
        </w:rPr>
        <w:t>危险化学品生产单位申请换证条件单元评价结果</w:t>
      </w:r>
      <w:r>
        <w:rPr>
          <w:i w:val="0"/>
          <w:iCs w:val="0"/>
          <w:sz w:val="24"/>
          <w:szCs w:val="24"/>
        </w:rPr>
        <w:tab/>
      </w:r>
      <w:r>
        <w:rPr>
          <w:i w:val="0"/>
          <w:iCs w:val="0"/>
          <w:sz w:val="24"/>
          <w:szCs w:val="24"/>
        </w:rPr>
        <w:fldChar w:fldCharType="begin"/>
      </w:r>
      <w:r>
        <w:rPr>
          <w:i w:val="0"/>
          <w:iCs w:val="0"/>
          <w:sz w:val="24"/>
          <w:szCs w:val="24"/>
        </w:rPr>
        <w:instrText xml:space="preserve"> PAGEREF _Toc12530 \h </w:instrText>
      </w:r>
      <w:r>
        <w:rPr>
          <w:i w:val="0"/>
          <w:iCs w:val="0"/>
          <w:sz w:val="24"/>
          <w:szCs w:val="24"/>
        </w:rPr>
        <w:fldChar w:fldCharType="separate"/>
      </w:r>
      <w:r>
        <w:rPr>
          <w:i w:val="0"/>
          <w:iCs w:val="0"/>
          <w:sz w:val="24"/>
          <w:szCs w:val="24"/>
        </w:rPr>
        <w:t>34</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_Toc29636 </w:instrText>
      </w:r>
      <w:r>
        <w:rPr>
          <w:i w:val="0"/>
          <w:iCs w:val="0"/>
          <w:sz w:val="24"/>
          <w:szCs w:val="24"/>
        </w:rPr>
        <w:fldChar w:fldCharType="separate"/>
      </w:r>
      <w:r>
        <w:rPr>
          <w:rFonts w:hint="eastAsia" w:ascii="宋体" w:hAnsi="宋体" w:eastAsia="宋体" w:cs="宋体"/>
          <w:bCs w:val="0"/>
          <w:i w:val="0"/>
          <w:iCs w:val="0"/>
          <w:sz w:val="24"/>
          <w:szCs w:val="24"/>
        </w:rPr>
        <w:t>6  可能发生事故后果预测结果</w:t>
      </w:r>
      <w:r>
        <w:rPr>
          <w:i w:val="0"/>
          <w:iCs w:val="0"/>
          <w:sz w:val="24"/>
          <w:szCs w:val="24"/>
        </w:rPr>
        <w:tab/>
      </w:r>
      <w:r>
        <w:rPr>
          <w:i w:val="0"/>
          <w:iCs w:val="0"/>
          <w:sz w:val="24"/>
          <w:szCs w:val="24"/>
        </w:rPr>
        <w:fldChar w:fldCharType="begin"/>
      </w:r>
      <w:r>
        <w:rPr>
          <w:i w:val="0"/>
          <w:iCs w:val="0"/>
          <w:sz w:val="24"/>
          <w:szCs w:val="24"/>
        </w:rPr>
        <w:instrText xml:space="preserve"> PAGEREF _Toc29636 \h </w:instrText>
      </w:r>
      <w:r>
        <w:rPr>
          <w:i w:val="0"/>
          <w:iCs w:val="0"/>
          <w:sz w:val="24"/>
          <w:szCs w:val="24"/>
        </w:rPr>
        <w:fldChar w:fldCharType="separate"/>
      </w:r>
      <w:r>
        <w:rPr>
          <w:i w:val="0"/>
          <w:iCs w:val="0"/>
          <w:sz w:val="24"/>
          <w:szCs w:val="24"/>
        </w:rPr>
        <w:t>35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_Toc16732 </w:instrText>
      </w:r>
      <w:r>
        <w:rPr>
          <w:i w:val="0"/>
          <w:iCs w:val="0"/>
          <w:sz w:val="24"/>
          <w:szCs w:val="24"/>
        </w:rPr>
        <w:fldChar w:fldCharType="separate"/>
      </w:r>
      <w:r>
        <w:rPr>
          <w:rFonts w:hint="eastAsia"/>
          <w:i w:val="0"/>
          <w:iCs w:val="0"/>
          <w:sz w:val="24"/>
          <w:szCs w:val="24"/>
        </w:rPr>
        <w:t xml:space="preserve">6.1 </w:t>
      </w:r>
      <w:r>
        <w:rPr>
          <w:i w:val="0"/>
          <w:iCs w:val="0"/>
          <w:sz w:val="24"/>
          <w:szCs w:val="24"/>
        </w:rPr>
        <w:t>可能发生的重大事故</w:t>
      </w:r>
      <w:r>
        <w:rPr>
          <w:i w:val="0"/>
          <w:iCs w:val="0"/>
          <w:sz w:val="24"/>
          <w:szCs w:val="24"/>
        </w:rPr>
        <w:tab/>
      </w:r>
      <w:r>
        <w:rPr>
          <w:i w:val="0"/>
          <w:iCs w:val="0"/>
          <w:sz w:val="24"/>
          <w:szCs w:val="24"/>
        </w:rPr>
        <w:fldChar w:fldCharType="begin"/>
      </w:r>
      <w:r>
        <w:rPr>
          <w:i w:val="0"/>
          <w:iCs w:val="0"/>
          <w:sz w:val="24"/>
          <w:szCs w:val="24"/>
        </w:rPr>
        <w:instrText xml:space="preserve"> PAGEREF _Toc16732 \h </w:instrText>
      </w:r>
      <w:r>
        <w:rPr>
          <w:i w:val="0"/>
          <w:iCs w:val="0"/>
          <w:sz w:val="24"/>
          <w:szCs w:val="24"/>
        </w:rPr>
        <w:fldChar w:fldCharType="separate"/>
      </w:r>
      <w:r>
        <w:rPr>
          <w:i w:val="0"/>
          <w:iCs w:val="0"/>
          <w:sz w:val="24"/>
          <w:szCs w:val="24"/>
        </w:rPr>
        <w:t>35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_Toc31449 </w:instrText>
      </w:r>
      <w:r>
        <w:rPr>
          <w:i w:val="0"/>
          <w:iCs w:val="0"/>
          <w:sz w:val="24"/>
          <w:szCs w:val="24"/>
        </w:rPr>
        <w:fldChar w:fldCharType="separate"/>
      </w:r>
      <w:r>
        <w:rPr>
          <w:rFonts w:hint="eastAsia"/>
          <w:i w:val="0"/>
          <w:iCs w:val="0"/>
          <w:sz w:val="24"/>
          <w:szCs w:val="24"/>
        </w:rPr>
        <w:t xml:space="preserve">6.2 </w:t>
      </w:r>
      <w:r>
        <w:rPr>
          <w:i w:val="0"/>
          <w:iCs w:val="0"/>
          <w:sz w:val="24"/>
          <w:szCs w:val="24"/>
        </w:rPr>
        <w:t>事故后果预测</w:t>
      </w:r>
      <w:r>
        <w:rPr>
          <w:i w:val="0"/>
          <w:iCs w:val="0"/>
          <w:sz w:val="24"/>
          <w:szCs w:val="24"/>
        </w:rPr>
        <w:tab/>
      </w:r>
      <w:r>
        <w:rPr>
          <w:i w:val="0"/>
          <w:iCs w:val="0"/>
          <w:sz w:val="24"/>
          <w:szCs w:val="24"/>
        </w:rPr>
        <w:fldChar w:fldCharType="begin"/>
      </w:r>
      <w:r>
        <w:rPr>
          <w:i w:val="0"/>
          <w:iCs w:val="0"/>
          <w:sz w:val="24"/>
          <w:szCs w:val="24"/>
        </w:rPr>
        <w:instrText xml:space="preserve"> PAGEREF _Toc31449 \h </w:instrText>
      </w:r>
      <w:r>
        <w:rPr>
          <w:i w:val="0"/>
          <w:iCs w:val="0"/>
          <w:sz w:val="24"/>
          <w:szCs w:val="24"/>
        </w:rPr>
        <w:fldChar w:fldCharType="separate"/>
      </w:r>
      <w:r>
        <w:rPr>
          <w:i w:val="0"/>
          <w:iCs w:val="0"/>
          <w:sz w:val="24"/>
          <w:szCs w:val="24"/>
        </w:rPr>
        <w:t>35</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_Toc31300 </w:instrText>
      </w:r>
      <w:r>
        <w:rPr>
          <w:i w:val="0"/>
          <w:iCs w:val="0"/>
          <w:sz w:val="24"/>
          <w:szCs w:val="24"/>
        </w:rPr>
        <w:fldChar w:fldCharType="separate"/>
      </w:r>
      <w:r>
        <w:rPr>
          <w:rFonts w:hint="eastAsia" w:ascii="宋体" w:hAnsi="宋体" w:eastAsia="宋体" w:cs="宋体"/>
          <w:bCs w:val="0"/>
          <w:i w:val="0"/>
          <w:iCs w:val="0"/>
          <w:sz w:val="24"/>
          <w:szCs w:val="24"/>
        </w:rPr>
        <w:t>7  存在问题、建议及整改情况、安全对策措施与建议和结论</w:t>
      </w:r>
      <w:r>
        <w:rPr>
          <w:i w:val="0"/>
          <w:iCs w:val="0"/>
          <w:sz w:val="24"/>
          <w:szCs w:val="24"/>
        </w:rPr>
        <w:tab/>
      </w:r>
      <w:r>
        <w:rPr>
          <w:i w:val="0"/>
          <w:iCs w:val="0"/>
          <w:sz w:val="24"/>
          <w:szCs w:val="24"/>
        </w:rPr>
        <w:fldChar w:fldCharType="begin"/>
      </w:r>
      <w:r>
        <w:rPr>
          <w:i w:val="0"/>
          <w:iCs w:val="0"/>
          <w:sz w:val="24"/>
          <w:szCs w:val="24"/>
        </w:rPr>
        <w:instrText xml:space="preserve"> PAGEREF _Toc31300 \h </w:instrText>
      </w:r>
      <w:r>
        <w:rPr>
          <w:i w:val="0"/>
          <w:iCs w:val="0"/>
          <w:sz w:val="24"/>
          <w:szCs w:val="24"/>
        </w:rPr>
        <w:fldChar w:fldCharType="separate"/>
      </w:r>
      <w:r>
        <w:rPr>
          <w:i w:val="0"/>
          <w:iCs w:val="0"/>
          <w:sz w:val="24"/>
          <w:szCs w:val="24"/>
        </w:rPr>
        <w:t>36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_Toc79 </w:instrText>
      </w:r>
      <w:r>
        <w:rPr>
          <w:i w:val="0"/>
          <w:iCs w:val="0"/>
          <w:sz w:val="24"/>
          <w:szCs w:val="24"/>
        </w:rPr>
        <w:fldChar w:fldCharType="separate"/>
      </w:r>
      <w:r>
        <w:rPr>
          <w:rFonts w:hint="eastAsia"/>
          <w:i w:val="0"/>
          <w:iCs w:val="0"/>
          <w:sz w:val="24"/>
          <w:szCs w:val="24"/>
        </w:rPr>
        <w:t>7.1 主要存在问题及整改情况说明</w:t>
      </w:r>
      <w:r>
        <w:rPr>
          <w:i w:val="0"/>
          <w:iCs w:val="0"/>
          <w:sz w:val="24"/>
          <w:szCs w:val="24"/>
        </w:rPr>
        <w:tab/>
      </w:r>
      <w:r>
        <w:rPr>
          <w:i w:val="0"/>
          <w:iCs w:val="0"/>
          <w:sz w:val="24"/>
          <w:szCs w:val="24"/>
        </w:rPr>
        <w:fldChar w:fldCharType="begin"/>
      </w:r>
      <w:r>
        <w:rPr>
          <w:i w:val="0"/>
          <w:iCs w:val="0"/>
          <w:sz w:val="24"/>
          <w:szCs w:val="24"/>
        </w:rPr>
        <w:instrText xml:space="preserve"> PAGEREF _Toc79 \h </w:instrText>
      </w:r>
      <w:r>
        <w:rPr>
          <w:i w:val="0"/>
          <w:iCs w:val="0"/>
          <w:sz w:val="24"/>
          <w:szCs w:val="24"/>
        </w:rPr>
        <w:fldChar w:fldCharType="separate"/>
      </w:r>
      <w:r>
        <w:rPr>
          <w:i w:val="0"/>
          <w:iCs w:val="0"/>
          <w:sz w:val="24"/>
          <w:szCs w:val="24"/>
        </w:rPr>
        <w:t>36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_Toc2426 </w:instrText>
      </w:r>
      <w:r>
        <w:rPr>
          <w:i w:val="0"/>
          <w:iCs w:val="0"/>
          <w:sz w:val="24"/>
          <w:szCs w:val="24"/>
        </w:rPr>
        <w:fldChar w:fldCharType="separate"/>
      </w:r>
      <w:r>
        <w:rPr>
          <w:rFonts w:hint="eastAsia"/>
          <w:i w:val="0"/>
          <w:iCs w:val="0"/>
          <w:sz w:val="24"/>
          <w:szCs w:val="24"/>
        </w:rPr>
        <w:t>7.1.1 主要存在问题</w:t>
      </w:r>
      <w:r>
        <w:rPr>
          <w:i w:val="0"/>
          <w:iCs w:val="0"/>
          <w:sz w:val="24"/>
          <w:szCs w:val="24"/>
        </w:rPr>
        <w:tab/>
      </w:r>
      <w:r>
        <w:rPr>
          <w:i w:val="0"/>
          <w:iCs w:val="0"/>
          <w:sz w:val="24"/>
          <w:szCs w:val="24"/>
        </w:rPr>
        <w:fldChar w:fldCharType="begin"/>
      </w:r>
      <w:r>
        <w:rPr>
          <w:i w:val="0"/>
          <w:iCs w:val="0"/>
          <w:sz w:val="24"/>
          <w:szCs w:val="24"/>
        </w:rPr>
        <w:instrText xml:space="preserve"> PAGEREF _Toc2426 \h </w:instrText>
      </w:r>
      <w:r>
        <w:rPr>
          <w:i w:val="0"/>
          <w:iCs w:val="0"/>
          <w:sz w:val="24"/>
          <w:szCs w:val="24"/>
        </w:rPr>
        <w:fldChar w:fldCharType="separate"/>
      </w:r>
      <w:r>
        <w:rPr>
          <w:i w:val="0"/>
          <w:iCs w:val="0"/>
          <w:sz w:val="24"/>
          <w:szCs w:val="24"/>
        </w:rPr>
        <w:t>36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_Toc25480 </w:instrText>
      </w:r>
      <w:r>
        <w:rPr>
          <w:i w:val="0"/>
          <w:iCs w:val="0"/>
          <w:sz w:val="24"/>
          <w:szCs w:val="24"/>
        </w:rPr>
        <w:fldChar w:fldCharType="separate"/>
      </w:r>
      <w:r>
        <w:rPr>
          <w:rFonts w:hint="eastAsia"/>
          <w:i w:val="0"/>
          <w:iCs w:val="0"/>
          <w:sz w:val="24"/>
          <w:szCs w:val="24"/>
        </w:rPr>
        <w:t>7.1.2 整改建议及整改情况说明</w:t>
      </w:r>
      <w:r>
        <w:rPr>
          <w:i w:val="0"/>
          <w:iCs w:val="0"/>
          <w:sz w:val="24"/>
          <w:szCs w:val="24"/>
        </w:rPr>
        <w:tab/>
      </w:r>
      <w:r>
        <w:rPr>
          <w:i w:val="0"/>
          <w:iCs w:val="0"/>
          <w:sz w:val="24"/>
          <w:szCs w:val="24"/>
        </w:rPr>
        <w:fldChar w:fldCharType="begin"/>
      </w:r>
      <w:r>
        <w:rPr>
          <w:i w:val="0"/>
          <w:iCs w:val="0"/>
          <w:sz w:val="24"/>
          <w:szCs w:val="24"/>
        </w:rPr>
        <w:instrText xml:space="preserve"> PAGEREF _Toc25480 \h </w:instrText>
      </w:r>
      <w:r>
        <w:rPr>
          <w:i w:val="0"/>
          <w:iCs w:val="0"/>
          <w:sz w:val="24"/>
          <w:szCs w:val="24"/>
        </w:rPr>
        <w:fldChar w:fldCharType="separate"/>
      </w:r>
      <w:r>
        <w:rPr>
          <w:i w:val="0"/>
          <w:iCs w:val="0"/>
          <w:sz w:val="24"/>
          <w:szCs w:val="24"/>
        </w:rPr>
        <w:t>36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_Toc21944 </w:instrText>
      </w:r>
      <w:r>
        <w:rPr>
          <w:i w:val="0"/>
          <w:iCs w:val="0"/>
          <w:sz w:val="24"/>
          <w:szCs w:val="24"/>
        </w:rPr>
        <w:fldChar w:fldCharType="separate"/>
      </w:r>
      <w:r>
        <w:rPr>
          <w:rFonts w:hint="eastAsia"/>
          <w:i w:val="0"/>
          <w:iCs w:val="0"/>
          <w:sz w:val="24"/>
          <w:szCs w:val="24"/>
        </w:rPr>
        <w:t>7.2 安全对策措施</w:t>
      </w:r>
      <w:r>
        <w:rPr>
          <w:i w:val="0"/>
          <w:iCs w:val="0"/>
          <w:sz w:val="24"/>
          <w:szCs w:val="24"/>
        </w:rPr>
        <w:tab/>
      </w:r>
      <w:r>
        <w:rPr>
          <w:i w:val="0"/>
          <w:iCs w:val="0"/>
          <w:sz w:val="24"/>
          <w:szCs w:val="24"/>
        </w:rPr>
        <w:fldChar w:fldCharType="begin"/>
      </w:r>
      <w:r>
        <w:rPr>
          <w:i w:val="0"/>
          <w:iCs w:val="0"/>
          <w:sz w:val="24"/>
          <w:szCs w:val="24"/>
        </w:rPr>
        <w:instrText xml:space="preserve"> PAGEREF _Toc21944 \h </w:instrText>
      </w:r>
      <w:r>
        <w:rPr>
          <w:i w:val="0"/>
          <w:iCs w:val="0"/>
          <w:sz w:val="24"/>
          <w:szCs w:val="24"/>
        </w:rPr>
        <w:fldChar w:fldCharType="separate"/>
      </w:r>
      <w:r>
        <w:rPr>
          <w:i w:val="0"/>
          <w:iCs w:val="0"/>
          <w:sz w:val="24"/>
          <w:szCs w:val="24"/>
        </w:rPr>
        <w:t>38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_Toc28471 </w:instrText>
      </w:r>
      <w:r>
        <w:rPr>
          <w:i w:val="0"/>
          <w:iCs w:val="0"/>
          <w:sz w:val="24"/>
          <w:szCs w:val="24"/>
        </w:rPr>
        <w:fldChar w:fldCharType="separate"/>
      </w:r>
      <w:r>
        <w:rPr>
          <w:rFonts w:hint="eastAsia"/>
          <w:i w:val="0"/>
          <w:iCs w:val="0"/>
          <w:sz w:val="24"/>
          <w:szCs w:val="24"/>
        </w:rPr>
        <w:t>7.2.1 安全生产条件对策措施及建议</w:t>
      </w:r>
      <w:r>
        <w:rPr>
          <w:i w:val="0"/>
          <w:iCs w:val="0"/>
          <w:sz w:val="24"/>
          <w:szCs w:val="24"/>
        </w:rPr>
        <w:tab/>
      </w:r>
      <w:r>
        <w:rPr>
          <w:i w:val="0"/>
          <w:iCs w:val="0"/>
          <w:sz w:val="24"/>
          <w:szCs w:val="24"/>
        </w:rPr>
        <w:fldChar w:fldCharType="begin"/>
      </w:r>
      <w:r>
        <w:rPr>
          <w:i w:val="0"/>
          <w:iCs w:val="0"/>
          <w:sz w:val="24"/>
          <w:szCs w:val="24"/>
        </w:rPr>
        <w:instrText xml:space="preserve"> PAGEREF _Toc28471 \h </w:instrText>
      </w:r>
      <w:r>
        <w:rPr>
          <w:i w:val="0"/>
          <w:iCs w:val="0"/>
          <w:sz w:val="24"/>
          <w:szCs w:val="24"/>
        </w:rPr>
        <w:fldChar w:fldCharType="separate"/>
      </w:r>
      <w:r>
        <w:rPr>
          <w:i w:val="0"/>
          <w:iCs w:val="0"/>
          <w:sz w:val="24"/>
          <w:szCs w:val="24"/>
        </w:rPr>
        <w:t>38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_Toc16031 </w:instrText>
      </w:r>
      <w:r>
        <w:rPr>
          <w:i w:val="0"/>
          <w:iCs w:val="0"/>
          <w:sz w:val="24"/>
          <w:szCs w:val="24"/>
        </w:rPr>
        <w:fldChar w:fldCharType="separate"/>
      </w:r>
      <w:r>
        <w:rPr>
          <w:rFonts w:hint="eastAsia"/>
          <w:i w:val="0"/>
          <w:iCs w:val="0"/>
          <w:sz w:val="24"/>
          <w:szCs w:val="24"/>
        </w:rPr>
        <w:t>7.2.2 安全管理对策措施及建议</w:t>
      </w:r>
      <w:r>
        <w:rPr>
          <w:i w:val="0"/>
          <w:iCs w:val="0"/>
          <w:sz w:val="24"/>
          <w:szCs w:val="24"/>
        </w:rPr>
        <w:tab/>
      </w:r>
      <w:r>
        <w:rPr>
          <w:i w:val="0"/>
          <w:iCs w:val="0"/>
          <w:sz w:val="24"/>
          <w:szCs w:val="24"/>
        </w:rPr>
        <w:fldChar w:fldCharType="begin"/>
      </w:r>
      <w:r>
        <w:rPr>
          <w:i w:val="0"/>
          <w:iCs w:val="0"/>
          <w:sz w:val="24"/>
          <w:szCs w:val="24"/>
        </w:rPr>
        <w:instrText xml:space="preserve"> PAGEREF _Toc16031 \h </w:instrText>
      </w:r>
      <w:r>
        <w:rPr>
          <w:i w:val="0"/>
          <w:iCs w:val="0"/>
          <w:sz w:val="24"/>
          <w:szCs w:val="24"/>
        </w:rPr>
        <w:fldChar w:fldCharType="separate"/>
      </w:r>
      <w:r>
        <w:rPr>
          <w:i w:val="0"/>
          <w:iCs w:val="0"/>
          <w:sz w:val="24"/>
          <w:szCs w:val="24"/>
        </w:rPr>
        <w:t>40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_Toc28011 </w:instrText>
      </w:r>
      <w:r>
        <w:rPr>
          <w:i w:val="0"/>
          <w:iCs w:val="0"/>
          <w:sz w:val="24"/>
          <w:szCs w:val="24"/>
        </w:rPr>
        <w:fldChar w:fldCharType="separate"/>
      </w:r>
      <w:r>
        <w:rPr>
          <w:rFonts w:hint="eastAsia"/>
          <w:i w:val="0"/>
          <w:iCs w:val="0"/>
          <w:sz w:val="24"/>
          <w:szCs w:val="24"/>
        </w:rPr>
        <w:t>7.2.3 其他方面</w:t>
      </w:r>
      <w:r>
        <w:rPr>
          <w:i w:val="0"/>
          <w:iCs w:val="0"/>
          <w:sz w:val="24"/>
          <w:szCs w:val="24"/>
        </w:rPr>
        <w:tab/>
      </w:r>
      <w:r>
        <w:rPr>
          <w:i w:val="0"/>
          <w:iCs w:val="0"/>
          <w:sz w:val="24"/>
          <w:szCs w:val="24"/>
        </w:rPr>
        <w:fldChar w:fldCharType="begin"/>
      </w:r>
      <w:r>
        <w:rPr>
          <w:i w:val="0"/>
          <w:iCs w:val="0"/>
          <w:sz w:val="24"/>
          <w:szCs w:val="24"/>
        </w:rPr>
        <w:instrText xml:space="preserve"> PAGEREF _Toc28011 \h </w:instrText>
      </w:r>
      <w:r>
        <w:rPr>
          <w:i w:val="0"/>
          <w:iCs w:val="0"/>
          <w:sz w:val="24"/>
          <w:szCs w:val="24"/>
        </w:rPr>
        <w:fldChar w:fldCharType="separate"/>
      </w:r>
      <w:r>
        <w:rPr>
          <w:i w:val="0"/>
          <w:iCs w:val="0"/>
          <w:sz w:val="24"/>
          <w:szCs w:val="24"/>
        </w:rPr>
        <w:t>41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_Toc30702 </w:instrText>
      </w:r>
      <w:r>
        <w:rPr>
          <w:i w:val="0"/>
          <w:iCs w:val="0"/>
          <w:sz w:val="24"/>
          <w:szCs w:val="24"/>
        </w:rPr>
        <w:fldChar w:fldCharType="separate"/>
      </w:r>
      <w:r>
        <w:rPr>
          <w:rFonts w:hint="eastAsia"/>
          <w:i w:val="0"/>
          <w:iCs w:val="0"/>
          <w:sz w:val="24"/>
          <w:szCs w:val="24"/>
        </w:rPr>
        <w:t>7.2.4 应急救援对策措施及建议</w:t>
      </w:r>
      <w:r>
        <w:rPr>
          <w:i w:val="0"/>
          <w:iCs w:val="0"/>
          <w:sz w:val="24"/>
          <w:szCs w:val="24"/>
        </w:rPr>
        <w:tab/>
      </w:r>
      <w:r>
        <w:rPr>
          <w:i w:val="0"/>
          <w:iCs w:val="0"/>
          <w:sz w:val="24"/>
          <w:szCs w:val="24"/>
        </w:rPr>
        <w:fldChar w:fldCharType="begin"/>
      </w:r>
      <w:r>
        <w:rPr>
          <w:i w:val="0"/>
          <w:iCs w:val="0"/>
          <w:sz w:val="24"/>
          <w:szCs w:val="24"/>
        </w:rPr>
        <w:instrText xml:space="preserve"> PAGEREF _Toc30702 \h </w:instrText>
      </w:r>
      <w:r>
        <w:rPr>
          <w:i w:val="0"/>
          <w:iCs w:val="0"/>
          <w:sz w:val="24"/>
          <w:szCs w:val="24"/>
        </w:rPr>
        <w:fldChar w:fldCharType="separate"/>
      </w:r>
      <w:r>
        <w:rPr>
          <w:i w:val="0"/>
          <w:iCs w:val="0"/>
          <w:sz w:val="24"/>
          <w:szCs w:val="24"/>
        </w:rPr>
        <w:t>43</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_Toc2525 </w:instrText>
      </w:r>
      <w:r>
        <w:rPr>
          <w:i w:val="0"/>
          <w:iCs w:val="0"/>
          <w:sz w:val="24"/>
          <w:szCs w:val="24"/>
        </w:rPr>
        <w:fldChar w:fldCharType="separate"/>
      </w:r>
      <w:r>
        <w:rPr>
          <w:rFonts w:hint="eastAsia" w:ascii="宋体" w:hAnsi="宋体" w:eastAsia="宋体" w:cs="宋体"/>
          <w:bCs w:val="0"/>
          <w:i w:val="0"/>
          <w:iCs w:val="0"/>
          <w:sz w:val="24"/>
          <w:szCs w:val="24"/>
        </w:rPr>
        <w:t>8  安全现状评价结论</w:t>
      </w:r>
      <w:r>
        <w:rPr>
          <w:i w:val="0"/>
          <w:iCs w:val="0"/>
          <w:sz w:val="24"/>
          <w:szCs w:val="24"/>
        </w:rPr>
        <w:tab/>
      </w:r>
      <w:r>
        <w:rPr>
          <w:i w:val="0"/>
          <w:iCs w:val="0"/>
          <w:sz w:val="24"/>
          <w:szCs w:val="24"/>
        </w:rPr>
        <w:fldChar w:fldCharType="begin"/>
      </w:r>
      <w:r>
        <w:rPr>
          <w:i w:val="0"/>
          <w:iCs w:val="0"/>
          <w:sz w:val="24"/>
          <w:szCs w:val="24"/>
        </w:rPr>
        <w:instrText xml:space="preserve"> PAGEREF _Toc2525 \h </w:instrText>
      </w:r>
      <w:r>
        <w:rPr>
          <w:i w:val="0"/>
          <w:iCs w:val="0"/>
          <w:sz w:val="24"/>
          <w:szCs w:val="24"/>
        </w:rPr>
        <w:fldChar w:fldCharType="separate"/>
      </w:r>
      <w:r>
        <w:rPr>
          <w:i w:val="0"/>
          <w:iCs w:val="0"/>
          <w:sz w:val="24"/>
          <w:szCs w:val="24"/>
        </w:rPr>
        <w:t>46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_Toc7448 </w:instrText>
      </w:r>
      <w:r>
        <w:rPr>
          <w:i w:val="0"/>
          <w:iCs w:val="0"/>
          <w:sz w:val="24"/>
          <w:szCs w:val="24"/>
        </w:rPr>
        <w:fldChar w:fldCharType="separate"/>
      </w:r>
      <w:r>
        <w:rPr>
          <w:rFonts w:hint="eastAsia"/>
          <w:i w:val="0"/>
          <w:iCs w:val="0"/>
          <w:sz w:val="24"/>
          <w:szCs w:val="24"/>
        </w:rPr>
        <w:t>8.1 主要</w:t>
      </w:r>
      <w:r>
        <w:rPr>
          <w:rFonts w:hint="eastAsia"/>
          <w:i w:val="0"/>
          <w:iCs w:val="0"/>
          <w:sz w:val="24"/>
          <w:szCs w:val="24"/>
          <w:lang w:eastAsia="zh-CN"/>
        </w:rPr>
        <w:t>危险和有害因素</w:t>
      </w:r>
      <w:r>
        <w:rPr>
          <w:rFonts w:hint="eastAsia"/>
          <w:i w:val="0"/>
          <w:iCs w:val="0"/>
          <w:sz w:val="24"/>
          <w:szCs w:val="24"/>
        </w:rPr>
        <w:t>评价结果</w:t>
      </w:r>
      <w:r>
        <w:rPr>
          <w:i w:val="0"/>
          <w:iCs w:val="0"/>
          <w:sz w:val="24"/>
          <w:szCs w:val="24"/>
        </w:rPr>
        <w:tab/>
      </w:r>
      <w:r>
        <w:rPr>
          <w:i w:val="0"/>
          <w:iCs w:val="0"/>
          <w:sz w:val="24"/>
          <w:szCs w:val="24"/>
        </w:rPr>
        <w:fldChar w:fldCharType="begin"/>
      </w:r>
      <w:r>
        <w:rPr>
          <w:i w:val="0"/>
          <w:iCs w:val="0"/>
          <w:sz w:val="24"/>
          <w:szCs w:val="24"/>
        </w:rPr>
        <w:instrText xml:space="preserve"> PAGEREF _Toc7448 \h </w:instrText>
      </w:r>
      <w:r>
        <w:rPr>
          <w:i w:val="0"/>
          <w:iCs w:val="0"/>
          <w:sz w:val="24"/>
          <w:szCs w:val="24"/>
        </w:rPr>
        <w:fldChar w:fldCharType="separate"/>
      </w:r>
      <w:r>
        <w:rPr>
          <w:i w:val="0"/>
          <w:iCs w:val="0"/>
          <w:sz w:val="24"/>
          <w:szCs w:val="24"/>
        </w:rPr>
        <w:t>46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_Toc12292 </w:instrText>
      </w:r>
      <w:r>
        <w:rPr>
          <w:i w:val="0"/>
          <w:iCs w:val="0"/>
          <w:sz w:val="24"/>
          <w:szCs w:val="24"/>
        </w:rPr>
        <w:fldChar w:fldCharType="separate"/>
      </w:r>
      <w:r>
        <w:rPr>
          <w:rFonts w:hint="eastAsia"/>
          <w:i w:val="0"/>
          <w:iCs w:val="0"/>
          <w:sz w:val="24"/>
          <w:szCs w:val="24"/>
        </w:rPr>
        <w:t>8.1.1 单元评价综述</w:t>
      </w:r>
      <w:r>
        <w:rPr>
          <w:i w:val="0"/>
          <w:iCs w:val="0"/>
          <w:sz w:val="24"/>
          <w:szCs w:val="24"/>
        </w:rPr>
        <w:tab/>
      </w:r>
      <w:r>
        <w:rPr>
          <w:i w:val="0"/>
          <w:iCs w:val="0"/>
          <w:sz w:val="24"/>
          <w:szCs w:val="24"/>
        </w:rPr>
        <w:fldChar w:fldCharType="begin"/>
      </w:r>
      <w:r>
        <w:rPr>
          <w:i w:val="0"/>
          <w:iCs w:val="0"/>
          <w:sz w:val="24"/>
          <w:szCs w:val="24"/>
        </w:rPr>
        <w:instrText xml:space="preserve"> PAGEREF _Toc12292 \h </w:instrText>
      </w:r>
      <w:r>
        <w:rPr>
          <w:i w:val="0"/>
          <w:iCs w:val="0"/>
          <w:sz w:val="24"/>
          <w:szCs w:val="24"/>
        </w:rPr>
        <w:fldChar w:fldCharType="separate"/>
      </w:r>
      <w:r>
        <w:rPr>
          <w:i w:val="0"/>
          <w:iCs w:val="0"/>
          <w:sz w:val="24"/>
          <w:szCs w:val="24"/>
        </w:rPr>
        <w:t>46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_Toc5958 </w:instrText>
      </w:r>
      <w:r>
        <w:rPr>
          <w:i w:val="0"/>
          <w:iCs w:val="0"/>
          <w:sz w:val="24"/>
          <w:szCs w:val="24"/>
        </w:rPr>
        <w:fldChar w:fldCharType="separate"/>
      </w:r>
      <w:r>
        <w:rPr>
          <w:rFonts w:hint="eastAsia"/>
          <w:i w:val="0"/>
          <w:iCs w:val="0"/>
          <w:sz w:val="24"/>
          <w:szCs w:val="24"/>
        </w:rPr>
        <w:t>8.1.2 存在的主要危险、有害物质</w:t>
      </w:r>
      <w:r>
        <w:rPr>
          <w:i w:val="0"/>
          <w:iCs w:val="0"/>
          <w:sz w:val="24"/>
          <w:szCs w:val="24"/>
        </w:rPr>
        <w:tab/>
      </w:r>
      <w:r>
        <w:rPr>
          <w:i w:val="0"/>
          <w:iCs w:val="0"/>
          <w:sz w:val="24"/>
          <w:szCs w:val="24"/>
        </w:rPr>
        <w:fldChar w:fldCharType="begin"/>
      </w:r>
      <w:r>
        <w:rPr>
          <w:i w:val="0"/>
          <w:iCs w:val="0"/>
          <w:sz w:val="24"/>
          <w:szCs w:val="24"/>
        </w:rPr>
        <w:instrText xml:space="preserve"> PAGEREF _Toc5958 \h </w:instrText>
      </w:r>
      <w:r>
        <w:rPr>
          <w:i w:val="0"/>
          <w:iCs w:val="0"/>
          <w:sz w:val="24"/>
          <w:szCs w:val="24"/>
        </w:rPr>
        <w:fldChar w:fldCharType="separate"/>
      </w:r>
      <w:r>
        <w:rPr>
          <w:i w:val="0"/>
          <w:iCs w:val="0"/>
          <w:sz w:val="24"/>
          <w:szCs w:val="24"/>
        </w:rPr>
        <w:t>47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_Toc15664 </w:instrText>
      </w:r>
      <w:r>
        <w:rPr>
          <w:i w:val="0"/>
          <w:iCs w:val="0"/>
          <w:sz w:val="24"/>
          <w:szCs w:val="24"/>
        </w:rPr>
        <w:fldChar w:fldCharType="separate"/>
      </w:r>
      <w:r>
        <w:rPr>
          <w:rFonts w:hint="eastAsia"/>
          <w:i w:val="0"/>
          <w:iCs w:val="0"/>
          <w:sz w:val="24"/>
          <w:szCs w:val="24"/>
        </w:rPr>
        <w:t>8.1.3 存在的主要</w:t>
      </w:r>
      <w:r>
        <w:rPr>
          <w:rFonts w:hint="eastAsia"/>
          <w:i w:val="0"/>
          <w:iCs w:val="0"/>
          <w:sz w:val="24"/>
          <w:szCs w:val="24"/>
          <w:lang w:eastAsia="zh-CN"/>
        </w:rPr>
        <w:t>危险和有害因素</w:t>
      </w:r>
      <w:r>
        <w:rPr>
          <w:i w:val="0"/>
          <w:iCs w:val="0"/>
          <w:sz w:val="24"/>
          <w:szCs w:val="24"/>
        </w:rPr>
        <w:tab/>
      </w:r>
      <w:r>
        <w:rPr>
          <w:i w:val="0"/>
          <w:iCs w:val="0"/>
          <w:sz w:val="24"/>
          <w:szCs w:val="24"/>
        </w:rPr>
        <w:fldChar w:fldCharType="begin"/>
      </w:r>
      <w:r>
        <w:rPr>
          <w:i w:val="0"/>
          <w:iCs w:val="0"/>
          <w:sz w:val="24"/>
          <w:szCs w:val="24"/>
        </w:rPr>
        <w:instrText xml:space="preserve"> PAGEREF _Toc15664 \h </w:instrText>
      </w:r>
      <w:r>
        <w:rPr>
          <w:i w:val="0"/>
          <w:iCs w:val="0"/>
          <w:sz w:val="24"/>
          <w:szCs w:val="24"/>
        </w:rPr>
        <w:fldChar w:fldCharType="separate"/>
      </w:r>
      <w:r>
        <w:rPr>
          <w:i w:val="0"/>
          <w:iCs w:val="0"/>
          <w:sz w:val="24"/>
          <w:szCs w:val="24"/>
        </w:rPr>
        <w:t>47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_Toc22968 </w:instrText>
      </w:r>
      <w:r>
        <w:rPr>
          <w:i w:val="0"/>
          <w:iCs w:val="0"/>
          <w:sz w:val="24"/>
          <w:szCs w:val="24"/>
        </w:rPr>
        <w:fldChar w:fldCharType="separate"/>
      </w:r>
      <w:r>
        <w:rPr>
          <w:rFonts w:hint="eastAsia"/>
          <w:i w:val="0"/>
          <w:iCs w:val="0"/>
          <w:sz w:val="24"/>
          <w:szCs w:val="24"/>
        </w:rPr>
        <w:t>8.2 本项目应重点防范的重大事故</w:t>
      </w:r>
      <w:r>
        <w:rPr>
          <w:i w:val="0"/>
          <w:iCs w:val="0"/>
          <w:sz w:val="24"/>
          <w:szCs w:val="24"/>
        </w:rPr>
        <w:tab/>
      </w:r>
      <w:r>
        <w:rPr>
          <w:i w:val="0"/>
          <w:iCs w:val="0"/>
          <w:sz w:val="24"/>
          <w:szCs w:val="24"/>
        </w:rPr>
        <w:fldChar w:fldCharType="begin"/>
      </w:r>
      <w:r>
        <w:rPr>
          <w:i w:val="0"/>
          <w:iCs w:val="0"/>
          <w:sz w:val="24"/>
          <w:szCs w:val="24"/>
        </w:rPr>
        <w:instrText xml:space="preserve"> PAGEREF _Toc22968 \h </w:instrText>
      </w:r>
      <w:r>
        <w:rPr>
          <w:i w:val="0"/>
          <w:iCs w:val="0"/>
          <w:sz w:val="24"/>
          <w:szCs w:val="24"/>
        </w:rPr>
        <w:fldChar w:fldCharType="separate"/>
      </w:r>
      <w:r>
        <w:rPr>
          <w:i w:val="0"/>
          <w:iCs w:val="0"/>
          <w:sz w:val="24"/>
          <w:szCs w:val="24"/>
        </w:rPr>
        <w:t>47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_Toc7734 </w:instrText>
      </w:r>
      <w:r>
        <w:rPr>
          <w:i w:val="0"/>
          <w:iCs w:val="0"/>
          <w:sz w:val="24"/>
          <w:szCs w:val="24"/>
        </w:rPr>
        <w:fldChar w:fldCharType="separate"/>
      </w:r>
      <w:r>
        <w:rPr>
          <w:rFonts w:hint="eastAsia"/>
          <w:i w:val="0"/>
          <w:iCs w:val="0"/>
          <w:sz w:val="24"/>
          <w:szCs w:val="24"/>
        </w:rPr>
        <w:t>8.3 评价结论</w:t>
      </w:r>
      <w:r>
        <w:rPr>
          <w:i w:val="0"/>
          <w:iCs w:val="0"/>
          <w:sz w:val="24"/>
          <w:szCs w:val="24"/>
        </w:rPr>
        <w:tab/>
      </w:r>
      <w:r>
        <w:rPr>
          <w:i w:val="0"/>
          <w:iCs w:val="0"/>
          <w:sz w:val="24"/>
          <w:szCs w:val="24"/>
        </w:rPr>
        <w:fldChar w:fldCharType="begin"/>
      </w:r>
      <w:r>
        <w:rPr>
          <w:i w:val="0"/>
          <w:iCs w:val="0"/>
          <w:sz w:val="24"/>
          <w:szCs w:val="24"/>
        </w:rPr>
        <w:instrText xml:space="preserve"> PAGEREF _Toc7734 \h </w:instrText>
      </w:r>
      <w:r>
        <w:rPr>
          <w:i w:val="0"/>
          <w:iCs w:val="0"/>
          <w:sz w:val="24"/>
          <w:szCs w:val="24"/>
        </w:rPr>
        <w:fldChar w:fldCharType="separate"/>
      </w:r>
      <w:r>
        <w:rPr>
          <w:i w:val="0"/>
          <w:iCs w:val="0"/>
          <w:sz w:val="24"/>
          <w:szCs w:val="24"/>
        </w:rPr>
        <w:t>47</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_Toc29547 </w:instrText>
      </w:r>
      <w:r>
        <w:rPr>
          <w:i w:val="0"/>
          <w:iCs w:val="0"/>
          <w:sz w:val="24"/>
          <w:szCs w:val="24"/>
        </w:rPr>
        <w:fldChar w:fldCharType="separate"/>
      </w:r>
      <w:r>
        <w:rPr>
          <w:rFonts w:hint="eastAsia" w:ascii="宋体" w:hAnsi="宋体" w:eastAsia="宋体" w:cs="宋体"/>
          <w:bCs w:val="0"/>
          <w:i w:val="0"/>
          <w:iCs w:val="0"/>
          <w:sz w:val="24"/>
          <w:szCs w:val="24"/>
        </w:rPr>
        <w:t>9  与建设单位交换意见的情况结果</w:t>
      </w:r>
      <w:r>
        <w:rPr>
          <w:i w:val="0"/>
          <w:iCs w:val="0"/>
          <w:sz w:val="24"/>
          <w:szCs w:val="24"/>
        </w:rPr>
        <w:tab/>
      </w:r>
      <w:r>
        <w:rPr>
          <w:i w:val="0"/>
          <w:iCs w:val="0"/>
          <w:sz w:val="24"/>
          <w:szCs w:val="24"/>
        </w:rPr>
        <w:fldChar w:fldCharType="begin"/>
      </w:r>
      <w:r>
        <w:rPr>
          <w:i w:val="0"/>
          <w:iCs w:val="0"/>
          <w:sz w:val="24"/>
          <w:szCs w:val="24"/>
        </w:rPr>
        <w:instrText xml:space="preserve"> PAGEREF _Toc29547 \h </w:instrText>
      </w:r>
      <w:r>
        <w:rPr>
          <w:i w:val="0"/>
          <w:iCs w:val="0"/>
          <w:sz w:val="24"/>
          <w:szCs w:val="24"/>
        </w:rPr>
        <w:fldChar w:fldCharType="separate"/>
      </w:r>
      <w:r>
        <w:rPr>
          <w:i w:val="0"/>
          <w:iCs w:val="0"/>
          <w:sz w:val="24"/>
          <w:szCs w:val="24"/>
        </w:rPr>
        <w:t>49</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_Toc12659 </w:instrText>
      </w:r>
      <w:r>
        <w:rPr>
          <w:i w:val="0"/>
          <w:iCs w:val="0"/>
          <w:sz w:val="24"/>
          <w:szCs w:val="24"/>
        </w:rPr>
        <w:fldChar w:fldCharType="separate"/>
      </w:r>
      <w:r>
        <w:rPr>
          <w:rFonts w:hint="eastAsia" w:ascii="宋体" w:hAnsi="宋体" w:eastAsia="宋体" w:cs="宋体"/>
          <w:bCs w:val="0"/>
          <w:i w:val="0"/>
          <w:iCs w:val="0"/>
          <w:sz w:val="24"/>
          <w:szCs w:val="24"/>
        </w:rPr>
        <w:t>附件1  项目图表文件</w:t>
      </w:r>
      <w:r>
        <w:rPr>
          <w:i w:val="0"/>
          <w:iCs w:val="0"/>
          <w:sz w:val="24"/>
          <w:szCs w:val="24"/>
        </w:rPr>
        <w:tab/>
      </w:r>
      <w:r>
        <w:rPr>
          <w:i w:val="0"/>
          <w:iCs w:val="0"/>
          <w:sz w:val="24"/>
          <w:szCs w:val="24"/>
        </w:rPr>
        <w:fldChar w:fldCharType="begin"/>
      </w:r>
      <w:r>
        <w:rPr>
          <w:i w:val="0"/>
          <w:iCs w:val="0"/>
          <w:sz w:val="24"/>
          <w:szCs w:val="24"/>
        </w:rPr>
        <w:instrText xml:space="preserve"> PAGEREF _Toc12659 \h </w:instrText>
      </w:r>
      <w:r>
        <w:rPr>
          <w:i w:val="0"/>
          <w:iCs w:val="0"/>
          <w:sz w:val="24"/>
          <w:szCs w:val="24"/>
        </w:rPr>
        <w:fldChar w:fldCharType="separate"/>
      </w:r>
      <w:r>
        <w:rPr>
          <w:i w:val="0"/>
          <w:iCs w:val="0"/>
          <w:sz w:val="24"/>
          <w:szCs w:val="24"/>
        </w:rPr>
        <w:t>51</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_Toc3413 </w:instrText>
      </w:r>
      <w:r>
        <w:rPr>
          <w:i w:val="0"/>
          <w:iCs w:val="0"/>
          <w:sz w:val="24"/>
          <w:szCs w:val="24"/>
        </w:rPr>
        <w:fldChar w:fldCharType="separate"/>
      </w:r>
      <w:r>
        <w:rPr>
          <w:rFonts w:hint="eastAsia"/>
          <w:i w:val="0"/>
          <w:iCs w:val="0"/>
          <w:sz w:val="24"/>
          <w:szCs w:val="24"/>
        </w:rPr>
        <w:t>1.1 安全设施清单</w:t>
      </w:r>
      <w:r>
        <w:rPr>
          <w:i w:val="0"/>
          <w:iCs w:val="0"/>
          <w:sz w:val="24"/>
          <w:szCs w:val="24"/>
        </w:rPr>
        <w:tab/>
      </w:r>
      <w:r>
        <w:rPr>
          <w:i w:val="0"/>
          <w:iCs w:val="0"/>
          <w:sz w:val="24"/>
          <w:szCs w:val="24"/>
        </w:rPr>
        <w:fldChar w:fldCharType="begin"/>
      </w:r>
      <w:r>
        <w:rPr>
          <w:i w:val="0"/>
          <w:iCs w:val="0"/>
          <w:sz w:val="24"/>
          <w:szCs w:val="24"/>
        </w:rPr>
        <w:instrText xml:space="preserve"> PAGEREF _Toc3413 \h </w:instrText>
      </w:r>
      <w:r>
        <w:rPr>
          <w:i w:val="0"/>
          <w:iCs w:val="0"/>
          <w:sz w:val="24"/>
          <w:szCs w:val="24"/>
        </w:rPr>
        <w:fldChar w:fldCharType="separate"/>
      </w:r>
      <w:r>
        <w:rPr>
          <w:i w:val="0"/>
          <w:iCs w:val="0"/>
          <w:sz w:val="24"/>
          <w:szCs w:val="24"/>
        </w:rPr>
        <w:t>51</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_Toc2798 </w:instrText>
      </w:r>
      <w:r>
        <w:rPr>
          <w:i w:val="0"/>
          <w:iCs w:val="0"/>
          <w:sz w:val="24"/>
          <w:szCs w:val="24"/>
        </w:rPr>
        <w:fldChar w:fldCharType="separate"/>
      </w:r>
      <w:r>
        <w:rPr>
          <w:rFonts w:hint="eastAsia" w:ascii="宋体" w:hAnsi="宋体" w:eastAsia="宋体" w:cs="宋体"/>
          <w:bCs w:val="0"/>
          <w:i w:val="0"/>
          <w:iCs w:val="0"/>
          <w:sz w:val="24"/>
          <w:szCs w:val="24"/>
        </w:rPr>
        <w:t xml:space="preserve">附件2  </w:t>
      </w:r>
      <w:r>
        <w:rPr>
          <w:rFonts w:hint="eastAsia" w:ascii="宋体" w:hAnsi="宋体" w:eastAsia="宋体" w:cs="宋体"/>
          <w:bCs w:val="0"/>
          <w:i w:val="0"/>
          <w:iCs w:val="0"/>
          <w:sz w:val="24"/>
          <w:szCs w:val="24"/>
          <w:lang w:eastAsia="zh-CN"/>
        </w:rPr>
        <w:t>危险和有害因素</w:t>
      </w:r>
      <w:r>
        <w:rPr>
          <w:rFonts w:hint="eastAsia" w:ascii="宋体" w:hAnsi="宋体" w:eastAsia="宋体" w:cs="宋体"/>
          <w:bCs w:val="0"/>
          <w:i w:val="0"/>
          <w:iCs w:val="0"/>
          <w:sz w:val="24"/>
          <w:szCs w:val="24"/>
        </w:rPr>
        <w:t>辨识</w:t>
      </w:r>
      <w:r>
        <w:rPr>
          <w:i w:val="0"/>
          <w:iCs w:val="0"/>
          <w:sz w:val="24"/>
          <w:szCs w:val="24"/>
        </w:rPr>
        <w:tab/>
      </w:r>
      <w:r>
        <w:rPr>
          <w:i w:val="0"/>
          <w:iCs w:val="0"/>
          <w:sz w:val="24"/>
          <w:szCs w:val="24"/>
        </w:rPr>
        <w:fldChar w:fldCharType="begin"/>
      </w:r>
      <w:r>
        <w:rPr>
          <w:i w:val="0"/>
          <w:iCs w:val="0"/>
          <w:sz w:val="24"/>
          <w:szCs w:val="24"/>
        </w:rPr>
        <w:instrText xml:space="preserve"> PAGEREF _Toc2798 \h </w:instrText>
      </w:r>
      <w:r>
        <w:rPr>
          <w:i w:val="0"/>
          <w:iCs w:val="0"/>
          <w:sz w:val="24"/>
          <w:szCs w:val="24"/>
        </w:rPr>
        <w:fldChar w:fldCharType="separate"/>
      </w:r>
      <w:r>
        <w:rPr>
          <w:i w:val="0"/>
          <w:iCs w:val="0"/>
          <w:sz w:val="24"/>
          <w:szCs w:val="24"/>
        </w:rPr>
        <w:t>54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_Toc9432 </w:instrText>
      </w:r>
      <w:r>
        <w:rPr>
          <w:i w:val="0"/>
          <w:iCs w:val="0"/>
          <w:sz w:val="24"/>
          <w:szCs w:val="24"/>
        </w:rPr>
        <w:fldChar w:fldCharType="separate"/>
      </w:r>
      <w:r>
        <w:rPr>
          <w:rFonts w:hint="eastAsia"/>
          <w:i w:val="0"/>
          <w:iCs w:val="0"/>
          <w:sz w:val="24"/>
          <w:szCs w:val="24"/>
        </w:rPr>
        <w:t>2.1 主要</w:t>
      </w:r>
      <w:r>
        <w:rPr>
          <w:rFonts w:hint="eastAsia"/>
          <w:i w:val="0"/>
          <w:iCs w:val="0"/>
          <w:sz w:val="24"/>
          <w:szCs w:val="24"/>
          <w:lang w:eastAsia="zh-CN"/>
        </w:rPr>
        <w:t>危险和有害因素</w:t>
      </w:r>
      <w:r>
        <w:rPr>
          <w:rFonts w:hint="eastAsia"/>
          <w:i w:val="0"/>
          <w:iCs w:val="0"/>
          <w:sz w:val="24"/>
          <w:szCs w:val="24"/>
        </w:rPr>
        <w:t>辨识与分析的目的</w:t>
      </w:r>
      <w:r>
        <w:rPr>
          <w:i w:val="0"/>
          <w:iCs w:val="0"/>
          <w:sz w:val="24"/>
          <w:szCs w:val="24"/>
        </w:rPr>
        <w:tab/>
      </w:r>
      <w:r>
        <w:rPr>
          <w:i w:val="0"/>
          <w:iCs w:val="0"/>
          <w:sz w:val="24"/>
          <w:szCs w:val="24"/>
        </w:rPr>
        <w:fldChar w:fldCharType="begin"/>
      </w:r>
      <w:r>
        <w:rPr>
          <w:i w:val="0"/>
          <w:iCs w:val="0"/>
          <w:sz w:val="24"/>
          <w:szCs w:val="24"/>
        </w:rPr>
        <w:instrText xml:space="preserve"> PAGEREF _Toc9432 \h </w:instrText>
      </w:r>
      <w:r>
        <w:rPr>
          <w:i w:val="0"/>
          <w:iCs w:val="0"/>
          <w:sz w:val="24"/>
          <w:szCs w:val="24"/>
        </w:rPr>
        <w:fldChar w:fldCharType="separate"/>
      </w:r>
      <w:r>
        <w:rPr>
          <w:i w:val="0"/>
          <w:iCs w:val="0"/>
          <w:sz w:val="24"/>
          <w:szCs w:val="24"/>
        </w:rPr>
        <w:t>54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_Toc2991 </w:instrText>
      </w:r>
      <w:r>
        <w:rPr>
          <w:i w:val="0"/>
          <w:iCs w:val="0"/>
          <w:sz w:val="24"/>
          <w:szCs w:val="24"/>
        </w:rPr>
        <w:fldChar w:fldCharType="separate"/>
      </w:r>
      <w:r>
        <w:rPr>
          <w:rFonts w:hint="eastAsia"/>
          <w:i w:val="0"/>
          <w:iCs w:val="0"/>
          <w:sz w:val="24"/>
          <w:szCs w:val="24"/>
        </w:rPr>
        <w:t>2.2 主要</w:t>
      </w:r>
      <w:r>
        <w:rPr>
          <w:rFonts w:hint="eastAsia"/>
          <w:i w:val="0"/>
          <w:iCs w:val="0"/>
          <w:sz w:val="24"/>
          <w:szCs w:val="24"/>
          <w:lang w:eastAsia="zh-CN"/>
        </w:rPr>
        <w:t>危险和有害因素</w:t>
      </w:r>
      <w:r>
        <w:rPr>
          <w:rFonts w:hint="eastAsia"/>
          <w:i w:val="0"/>
          <w:iCs w:val="0"/>
          <w:sz w:val="24"/>
          <w:szCs w:val="24"/>
        </w:rPr>
        <w:t>辨识与分析的方法</w:t>
      </w:r>
      <w:r>
        <w:rPr>
          <w:i w:val="0"/>
          <w:iCs w:val="0"/>
          <w:sz w:val="24"/>
          <w:szCs w:val="24"/>
        </w:rPr>
        <w:tab/>
      </w:r>
      <w:r>
        <w:rPr>
          <w:i w:val="0"/>
          <w:iCs w:val="0"/>
          <w:sz w:val="24"/>
          <w:szCs w:val="24"/>
        </w:rPr>
        <w:fldChar w:fldCharType="begin"/>
      </w:r>
      <w:r>
        <w:rPr>
          <w:i w:val="0"/>
          <w:iCs w:val="0"/>
          <w:sz w:val="24"/>
          <w:szCs w:val="24"/>
        </w:rPr>
        <w:instrText xml:space="preserve"> PAGEREF _Toc2991 \h </w:instrText>
      </w:r>
      <w:r>
        <w:rPr>
          <w:i w:val="0"/>
          <w:iCs w:val="0"/>
          <w:sz w:val="24"/>
          <w:szCs w:val="24"/>
        </w:rPr>
        <w:fldChar w:fldCharType="separate"/>
      </w:r>
      <w:r>
        <w:rPr>
          <w:i w:val="0"/>
          <w:iCs w:val="0"/>
          <w:sz w:val="24"/>
          <w:szCs w:val="24"/>
        </w:rPr>
        <w:t>54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_Toc13145 </w:instrText>
      </w:r>
      <w:r>
        <w:rPr>
          <w:i w:val="0"/>
          <w:iCs w:val="0"/>
          <w:sz w:val="24"/>
          <w:szCs w:val="24"/>
        </w:rPr>
        <w:fldChar w:fldCharType="separate"/>
      </w:r>
      <w:r>
        <w:rPr>
          <w:rFonts w:hint="eastAsia"/>
          <w:i w:val="0"/>
          <w:iCs w:val="0"/>
          <w:sz w:val="24"/>
          <w:szCs w:val="24"/>
        </w:rPr>
        <w:t xml:space="preserve">2.3 </w:t>
      </w:r>
      <w:r>
        <w:rPr>
          <w:rFonts w:hint="eastAsia"/>
          <w:i w:val="0"/>
          <w:iCs w:val="0"/>
          <w:sz w:val="24"/>
          <w:szCs w:val="24"/>
          <w:lang w:eastAsia="zh-CN"/>
        </w:rPr>
        <w:t>危险和有害因素</w:t>
      </w:r>
      <w:r>
        <w:rPr>
          <w:rFonts w:hint="eastAsia"/>
          <w:i w:val="0"/>
          <w:iCs w:val="0"/>
          <w:sz w:val="24"/>
          <w:szCs w:val="24"/>
        </w:rPr>
        <w:t>产生的原因</w:t>
      </w:r>
      <w:r>
        <w:rPr>
          <w:i w:val="0"/>
          <w:iCs w:val="0"/>
          <w:sz w:val="24"/>
          <w:szCs w:val="24"/>
        </w:rPr>
        <w:tab/>
      </w:r>
      <w:r>
        <w:rPr>
          <w:i w:val="0"/>
          <w:iCs w:val="0"/>
          <w:sz w:val="24"/>
          <w:szCs w:val="24"/>
        </w:rPr>
        <w:fldChar w:fldCharType="begin"/>
      </w:r>
      <w:r>
        <w:rPr>
          <w:i w:val="0"/>
          <w:iCs w:val="0"/>
          <w:sz w:val="24"/>
          <w:szCs w:val="24"/>
        </w:rPr>
        <w:instrText xml:space="preserve"> PAGEREF _Toc13145 \h </w:instrText>
      </w:r>
      <w:r>
        <w:rPr>
          <w:i w:val="0"/>
          <w:iCs w:val="0"/>
          <w:sz w:val="24"/>
          <w:szCs w:val="24"/>
        </w:rPr>
        <w:fldChar w:fldCharType="separate"/>
      </w:r>
      <w:r>
        <w:rPr>
          <w:i w:val="0"/>
          <w:iCs w:val="0"/>
          <w:sz w:val="24"/>
          <w:szCs w:val="24"/>
        </w:rPr>
        <w:t>55</w:t>
      </w:r>
      <w:r>
        <w:rPr>
          <w:i w:val="0"/>
          <w:iCs w:val="0"/>
          <w:sz w:val="24"/>
          <w:szCs w:val="24"/>
        </w:rPr>
        <w:fldChar w:fldCharType="end"/>
      </w:r>
      <w:r>
        <w:rPr>
          <w:i w:val="0"/>
          <w:iCs w:val="0"/>
          <w:sz w:val="24"/>
          <w:szCs w:val="24"/>
        </w:rPr>
        <w:fldChar w:fldCharType="end"/>
      </w:r>
    </w:p>
    <w:p>
      <w:pPr>
        <w:pStyle w:val="16"/>
        <w:tabs>
          <w:tab w:val="right" w:pos="3200"/>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_Toc31229 </w:instrText>
      </w:r>
      <w:r>
        <w:rPr>
          <w:i w:val="0"/>
          <w:iCs w:val="0"/>
          <w:sz w:val="24"/>
          <w:szCs w:val="24"/>
        </w:rPr>
        <w:fldChar w:fldCharType="separate"/>
      </w:r>
      <w:r>
        <w:rPr>
          <w:rFonts w:hint="eastAsia"/>
          <w:i w:val="0"/>
          <w:iCs w:val="0"/>
          <w:sz w:val="24"/>
          <w:szCs w:val="24"/>
        </w:rPr>
        <w:t>2.3.1</w:t>
      </w:r>
      <w:r>
        <w:rPr>
          <w:rFonts w:hint="eastAsia"/>
          <w:i w:val="0"/>
          <w:iCs w:val="0"/>
          <w:sz w:val="24"/>
          <w:szCs w:val="24"/>
        </w:rPr>
        <w:tab/>
      </w:r>
      <w:r>
        <w:rPr>
          <w:rFonts w:hint="eastAsia"/>
          <w:i w:val="0"/>
          <w:iCs w:val="0"/>
          <w:sz w:val="24"/>
          <w:szCs w:val="24"/>
          <w:lang w:val="en-US" w:eastAsia="zh-CN"/>
        </w:rPr>
        <w:t xml:space="preserve"> </w:t>
      </w:r>
      <w:r>
        <w:rPr>
          <w:rFonts w:hint="eastAsia"/>
          <w:i w:val="0"/>
          <w:iCs w:val="0"/>
          <w:sz w:val="24"/>
          <w:szCs w:val="24"/>
        </w:rPr>
        <w:t>运行失控与设备故障</w:t>
      </w:r>
      <w:r>
        <w:rPr>
          <w:i w:val="0"/>
          <w:iCs w:val="0"/>
          <w:sz w:val="24"/>
          <w:szCs w:val="24"/>
        </w:rPr>
        <w:tab/>
      </w:r>
      <w:r>
        <w:rPr>
          <w:i w:val="0"/>
          <w:iCs w:val="0"/>
          <w:sz w:val="24"/>
          <w:szCs w:val="24"/>
        </w:rPr>
        <w:fldChar w:fldCharType="begin"/>
      </w:r>
      <w:r>
        <w:rPr>
          <w:i w:val="0"/>
          <w:iCs w:val="0"/>
          <w:sz w:val="24"/>
          <w:szCs w:val="24"/>
        </w:rPr>
        <w:instrText xml:space="preserve"> PAGEREF _Toc31229 \h </w:instrText>
      </w:r>
      <w:r>
        <w:rPr>
          <w:i w:val="0"/>
          <w:iCs w:val="0"/>
          <w:sz w:val="24"/>
          <w:szCs w:val="24"/>
        </w:rPr>
        <w:fldChar w:fldCharType="separate"/>
      </w:r>
      <w:r>
        <w:rPr>
          <w:i w:val="0"/>
          <w:iCs w:val="0"/>
          <w:sz w:val="24"/>
          <w:szCs w:val="24"/>
        </w:rPr>
        <w:t>55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_Toc13974 </w:instrText>
      </w:r>
      <w:r>
        <w:rPr>
          <w:i w:val="0"/>
          <w:iCs w:val="0"/>
          <w:sz w:val="24"/>
          <w:szCs w:val="24"/>
        </w:rPr>
        <w:fldChar w:fldCharType="separate"/>
      </w:r>
      <w:r>
        <w:rPr>
          <w:rFonts w:hint="eastAsia"/>
          <w:i w:val="0"/>
          <w:iCs w:val="0"/>
          <w:sz w:val="24"/>
          <w:szCs w:val="24"/>
        </w:rPr>
        <w:t>2.3.2 人员失误</w:t>
      </w:r>
      <w:r>
        <w:rPr>
          <w:i w:val="0"/>
          <w:iCs w:val="0"/>
          <w:sz w:val="24"/>
          <w:szCs w:val="24"/>
        </w:rPr>
        <w:tab/>
      </w:r>
      <w:r>
        <w:rPr>
          <w:i w:val="0"/>
          <w:iCs w:val="0"/>
          <w:sz w:val="24"/>
          <w:szCs w:val="24"/>
        </w:rPr>
        <w:fldChar w:fldCharType="begin"/>
      </w:r>
      <w:r>
        <w:rPr>
          <w:i w:val="0"/>
          <w:iCs w:val="0"/>
          <w:sz w:val="24"/>
          <w:szCs w:val="24"/>
        </w:rPr>
        <w:instrText xml:space="preserve"> PAGEREF _Toc13974 \h </w:instrText>
      </w:r>
      <w:r>
        <w:rPr>
          <w:i w:val="0"/>
          <w:iCs w:val="0"/>
          <w:sz w:val="24"/>
          <w:szCs w:val="24"/>
        </w:rPr>
        <w:fldChar w:fldCharType="separate"/>
      </w:r>
      <w:r>
        <w:rPr>
          <w:i w:val="0"/>
          <w:iCs w:val="0"/>
          <w:sz w:val="24"/>
          <w:szCs w:val="24"/>
        </w:rPr>
        <w:t>55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_Toc13036 </w:instrText>
      </w:r>
      <w:r>
        <w:rPr>
          <w:i w:val="0"/>
          <w:iCs w:val="0"/>
          <w:sz w:val="24"/>
          <w:szCs w:val="24"/>
        </w:rPr>
        <w:fldChar w:fldCharType="separate"/>
      </w:r>
      <w:r>
        <w:rPr>
          <w:rFonts w:hint="eastAsia"/>
          <w:i w:val="0"/>
          <w:iCs w:val="0"/>
          <w:sz w:val="24"/>
          <w:szCs w:val="24"/>
        </w:rPr>
        <w:t>2.3.3 管理缺陷</w:t>
      </w:r>
      <w:r>
        <w:rPr>
          <w:i w:val="0"/>
          <w:iCs w:val="0"/>
          <w:sz w:val="24"/>
          <w:szCs w:val="24"/>
        </w:rPr>
        <w:tab/>
      </w:r>
      <w:r>
        <w:rPr>
          <w:i w:val="0"/>
          <w:iCs w:val="0"/>
          <w:sz w:val="24"/>
          <w:szCs w:val="24"/>
        </w:rPr>
        <w:fldChar w:fldCharType="begin"/>
      </w:r>
      <w:r>
        <w:rPr>
          <w:i w:val="0"/>
          <w:iCs w:val="0"/>
          <w:sz w:val="24"/>
          <w:szCs w:val="24"/>
        </w:rPr>
        <w:instrText xml:space="preserve"> PAGEREF _Toc13036 \h </w:instrText>
      </w:r>
      <w:r>
        <w:rPr>
          <w:i w:val="0"/>
          <w:iCs w:val="0"/>
          <w:sz w:val="24"/>
          <w:szCs w:val="24"/>
        </w:rPr>
        <w:fldChar w:fldCharType="separate"/>
      </w:r>
      <w:r>
        <w:rPr>
          <w:i w:val="0"/>
          <w:iCs w:val="0"/>
          <w:sz w:val="24"/>
          <w:szCs w:val="24"/>
        </w:rPr>
        <w:t>55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_Toc15480 </w:instrText>
      </w:r>
      <w:r>
        <w:rPr>
          <w:i w:val="0"/>
          <w:iCs w:val="0"/>
          <w:sz w:val="24"/>
          <w:szCs w:val="24"/>
        </w:rPr>
        <w:fldChar w:fldCharType="separate"/>
      </w:r>
      <w:r>
        <w:rPr>
          <w:rFonts w:hint="eastAsia"/>
          <w:i w:val="0"/>
          <w:iCs w:val="0"/>
          <w:sz w:val="24"/>
          <w:szCs w:val="24"/>
        </w:rPr>
        <w:t>2.3.4 环境的原因</w:t>
      </w:r>
      <w:r>
        <w:rPr>
          <w:i w:val="0"/>
          <w:iCs w:val="0"/>
          <w:sz w:val="24"/>
          <w:szCs w:val="24"/>
        </w:rPr>
        <w:tab/>
      </w:r>
      <w:r>
        <w:rPr>
          <w:i w:val="0"/>
          <w:iCs w:val="0"/>
          <w:sz w:val="24"/>
          <w:szCs w:val="24"/>
        </w:rPr>
        <w:fldChar w:fldCharType="begin"/>
      </w:r>
      <w:r>
        <w:rPr>
          <w:i w:val="0"/>
          <w:iCs w:val="0"/>
          <w:sz w:val="24"/>
          <w:szCs w:val="24"/>
        </w:rPr>
        <w:instrText xml:space="preserve"> PAGEREF _Toc15480 \h </w:instrText>
      </w:r>
      <w:r>
        <w:rPr>
          <w:i w:val="0"/>
          <w:iCs w:val="0"/>
          <w:sz w:val="24"/>
          <w:szCs w:val="24"/>
        </w:rPr>
        <w:fldChar w:fldCharType="separate"/>
      </w:r>
      <w:r>
        <w:rPr>
          <w:i w:val="0"/>
          <w:iCs w:val="0"/>
          <w:sz w:val="24"/>
          <w:szCs w:val="24"/>
        </w:rPr>
        <w:t>55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_Toc9562 </w:instrText>
      </w:r>
      <w:r>
        <w:rPr>
          <w:i w:val="0"/>
          <w:iCs w:val="0"/>
          <w:sz w:val="24"/>
          <w:szCs w:val="24"/>
        </w:rPr>
        <w:fldChar w:fldCharType="separate"/>
      </w:r>
      <w:r>
        <w:rPr>
          <w:rFonts w:hint="eastAsia"/>
          <w:i w:val="0"/>
          <w:iCs w:val="0"/>
          <w:sz w:val="24"/>
          <w:szCs w:val="24"/>
        </w:rPr>
        <w:t>2.4 主要危险有害物质的理化性质、辨识及其危险性分析</w:t>
      </w:r>
      <w:r>
        <w:rPr>
          <w:i w:val="0"/>
          <w:iCs w:val="0"/>
          <w:sz w:val="24"/>
          <w:szCs w:val="24"/>
        </w:rPr>
        <w:tab/>
      </w:r>
      <w:r>
        <w:rPr>
          <w:i w:val="0"/>
          <w:iCs w:val="0"/>
          <w:sz w:val="24"/>
          <w:szCs w:val="24"/>
        </w:rPr>
        <w:fldChar w:fldCharType="begin"/>
      </w:r>
      <w:r>
        <w:rPr>
          <w:i w:val="0"/>
          <w:iCs w:val="0"/>
          <w:sz w:val="24"/>
          <w:szCs w:val="24"/>
        </w:rPr>
        <w:instrText xml:space="preserve"> PAGEREF _Toc9562 \h </w:instrText>
      </w:r>
      <w:r>
        <w:rPr>
          <w:i w:val="0"/>
          <w:iCs w:val="0"/>
          <w:sz w:val="24"/>
          <w:szCs w:val="24"/>
        </w:rPr>
        <w:fldChar w:fldCharType="separate"/>
      </w:r>
      <w:r>
        <w:rPr>
          <w:i w:val="0"/>
          <w:iCs w:val="0"/>
          <w:sz w:val="24"/>
          <w:szCs w:val="24"/>
        </w:rPr>
        <w:t>56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_Toc5783 </w:instrText>
      </w:r>
      <w:r>
        <w:rPr>
          <w:i w:val="0"/>
          <w:iCs w:val="0"/>
          <w:sz w:val="24"/>
          <w:szCs w:val="24"/>
        </w:rPr>
        <w:fldChar w:fldCharType="separate"/>
      </w:r>
      <w:r>
        <w:rPr>
          <w:rFonts w:hint="eastAsia"/>
          <w:i w:val="0"/>
          <w:iCs w:val="0"/>
          <w:sz w:val="24"/>
          <w:szCs w:val="24"/>
        </w:rPr>
        <w:t>2.4.1 危险化学品辨识</w:t>
      </w:r>
      <w:r>
        <w:rPr>
          <w:i w:val="0"/>
          <w:iCs w:val="0"/>
          <w:sz w:val="24"/>
          <w:szCs w:val="24"/>
        </w:rPr>
        <w:tab/>
      </w:r>
      <w:r>
        <w:rPr>
          <w:i w:val="0"/>
          <w:iCs w:val="0"/>
          <w:sz w:val="24"/>
          <w:szCs w:val="24"/>
        </w:rPr>
        <w:fldChar w:fldCharType="begin"/>
      </w:r>
      <w:r>
        <w:rPr>
          <w:i w:val="0"/>
          <w:iCs w:val="0"/>
          <w:sz w:val="24"/>
          <w:szCs w:val="24"/>
        </w:rPr>
        <w:instrText xml:space="preserve"> PAGEREF _Toc5783 \h </w:instrText>
      </w:r>
      <w:r>
        <w:rPr>
          <w:i w:val="0"/>
          <w:iCs w:val="0"/>
          <w:sz w:val="24"/>
          <w:szCs w:val="24"/>
        </w:rPr>
        <w:fldChar w:fldCharType="separate"/>
      </w:r>
      <w:r>
        <w:rPr>
          <w:i w:val="0"/>
          <w:iCs w:val="0"/>
          <w:sz w:val="24"/>
          <w:szCs w:val="24"/>
        </w:rPr>
        <w:t>56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_Toc18918 </w:instrText>
      </w:r>
      <w:r>
        <w:rPr>
          <w:i w:val="0"/>
          <w:iCs w:val="0"/>
          <w:sz w:val="24"/>
          <w:szCs w:val="24"/>
        </w:rPr>
        <w:fldChar w:fldCharType="separate"/>
      </w:r>
      <w:r>
        <w:rPr>
          <w:rFonts w:hint="eastAsia"/>
          <w:i w:val="0"/>
          <w:iCs w:val="0"/>
          <w:sz w:val="24"/>
          <w:szCs w:val="24"/>
        </w:rPr>
        <w:t>2.4.2 主要危险、有害物质的理化特性</w:t>
      </w:r>
      <w:r>
        <w:rPr>
          <w:i w:val="0"/>
          <w:iCs w:val="0"/>
          <w:sz w:val="24"/>
          <w:szCs w:val="24"/>
        </w:rPr>
        <w:tab/>
      </w:r>
      <w:r>
        <w:rPr>
          <w:i w:val="0"/>
          <w:iCs w:val="0"/>
          <w:sz w:val="24"/>
          <w:szCs w:val="24"/>
        </w:rPr>
        <w:fldChar w:fldCharType="begin"/>
      </w:r>
      <w:r>
        <w:rPr>
          <w:i w:val="0"/>
          <w:iCs w:val="0"/>
          <w:sz w:val="24"/>
          <w:szCs w:val="24"/>
        </w:rPr>
        <w:instrText xml:space="preserve"> PAGEREF _Toc18918 \h </w:instrText>
      </w:r>
      <w:r>
        <w:rPr>
          <w:i w:val="0"/>
          <w:iCs w:val="0"/>
          <w:sz w:val="24"/>
          <w:szCs w:val="24"/>
        </w:rPr>
        <w:fldChar w:fldCharType="separate"/>
      </w:r>
      <w:r>
        <w:rPr>
          <w:i w:val="0"/>
          <w:iCs w:val="0"/>
          <w:sz w:val="24"/>
          <w:szCs w:val="24"/>
        </w:rPr>
        <w:t>56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_Toc15058 </w:instrText>
      </w:r>
      <w:r>
        <w:rPr>
          <w:i w:val="0"/>
          <w:iCs w:val="0"/>
          <w:sz w:val="24"/>
          <w:szCs w:val="24"/>
        </w:rPr>
        <w:fldChar w:fldCharType="separate"/>
      </w:r>
      <w:r>
        <w:rPr>
          <w:rFonts w:hint="eastAsia"/>
          <w:i w:val="0"/>
          <w:iCs w:val="0"/>
          <w:sz w:val="24"/>
          <w:szCs w:val="24"/>
        </w:rPr>
        <w:t>2.4.3 主要危险、有害物质的特性</w:t>
      </w:r>
      <w:r>
        <w:rPr>
          <w:i w:val="0"/>
          <w:iCs w:val="0"/>
          <w:sz w:val="24"/>
          <w:szCs w:val="24"/>
        </w:rPr>
        <w:tab/>
      </w:r>
      <w:r>
        <w:rPr>
          <w:i w:val="0"/>
          <w:iCs w:val="0"/>
          <w:sz w:val="24"/>
          <w:szCs w:val="24"/>
        </w:rPr>
        <w:fldChar w:fldCharType="begin"/>
      </w:r>
      <w:r>
        <w:rPr>
          <w:i w:val="0"/>
          <w:iCs w:val="0"/>
          <w:sz w:val="24"/>
          <w:szCs w:val="24"/>
        </w:rPr>
        <w:instrText xml:space="preserve"> PAGEREF _Toc15058 \h </w:instrText>
      </w:r>
      <w:r>
        <w:rPr>
          <w:i w:val="0"/>
          <w:iCs w:val="0"/>
          <w:sz w:val="24"/>
          <w:szCs w:val="24"/>
        </w:rPr>
        <w:fldChar w:fldCharType="separate"/>
      </w:r>
      <w:r>
        <w:rPr>
          <w:i w:val="0"/>
          <w:iCs w:val="0"/>
          <w:sz w:val="24"/>
          <w:szCs w:val="24"/>
        </w:rPr>
        <w:t>60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_Toc10160 </w:instrText>
      </w:r>
      <w:r>
        <w:rPr>
          <w:i w:val="0"/>
          <w:iCs w:val="0"/>
          <w:sz w:val="24"/>
          <w:szCs w:val="24"/>
        </w:rPr>
        <w:fldChar w:fldCharType="separate"/>
      </w:r>
      <w:r>
        <w:rPr>
          <w:rFonts w:hint="eastAsia"/>
          <w:i w:val="0"/>
          <w:iCs w:val="0"/>
          <w:sz w:val="24"/>
          <w:szCs w:val="24"/>
        </w:rPr>
        <w:t>2.4.4 主要危险、有害物质的存在部位</w:t>
      </w:r>
      <w:r>
        <w:rPr>
          <w:i w:val="0"/>
          <w:iCs w:val="0"/>
          <w:sz w:val="24"/>
          <w:szCs w:val="24"/>
        </w:rPr>
        <w:tab/>
      </w:r>
      <w:r>
        <w:rPr>
          <w:i w:val="0"/>
          <w:iCs w:val="0"/>
          <w:sz w:val="24"/>
          <w:szCs w:val="24"/>
        </w:rPr>
        <w:fldChar w:fldCharType="begin"/>
      </w:r>
      <w:r>
        <w:rPr>
          <w:i w:val="0"/>
          <w:iCs w:val="0"/>
          <w:sz w:val="24"/>
          <w:szCs w:val="24"/>
        </w:rPr>
        <w:instrText xml:space="preserve"> PAGEREF _Toc10160 \h </w:instrText>
      </w:r>
      <w:r>
        <w:rPr>
          <w:i w:val="0"/>
          <w:iCs w:val="0"/>
          <w:sz w:val="24"/>
          <w:szCs w:val="24"/>
        </w:rPr>
        <w:fldChar w:fldCharType="separate"/>
      </w:r>
      <w:r>
        <w:rPr>
          <w:i w:val="0"/>
          <w:iCs w:val="0"/>
          <w:sz w:val="24"/>
          <w:szCs w:val="24"/>
        </w:rPr>
        <w:t>61</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_Toc16804 </w:instrText>
      </w:r>
      <w:r>
        <w:rPr>
          <w:i w:val="0"/>
          <w:iCs w:val="0"/>
          <w:sz w:val="24"/>
          <w:szCs w:val="24"/>
        </w:rPr>
        <w:fldChar w:fldCharType="separate"/>
      </w:r>
      <w:r>
        <w:rPr>
          <w:rFonts w:hint="eastAsia"/>
          <w:i w:val="0"/>
          <w:iCs w:val="0"/>
          <w:sz w:val="24"/>
          <w:szCs w:val="24"/>
        </w:rPr>
        <w:t>2.5 主要</w:t>
      </w:r>
      <w:r>
        <w:rPr>
          <w:rFonts w:hint="eastAsia"/>
          <w:i w:val="0"/>
          <w:iCs w:val="0"/>
          <w:sz w:val="24"/>
          <w:szCs w:val="24"/>
          <w:lang w:eastAsia="zh-CN"/>
        </w:rPr>
        <w:t>危险和有害因素</w:t>
      </w:r>
      <w:r>
        <w:rPr>
          <w:rFonts w:hint="eastAsia"/>
          <w:i w:val="0"/>
          <w:iCs w:val="0"/>
          <w:sz w:val="24"/>
          <w:szCs w:val="24"/>
        </w:rPr>
        <w:t>分析</w:t>
      </w:r>
      <w:r>
        <w:rPr>
          <w:i w:val="0"/>
          <w:iCs w:val="0"/>
          <w:sz w:val="24"/>
          <w:szCs w:val="24"/>
        </w:rPr>
        <w:tab/>
      </w:r>
      <w:r>
        <w:rPr>
          <w:i w:val="0"/>
          <w:iCs w:val="0"/>
          <w:sz w:val="24"/>
          <w:szCs w:val="24"/>
        </w:rPr>
        <w:fldChar w:fldCharType="begin"/>
      </w:r>
      <w:r>
        <w:rPr>
          <w:i w:val="0"/>
          <w:iCs w:val="0"/>
          <w:sz w:val="24"/>
          <w:szCs w:val="24"/>
        </w:rPr>
        <w:instrText xml:space="preserve"> PAGEREF _Toc16804 \h </w:instrText>
      </w:r>
      <w:r>
        <w:rPr>
          <w:i w:val="0"/>
          <w:iCs w:val="0"/>
          <w:sz w:val="24"/>
          <w:szCs w:val="24"/>
        </w:rPr>
        <w:fldChar w:fldCharType="separate"/>
      </w:r>
      <w:r>
        <w:rPr>
          <w:i w:val="0"/>
          <w:iCs w:val="0"/>
          <w:sz w:val="24"/>
          <w:szCs w:val="24"/>
        </w:rPr>
        <w:t>61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_Toc13266 </w:instrText>
      </w:r>
      <w:r>
        <w:rPr>
          <w:i w:val="0"/>
          <w:iCs w:val="0"/>
          <w:sz w:val="24"/>
          <w:szCs w:val="24"/>
        </w:rPr>
        <w:fldChar w:fldCharType="separate"/>
      </w:r>
      <w:r>
        <w:rPr>
          <w:rFonts w:hint="eastAsia"/>
          <w:i w:val="0"/>
          <w:iCs w:val="0"/>
          <w:sz w:val="24"/>
          <w:szCs w:val="24"/>
        </w:rPr>
        <w:t>2.5.1 厂址及总平面布置危险性分析</w:t>
      </w:r>
      <w:r>
        <w:rPr>
          <w:i w:val="0"/>
          <w:iCs w:val="0"/>
          <w:sz w:val="24"/>
          <w:szCs w:val="24"/>
        </w:rPr>
        <w:tab/>
      </w:r>
      <w:r>
        <w:rPr>
          <w:i w:val="0"/>
          <w:iCs w:val="0"/>
          <w:sz w:val="24"/>
          <w:szCs w:val="24"/>
        </w:rPr>
        <w:fldChar w:fldCharType="begin"/>
      </w:r>
      <w:r>
        <w:rPr>
          <w:i w:val="0"/>
          <w:iCs w:val="0"/>
          <w:sz w:val="24"/>
          <w:szCs w:val="24"/>
        </w:rPr>
        <w:instrText xml:space="preserve"> PAGEREF _Toc13266 \h </w:instrText>
      </w:r>
      <w:r>
        <w:rPr>
          <w:i w:val="0"/>
          <w:iCs w:val="0"/>
          <w:sz w:val="24"/>
          <w:szCs w:val="24"/>
        </w:rPr>
        <w:fldChar w:fldCharType="separate"/>
      </w:r>
      <w:r>
        <w:rPr>
          <w:i w:val="0"/>
          <w:iCs w:val="0"/>
          <w:sz w:val="24"/>
          <w:szCs w:val="24"/>
        </w:rPr>
        <w:t>61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_Toc14363 </w:instrText>
      </w:r>
      <w:r>
        <w:rPr>
          <w:i w:val="0"/>
          <w:iCs w:val="0"/>
          <w:sz w:val="24"/>
          <w:szCs w:val="24"/>
        </w:rPr>
        <w:fldChar w:fldCharType="separate"/>
      </w:r>
      <w:r>
        <w:rPr>
          <w:rFonts w:hint="eastAsia"/>
          <w:i w:val="0"/>
          <w:iCs w:val="0"/>
          <w:sz w:val="24"/>
          <w:szCs w:val="24"/>
        </w:rPr>
        <w:t>2.5.2 生产工艺及设备设施危险性分析</w:t>
      </w:r>
      <w:r>
        <w:rPr>
          <w:i w:val="0"/>
          <w:iCs w:val="0"/>
          <w:sz w:val="24"/>
          <w:szCs w:val="24"/>
        </w:rPr>
        <w:tab/>
      </w:r>
      <w:r>
        <w:rPr>
          <w:i w:val="0"/>
          <w:iCs w:val="0"/>
          <w:sz w:val="24"/>
          <w:szCs w:val="24"/>
        </w:rPr>
        <w:fldChar w:fldCharType="begin"/>
      </w:r>
      <w:r>
        <w:rPr>
          <w:i w:val="0"/>
          <w:iCs w:val="0"/>
          <w:sz w:val="24"/>
          <w:szCs w:val="24"/>
        </w:rPr>
        <w:instrText xml:space="preserve"> PAGEREF _Toc14363 \h </w:instrText>
      </w:r>
      <w:r>
        <w:rPr>
          <w:i w:val="0"/>
          <w:iCs w:val="0"/>
          <w:sz w:val="24"/>
          <w:szCs w:val="24"/>
        </w:rPr>
        <w:fldChar w:fldCharType="separate"/>
      </w:r>
      <w:r>
        <w:rPr>
          <w:i w:val="0"/>
          <w:iCs w:val="0"/>
          <w:sz w:val="24"/>
          <w:szCs w:val="24"/>
        </w:rPr>
        <w:t>65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_Toc2553 </w:instrText>
      </w:r>
      <w:r>
        <w:rPr>
          <w:i w:val="0"/>
          <w:iCs w:val="0"/>
          <w:sz w:val="24"/>
          <w:szCs w:val="24"/>
        </w:rPr>
        <w:fldChar w:fldCharType="separate"/>
      </w:r>
      <w:r>
        <w:rPr>
          <w:rFonts w:hint="eastAsia"/>
          <w:i w:val="0"/>
          <w:iCs w:val="0"/>
          <w:sz w:val="24"/>
          <w:szCs w:val="24"/>
        </w:rPr>
        <w:t>2.5.3 公用工程及辅助设施危险性分析</w:t>
      </w:r>
      <w:r>
        <w:rPr>
          <w:i w:val="0"/>
          <w:iCs w:val="0"/>
          <w:sz w:val="24"/>
          <w:szCs w:val="24"/>
        </w:rPr>
        <w:tab/>
      </w:r>
      <w:r>
        <w:rPr>
          <w:i w:val="0"/>
          <w:iCs w:val="0"/>
          <w:sz w:val="24"/>
          <w:szCs w:val="24"/>
        </w:rPr>
        <w:fldChar w:fldCharType="begin"/>
      </w:r>
      <w:r>
        <w:rPr>
          <w:i w:val="0"/>
          <w:iCs w:val="0"/>
          <w:sz w:val="24"/>
          <w:szCs w:val="24"/>
        </w:rPr>
        <w:instrText xml:space="preserve"> PAGEREF _Toc2553 \h </w:instrText>
      </w:r>
      <w:r>
        <w:rPr>
          <w:i w:val="0"/>
          <w:iCs w:val="0"/>
          <w:sz w:val="24"/>
          <w:szCs w:val="24"/>
        </w:rPr>
        <w:fldChar w:fldCharType="separate"/>
      </w:r>
      <w:r>
        <w:rPr>
          <w:i w:val="0"/>
          <w:iCs w:val="0"/>
          <w:sz w:val="24"/>
          <w:szCs w:val="24"/>
        </w:rPr>
        <w:t>71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_Toc11920 </w:instrText>
      </w:r>
      <w:r>
        <w:rPr>
          <w:i w:val="0"/>
          <w:iCs w:val="0"/>
          <w:sz w:val="24"/>
          <w:szCs w:val="24"/>
        </w:rPr>
        <w:fldChar w:fldCharType="separate"/>
      </w:r>
      <w:r>
        <w:rPr>
          <w:rFonts w:hint="eastAsia"/>
          <w:i w:val="0"/>
          <w:iCs w:val="0"/>
          <w:sz w:val="24"/>
          <w:szCs w:val="24"/>
        </w:rPr>
        <w:t>2.5.4 安全管理及应急救援危险性分析</w:t>
      </w:r>
      <w:r>
        <w:rPr>
          <w:i w:val="0"/>
          <w:iCs w:val="0"/>
          <w:sz w:val="24"/>
          <w:szCs w:val="24"/>
        </w:rPr>
        <w:tab/>
      </w:r>
      <w:r>
        <w:rPr>
          <w:i w:val="0"/>
          <w:iCs w:val="0"/>
          <w:sz w:val="24"/>
          <w:szCs w:val="24"/>
        </w:rPr>
        <w:fldChar w:fldCharType="begin"/>
      </w:r>
      <w:r>
        <w:rPr>
          <w:i w:val="0"/>
          <w:iCs w:val="0"/>
          <w:sz w:val="24"/>
          <w:szCs w:val="24"/>
        </w:rPr>
        <w:instrText xml:space="preserve"> PAGEREF _Toc11920 \h </w:instrText>
      </w:r>
      <w:r>
        <w:rPr>
          <w:i w:val="0"/>
          <w:iCs w:val="0"/>
          <w:sz w:val="24"/>
          <w:szCs w:val="24"/>
        </w:rPr>
        <w:fldChar w:fldCharType="separate"/>
      </w:r>
      <w:r>
        <w:rPr>
          <w:i w:val="0"/>
          <w:iCs w:val="0"/>
          <w:sz w:val="24"/>
          <w:szCs w:val="24"/>
        </w:rPr>
        <w:t>82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_Toc14073 </w:instrText>
      </w:r>
      <w:r>
        <w:rPr>
          <w:i w:val="0"/>
          <w:iCs w:val="0"/>
          <w:sz w:val="24"/>
          <w:szCs w:val="24"/>
        </w:rPr>
        <w:fldChar w:fldCharType="separate"/>
      </w:r>
      <w:r>
        <w:rPr>
          <w:rFonts w:hint="eastAsia" w:ascii="宋体" w:hAnsi="宋体" w:eastAsia="宋体" w:cs="宋体"/>
          <w:bCs/>
          <w:i w:val="0"/>
          <w:iCs w:val="0"/>
          <w:sz w:val="24"/>
          <w:szCs w:val="24"/>
        </w:rPr>
        <w:t>2.</w:t>
      </w:r>
      <w:r>
        <w:rPr>
          <w:rFonts w:hint="eastAsia" w:ascii="宋体" w:hAnsi="宋体" w:eastAsia="宋体" w:cs="宋体"/>
          <w:bCs/>
          <w:i w:val="0"/>
          <w:iCs w:val="0"/>
          <w:sz w:val="24"/>
          <w:szCs w:val="24"/>
          <w:lang w:val="en-US" w:eastAsia="zh-CN"/>
        </w:rPr>
        <w:t>6</w:t>
      </w:r>
      <w:r>
        <w:rPr>
          <w:rFonts w:hint="eastAsia" w:ascii="宋体" w:hAnsi="宋体" w:eastAsia="宋体" w:cs="宋体"/>
          <w:bCs/>
          <w:i w:val="0"/>
          <w:iCs w:val="0"/>
          <w:sz w:val="24"/>
          <w:szCs w:val="24"/>
        </w:rPr>
        <w:t xml:space="preserve"> 事故案例分析</w:t>
      </w:r>
      <w:r>
        <w:rPr>
          <w:i w:val="0"/>
          <w:iCs w:val="0"/>
          <w:sz w:val="24"/>
          <w:szCs w:val="24"/>
        </w:rPr>
        <w:tab/>
      </w:r>
      <w:r>
        <w:rPr>
          <w:i w:val="0"/>
          <w:iCs w:val="0"/>
          <w:sz w:val="24"/>
          <w:szCs w:val="24"/>
        </w:rPr>
        <w:fldChar w:fldCharType="begin"/>
      </w:r>
      <w:r>
        <w:rPr>
          <w:i w:val="0"/>
          <w:iCs w:val="0"/>
          <w:sz w:val="24"/>
          <w:szCs w:val="24"/>
        </w:rPr>
        <w:instrText xml:space="preserve"> PAGEREF _Toc14073 \h </w:instrText>
      </w:r>
      <w:r>
        <w:rPr>
          <w:i w:val="0"/>
          <w:iCs w:val="0"/>
          <w:sz w:val="24"/>
          <w:szCs w:val="24"/>
        </w:rPr>
        <w:fldChar w:fldCharType="separate"/>
      </w:r>
      <w:r>
        <w:rPr>
          <w:i w:val="0"/>
          <w:iCs w:val="0"/>
          <w:sz w:val="24"/>
          <w:szCs w:val="24"/>
        </w:rPr>
        <w:t>84</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_Toc20302 </w:instrText>
      </w:r>
      <w:r>
        <w:rPr>
          <w:i w:val="0"/>
          <w:iCs w:val="0"/>
          <w:sz w:val="24"/>
          <w:szCs w:val="24"/>
        </w:rPr>
        <w:fldChar w:fldCharType="separate"/>
      </w:r>
      <w:r>
        <w:rPr>
          <w:rFonts w:hint="eastAsia"/>
          <w:i w:val="0"/>
          <w:iCs w:val="0"/>
          <w:sz w:val="24"/>
          <w:szCs w:val="24"/>
        </w:rPr>
        <w:t>2.</w:t>
      </w:r>
      <w:r>
        <w:rPr>
          <w:rFonts w:hint="eastAsia"/>
          <w:i w:val="0"/>
          <w:iCs w:val="0"/>
          <w:sz w:val="24"/>
          <w:szCs w:val="24"/>
          <w:lang w:val="en-US" w:eastAsia="zh-CN"/>
        </w:rPr>
        <w:t>7</w:t>
      </w:r>
      <w:r>
        <w:rPr>
          <w:rFonts w:hint="eastAsia"/>
          <w:i w:val="0"/>
          <w:iCs w:val="0"/>
          <w:sz w:val="24"/>
          <w:szCs w:val="24"/>
        </w:rPr>
        <w:t xml:space="preserve"> 危险化学品重大危险源辨识</w:t>
      </w:r>
      <w:r>
        <w:rPr>
          <w:i w:val="0"/>
          <w:iCs w:val="0"/>
          <w:sz w:val="24"/>
          <w:szCs w:val="24"/>
        </w:rPr>
        <w:tab/>
      </w:r>
      <w:r>
        <w:rPr>
          <w:i w:val="0"/>
          <w:iCs w:val="0"/>
          <w:sz w:val="24"/>
          <w:szCs w:val="24"/>
        </w:rPr>
        <w:fldChar w:fldCharType="begin"/>
      </w:r>
      <w:r>
        <w:rPr>
          <w:i w:val="0"/>
          <w:iCs w:val="0"/>
          <w:sz w:val="24"/>
          <w:szCs w:val="24"/>
        </w:rPr>
        <w:instrText xml:space="preserve"> PAGEREF _Toc20302 \h </w:instrText>
      </w:r>
      <w:r>
        <w:rPr>
          <w:i w:val="0"/>
          <w:iCs w:val="0"/>
          <w:sz w:val="24"/>
          <w:szCs w:val="24"/>
        </w:rPr>
        <w:fldChar w:fldCharType="separate"/>
      </w:r>
      <w:r>
        <w:rPr>
          <w:i w:val="0"/>
          <w:iCs w:val="0"/>
          <w:sz w:val="24"/>
          <w:szCs w:val="24"/>
        </w:rPr>
        <w:t>92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_Toc10003 </w:instrText>
      </w:r>
      <w:r>
        <w:rPr>
          <w:i w:val="0"/>
          <w:iCs w:val="0"/>
          <w:sz w:val="24"/>
          <w:szCs w:val="24"/>
        </w:rPr>
        <w:fldChar w:fldCharType="separate"/>
      </w:r>
      <w:r>
        <w:rPr>
          <w:rFonts w:hint="eastAsia"/>
          <w:i w:val="0"/>
          <w:iCs w:val="0"/>
          <w:sz w:val="24"/>
          <w:szCs w:val="24"/>
        </w:rPr>
        <w:t>2.</w:t>
      </w:r>
      <w:r>
        <w:rPr>
          <w:rFonts w:hint="eastAsia"/>
          <w:i w:val="0"/>
          <w:iCs w:val="0"/>
          <w:sz w:val="24"/>
          <w:szCs w:val="24"/>
          <w:lang w:val="en-US" w:eastAsia="zh-CN"/>
        </w:rPr>
        <w:t>8</w:t>
      </w:r>
      <w:r>
        <w:rPr>
          <w:rFonts w:hint="eastAsia"/>
          <w:i w:val="0"/>
          <w:iCs w:val="0"/>
          <w:sz w:val="24"/>
          <w:szCs w:val="24"/>
        </w:rPr>
        <w:t xml:space="preserve"> 剧毒品、易制毒化学品、易制爆化学品辨识</w:t>
      </w:r>
      <w:r>
        <w:rPr>
          <w:i w:val="0"/>
          <w:iCs w:val="0"/>
          <w:sz w:val="24"/>
          <w:szCs w:val="24"/>
        </w:rPr>
        <w:tab/>
      </w:r>
      <w:r>
        <w:rPr>
          <w:i w:val="0"/>
          <w:iCs w:val="0"/>
          <w:sz w:val="24"/>
          <w:szCs w:val="24"/>
        </w:rPr>
        <w:fldChar w:fldCharType="begin"/>
      </w:r>
      <w:r>
        <w:rPr>
          <w:i w:val="0"/>
          <w:iCs w:val="0"/>
          <w:sz w:val="24"/>
          <w:szCs w:val="24"/>
        </w:rPr>
        <w:instrText xml:space="preserve"> PAGEREF _Toc10003 \h </w:instrText>
      </w:r>
      <w:r>
        <w:rPr>
          <w:i w:val="0"/>
          <w:iCs w:val="0"/>
          <w:sz w:val="24"/>
          <w:szCs w:val="24"/>
        </w:rPr>
        <w:fldChar w:fldCharType="separate"/>
      </w:r>
      <w:r>
        <w:rPr>
          <w:i w:val="0"/>
          <w:iCs w:val="0"/>
          <w:sz w:val="24"/>
          <w:szCs w:val="24"/>
        </w:rPr>
        <w:t>95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_Toc23848 </w:instrText>
      </w:r>
      <w:r>
        <w:rPr>
          <w:i w:val="0"/>
          <w:iCs w:val="0"/>
          <w:sz w:val="24"/>
          <w:szCs w:val="24"/>
        </w:rPr>
        <w:fldChar w:fldCharType="separate"/>
      </w:r>
      <w:r>
        <w:rPr>
          <w:rFonts w:hint="eastAsia"/>
          <w:i w:val="0"/>
          <w:iCs w:val="0"/>
          <w:sz w:val="24"/>
          <w:szCs w:val="24"/>
        </w:rPr>
        <w:t>2.</w:t>
      </w:r>
      <w:r>
        <w:rPr>
          <w:rFonts w:hint="eastAsia"/>
          <w:i w:val="0"/>
          <w:iCs w:val="0"/>
          <w:sz w:val="24"/>
          <w:szCs w:val="24"/>
          <w:lang w:val="en-US" w:eastAsia="zh-CN"/>
        </w:rPr>
        <w:t>9</w:t>
      </w:r>
      <w:r>
        <w:rPr>
          <w:rFonts w:hint="eastAsia"/>
          <w:i w:val="0"/>
          <w:iCs w:val="0"/>
          <w:sz w:val="24"/>
          <w:szCs w:val="24"/>
        </w:rPr>
        <w:t xml:space="preserve"> 重点监管的危险化学品辨识</w:t>
      </w:r>
      <w:r>
        <w:rPr>
          <w:i w:val="0"/>
          <w:iCs w:val="0"/>
          <w:sz w:val="24"/>
          <w:szCs w:val="24"/>
        </w:rPr>
        <w:tab/>
      </w:r>
      <w:r>
        <w:rPr>
          <w:i w:val="0"/>
          <w:iCs w:val="0"/>
          <w:sz w:val="24"/>
          <w:szCs w:val="24"/>
        </w:rPr>
        <w:fldChar w:fldCharType="begin"/>
      </w:r>
      <w:r>
        <w:rPr>
          <w:i w:val="0"/>
          <w:iCs w:val="0"/>
          <w:sz w:val="24"/>
          <w:szCs w:val="24"/>
        </w:rPr>
        <w:instrText xml:space="preserve"> PAGEREF _Toc23848 \h </w:instrText>
      </w:r>
      <w:r>
        <w:rPr>
          <w:i w:val="0"/>
          <w:iCs w:val="0"/>
          <w:sz w:val="24"/>
          <w:szCs w:val="24"/>
        </w:rPr>
        <w:fldChar w:fldCharType="separate"/>
      </w:r>
      <w:r>
        <w:rPr>
          <w:i w:val="0"/>
          <w:iCs w:val="0"/>
          <w:sz w:val="24"/>
          <w:szCs w:val="24"/>
        </w:rPr>
        <w:t>95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_Toc25517 </w:instrText>
      </w:r>
      <w:r>
        <w:rPr>
          <w:i w:val="0"/>
          <w:iCs w:val="0"/>
          <w:sz w:val="24"/>
          <w:szCs w:val="24"/>
        </w:rPr>
        <w:fldChar w:fldCharType="separate"/>
      </w:r>
      <w:r>
        <w:rPr>
          <w:rFonts w:hint="eastAsia"/>
          <w:i w:val="0"/>
          <w:iCs w:val="0"/>
          <w:sz w:val="24"/>
          <w:szCs w:val="24"/>
        </w:rPr>
        <w:t>2.10 重点监管的危险化工工艺辨识</w:t>
      </w:r>
      <w:r>
        <w:rPr>
          <w:i w:val="0"/>
          <w:iCs w:val="0"/>
          <w:sz w:val="24"/>
          <w:szCs w:val="24"/>
        </w:rPr>
        <w:tab/>
      </w:r>
      <w:r>
        <w:rPr>
          <w:i w:val="0"/>
          <w:iCs w:val="0"/>
          <w:sz w:val="24"/>
          <w:szCs w:val="24"/>
        </w:rPr>
        <w:fldChar w:fldCharType="begin"/>
      </w:r>
      <w:r>
        <w:rPr>
          <w:i w:val="0"/>
          <w:iCs w:val="0"/>
          <w:sz w:val="24"/>
          <w:szCs w:val="24"/>
        </w:rPr>
        <w:instrText xml:space="preserve"> PAGEREF _Toc25517 \h </w:instrText>
      </w:r>
      <w:r>
        <w:rPr>
          <w:i w:val="0"/>
          <w:iCs w:val="0"/>
          <w:sz w:val="24"/>
          <w:szCs w:val="24"/>
        </w:rPr>
        <w:fldChar w:fldCharType="separate"/>
      </w:r>
      <w:r>
        <w:rPr>
          <w:i w:val="0"/>
          <w:iCs w:val="0"/>
          <w:sz w:val="24"/>
          <w:szCs w:val="24"/>
        </w:rPr>
        <w:t>95</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_Toc17631 </w:instrText>
      </w:r>
      <w:r>
        <w:rPr>
          <w:i w:val="0"/>
          <w:iCs w:val="0"/>
          <w:sz w:val="24"/>
          <w:szCs w:val="24"/>
        </w:rPr>
        <w:fldChar w:fldCharType="separate"/>
      </w:r>
      <w:r>
        <w:rPr>
          <w:rFonts w:hint="eastAsia"/>
          <w:i w:val="0"/>
          <w:iCs w:val="0"/>
          <w:sz w:val="24"/>
          <w:szCs w:val="24"/>
          <w:lang w:val="en-US" w:eastAsia="zh-CN"/>
        </w:rPr>
        <w:t>2</w:t>
      </w:r>
      <w:r>
        <w:rPr>
          <w:rFonts w:hint="eastAsia"/>
          <w:i w:val="0"/>
          <w:iCs w:val="0"/>
          <w:sz w:val="24"/>
          <w:szCs w:val="24"/>
        </w:rPr>
        <w:t>.</w:t>
      </w:r>
      <w:r>
        <w:rPr>
          <w:rFonts w:hint="eastAsia"/>
          <w:i w:val="0"/>
          <w:iCs w:val="0"/>
          <w:sz w:val="24"/>
          <w:szCs w:val="24"/>
          <w:lang w:val="en-US" w:eastAsia="zh-CN"/>
        </w:rPr>
        <w:t>11</w:t>
      </w:r>
      <w:r>
        <w:rPr>
          <w:rFonts w:hint="eastAsia"/>
          <w:i w:val="0"/>
          <w:iCs w:val="0"/>
          <w:sz w:val="24"/>
          <w:szCs w:val="24"/>
        </w:rPr>
        <w:t xml:space="preserve"> 高毒物品辨识结果</w:t>
      </w:r>
      <w:r>
        <w:rPr>
          <w:i w:val="0"/>
          <w:iCs w:val="0"/>
          <w:sz w:val="24"/>
          <w:szCs w:val="24"/>
        </w:rPr>
        <w:tab/>
      </w:r>
      <w:r>
        <w:rPr>
          <w:i w:val="0"/>
          <w:iCs w:val="0"/>
          <w:sz w:val="24"/>
          <w:szCs w:val="24"/>
        </w:rPr>
        <w:fldChar w:fldCharType="begin"/>
      </w:r>
      <w:r>
        <w:rPr>
          <w:i w:val="0"/>
          <w:iCs w:val="0"/>
          <w:sz w:val="24"/>
          <w:szCs w:val="24"/>
        </w:rPr>
        <w:instrText xml:space="preserve"> PAGEREF _Toc17631 \h </w:instrText>
      </w:r>
      <w:r>
        <w:rPr>
          <w:i w:val="0"/>
          <w:iCs w:val="0"/>
          <w:sz w:val="24"/>
          <w:szCs w:val="24"/>
        </w:rPr>
        <w:fldChar w:fldCharType="separate"/>
      </w:r>
      <w:r>
        <w:rPr>
          <w:i w:val="0"/>
          <w:iCs w:val="0"/>
          <w:sz w:val="24"/>
          <w:szCs w:val="24"/>
        </w:rPr>
        <w:t>96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_Toc22132 </w:instrText>
      </w:r>
      <w:r>
        <w:rPr>
          <w:i w:val="0"/>
          <w:iCs w:val="0"/>
          <w:sz w:val="24"/>
          <w:szCs w:val="24"/>
        </w:rPr>
        <w:fldChar w:fldCharType="separate"/>
      </w:r>
      <w:r>
        <w:rPr>
          <w:rFonts w:hint="eastAsia" w:ascii="宋体" w:hAnsi="宋体"/>
          <w:bCs/>
          <w:i w:val="0"/>
          <w:iCs w:val="0"/>
          <w:sz w:val="24"/>
          <w:szCs w:val="24"/>
          <w:lang w:val="en-US" w:eastAsia="zh-CN"/>
        </w:rPr>
        <w:t>2</w:t>
      </w:r>
      <w:r>
        <w:rPr>
          <w:rFonts w:hint="eastAsia" w:ascii="宋体" w:hAnsi="宋体"/>
          <w:bCs/>
          <w:i w:val="0"/>
          <w:iCs w:val="0"/>
          <w:sz w:val="24"/>
          <w:szCs w:val="24"/>
        </w:rPr>
        <w:t>.</w:t>
      </w:r>
      <w:r>
        <w:rPr>
          <w:rFonts w:hint="eastAsia" w:ascii="宋体" w:hAnsi="宋体"/>
          <w:bCs/>
          <w:i w:val="0"/>
          <w:iCs w:val="0"/>
          <w:sz w:val="24"/>
          <w:szCs w:val="24"/>
          <w:lang w:val="en-US" w:eastAsia="zh-CN"/>
        </w:rPr>
        <w:t>12</w:t>
      </w:r>
      <w:r>
        <w:rPr>
          <w:rFonts w:hint="eastAsia" w:ascii="宋体" w:hAnsi="宋体"/>
          <w:bCs/>
          <w:i w:val="0"/>
          <w:iCs w:val="0"/>
          <w:sz w:val="24"/>
          <w:szCs w:val="24"/>
        </w:rPr>
        <w:t>特别管控危险化学品</w:t>
      </w:r>
      <w:r>
        <w:rPr>
          <w:rFonts w:hint="eastAsia"/>
          <w:bCs/>
          <w:i w:val="0"/>
          <w:iCs w:val="0"/>
          <w:sz w:val="24"/>
          <w:szCs w:val="24"/>
        </w:rPr>
        <w:t>辨识结果</w:t>
      </w:r>
      <w:r>
        <w:rPr>
          <w:i w:val="0"/>
          <w:iCs w:val="0"/>
          <w:sz w:val="24"/>
          <w:szCs w:val="24"/>
        </w:rPr>
        <w:tab/>
      </w:r>
      <w:r>
        <w:rPr>
          <w:i w:val="0"/>
          <w:iCs w:val="0"/>
          <w:sz w:val="24"/>
          <w:szCs w:val="24"/>
        </w:rPr>
        <w:fldChar w:fldCharType="begin"/>
      </w:r>
      <w:r>
        <w:rPr>
          <w:i w:val="0"/>
          <w:iCs w:val="0"/>
          <w:sz w:val="24"/>
          <w:szCs w:val="24"/>
        </w:rPr>
        <w:instrText xml:space="preserve"> PAGEREF _Toc22132 \h </w:instrText>
      </w:r>
      <w:r>
        <w:rPr>
          <w:i w:val="0"/>
          <w:iCs w:val="0"/>
          <w:sz w:val="24"/>
          <w:szCs w:val="24"/>
        </w:rPr>
        <w:fldChar w:fldCharType="separate"/>
      </w:r>
      <w:r>
        <w:rPr>
          <w:i w:val="0"/>
          <w:iCs w:val="0"/>
          <w:sz w:val="24"/>
          <w:szCs w:val="24"/>
        </w:rPr>
        <w:t>96</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_Toc14326 </w:instrText>
      </w:r>
      <w:r>
        <w:rPr>
          <w:i w:val="0"/>
          <w:iCs w:val="0"/>
          <w:sz w:val="24"/>
          <w:szCs w:val="24"/>
        </w:rPr>
        <w:fldChar w:fldCharType="separate"/>
      </w:r>
      <w:r>
        <w:rPr>
          <w:rFonts w:hint="eastAsia" w:ascii="宋体" w:hAnsi="宋体" w:eastAsia="宋体" w:cs="宋体"/>
          <w:bCs w:val="0"/>
          <w:i w:val="0"/>
          <w:iCs w:val="0"/>
          <w:sz w:val="24"/>
          <w:szCs w:val="24"/>
        </w:rPr>
        <w:t>附件3  安全评价方法简介</w:t>
      </w:r>
      <w:r>
        <w:rPr>
          <w:i w:val="0"/>
          <w:iCs w:val="0"/>
          <w:sz w:val="24"/>
          <w:szCs w:val="24"/>
        </w:rPr>
        <w:tab/>
      </w:r>
      <w:r>
        <w:rPr>
          <w:i w:val="0"/>
          <w:iCs w:val="0"/>
          <w:sz w:val="24"/>
          <w:szCs w:val="24"/>
        </w:rPr>
        <w:fldChar w:fldCharType="begin"/>
      </w:r>
      <w:r>
        <w:rPr>
          <w:i w:val="0"/>
          <w:iCs w:val="0"/>
          <w:sz w:val="24"/>
          <w:szCs w:val="24"/>
        </w:rPr>
        <w:instrText xml:space="preserve"> PAGEREF _Toc14326 \h </w:instrText>
      </w:r>
      <w:r>
        <w:rPr>
          <w:i w:val="0"/>
          <w:iCs w:val="0"/>
          <w:sz w:val="24"/>
          <w:szCs w:val="24"/>
        </w:rPr>
        <w:fldChar w:fldCharType="separate"/>
      </w:r>
      <w:r>
        <w:rPr>
          <w:i w:val="0"/>
          <w:iCs w:val="0"/>
          <w:sz w:val="24"/>
          <w:szCs w:val="24"/>
        </w:rPr>
        <w:t>97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_Toc3293 </w:instrText>
      </w:r>
      <w:r>
        <w:rPr>
          <w:i w:val="0"/>
          <w:iCs w:val="0"/>
          <w:sz w:val="24"/>
          <w:szCs w:val="24"/>
        </w:rPr>
        <w:fldChar w:fldCharType="separate"/>
      </w:r>
      <w:r>
        <w:rPr>
          <w:rFonts w:hint="eastAsia"/>
          <w:i w:val="0"/>
          <w:iCs w:val="0"/>
          <w:sz w:val="24"/>
          <w:szCs w:val="24"/>
        </w:rPr>
        <w:t>3.1 安全检查表法</w:t>
      </w:r>
      <w:r>
        <w:rPr>
          <w:i w:val="0"/>
          <w:iCs w:val="0"/>
          <w:sz w:val="24"/>
          <w:szCs w:val="24"/>
        </w:rPr>
        <w:tab/>
      </w:r>
      <w:r>
        <w:rPr>
          <w:i w:val="0"/>
          <w:iCs w:val="0"/>
          <w:sz w:val="24"/>
          <w:szCs w:val="24"/>
        </w:rPr>
        <w:fldChar w:fldCharType="begin"/>
      </w:r>
      <w:r>
        <w:rPr>
          <w:i w:val="0"/>
          <w:iCs w:val="0"/>
          <w:sz w:val="24"/>
          <w:szCs w:val="24"/>
        </w:rPr>
        <w:instrText xml:space="preserve"> PAGEREF _Toc3293 \h </w:instrText>
      </w:r>
      <w:r>
        <w:rPr>
          <w:i w:val="0"/>
          <w:iCs w:val="0"/>
          <w:sz w:val="24"/>
          <w:szCs w:val="24"/>
        </w:rPr>
        <w:fldChar w:fldCharType="separate"/>
      </w:r>
      <w:r>
        <w:rPr>
          <w:i w:val="0"/>
          <w:iCs w:val="0"/>
          <w:sz w:val="24"/>
          <w:szCs w:val="24"/>
        </w:rPr>
        <w:t>97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_Toc11604 </w:instrText>
      </w:r>
      <w:r>
        <w:rPr>
          <w:i w:val="0"/>
          <w:iCs w:val="0"/>
          <w:sz w:val="24"/>
          <w:szCs w:val="24"/>
        </w:rPr>
        <w:fldChar w:fldCharType="separate"/>
      </w:r>
      <w:r>
        <w:rPr>
          <w:rFonts w:hint="eastAsia"/>
          <w:i w:val="0"/>
          <w:iCs w:val="0"/>
          <w:sz w:val="24"/>
          <w:szCs w:val="24"/>
        </w:rPr>
        <w:t xml:space="preserve">3.2 </w:t>
      </w:r>
      <w:r>
        <w:rPr>
          <w:i w:val="0"/>
          <w:iCs w:val="0"/>
          <w:sz w:val="24"/>
          <w:szCs w:val="24"/>
        </w:rPr>
        <w:t>作业条件危险性评价法</w:t>
      </w:r>
      <w:r>
        <w:rPr>
          <w:i w:val="0"/>
          <w:iCs w:val="0"/>
          <w:sz w:val="24"/>
          <w:szCs w:val="24"/>
        </w:rPr>
        <w:tab/>
      </w:r>
      <w:r>
        <w:rPr>
          <w:i w:val="0"/>
          <w:iCs w:val="0"/>
          <w:sz w:val="24"/>
          <w:szCs w:val="24"/>
        </w:rPr>
        <w:fldChar w:fldCharType="begin"/>
      </w:r>
      <w:r>
        <w:rPr>
          <w:i w:val="0"/>
          <w:iCs w:val="0"/>
          <w:sz w:val="24"/>
          <w:szCs w:val="24"/>
        </w:rPr>
        <w:instrText xml:space="preserve"> PAGEREF _Toc11604 \h </w:instrText>
      </w:r>
      <w:r>
        <w:rPr>
          <w:i w:val="0"/>
          <w:iCs w:val="0"/>
          <w:sz w:val="24"/>
          <w:szCs w:val="24"/>
        </w:rPr>
        <w:fldChar w:fldCharType="separate"/>
      </w:r>
      <w:r>
        <w:rPr>
          <w:i w:val="0"/>
          <w:iCs w:val="0"/>
          <w:sz w:val="24"/>
          <w:szCs w:val="24"/>
        </w:rPr>
        <w:t>97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_Toc3098 </w:instrText>
      </w:r>
      <w:r>
        <w:rPr>
          <w:i w:val="0"/>
          <w:iCs w:val="0"/>
          <w:sz w:val="24"/>
          <w:szCs w:val="24"/>
        </w:rPr>
        <w:fldChar w:fldCharType="separate"/>
      </w:r>
      <w:r>
        <w:rPr>
          <w:rFonts w:hint="eastAsia"/>
          <w:i w:val="0"/>
          <w:iCs w:val="0"/>
          <w:sz w:val="24"/>
          <w:szCs w:val="24"/>
        </w:rPr>
        <w:t>3.</w:t>
      </w:r>
      <w:r>
        <w:rPr>
          <w:rFonts w:hint="eastAsia"/>
          <w:i w:val="0"/>
          <w:iCs w:val="0"/>
          <w:sz w:val="24"/>
          <w:szCs w:val="24"/>
          <w:lang w:val="en-US" w:eastAsia="zh-CN"/>
        </w:rPr>
        <w:t>3</w:t>
      </w:r>
      <w:r>
        <w:rPr>
          <w:rFonts w:hint="eastAsia"/>
          <w:i w:val="0"/>
          <w:iCs w:val="0"/>
          <w:sz w:val="24"/>
          <w:szCs w:val="24"/>
        </w:rPr>
        <w:t>评价方法选择汇总</w:t>
      </w:r>
      <w:r>
        <w:rPr>
          <w:i w:val="0"/>
          <w:iCs w:val="0"/>
          <w:sz w:val="24"/>
          <w:szCs w:val="24"/>
        </w:rPr>
        <w:tab/>
      </w:r>
      <w:r>
        <w:rPr>
          <w:i w:val="0"/>
          <w:iCs w:val="0"/>
          <w:sz w:val="24"/>
          <w:szCs w:val="24"/>
        </w:rPr>
        <w:fldChar w:fldCharType="begin"/>
      </w:r>
      <w:r>
        <w:rPr>
          <w:i w:val="0"/>
          <w:iCs w:val="0"/>
          <w:sz w:val="24"/>
          <w:szCs w:val="24"/>
        </w:rPr>
        <w:instrText xml:space="preserve"> PAGEREF _Toc3098 \h </w:instrText>
      </w:r>
      <w:r>
        <w:rPr>
          <w:i w:val="0"/>
          <w:iCs w:val="0"/>
          <w:sz w:val="24"/>
          <w:szCs w:val="24"/>
        </w:rPr>
        <w:fldChar w:fldCharType="separate"/>
      </w:r>
      <w:r>
        <w:rPr>
          <w:i w:val="0"/>
          <w:iCs w:val="0"/>
          <w:sz w:val="24"/>
          <w:szCs w:val="24"/>
        </w:rPr>
        <w:t>99</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_Toc5682 </w:instrText>
      </w:r>
      <w:r>
        <w:rPr>
          <w:i w:val="0"/>
          <w:iCs w:val="0"/>
          <w:sz w:val="24"/>
          <w:szCs w:val="24"/>
        </w:rPr>
        <w:fldChar w:fldCharType="separate"/>
      </w:r>
      <w:r>
        <w:rPr>
          <w:rFonts w:hint="eastAsia" w:ascii="宋体" w:hAnsi="宋体" w:eastAsia="宋体" w:cs="宋体"/>
          <w:bCs w:val="0"/>
          <w:i w:val="0"/>
          <w:iCs w:val="0"/>
          <w:sz w:val="24"/>
          <w:szCs w:val="24"/>
        </w:rPr>
        <w:t>附件4  安全条件和安全生产条件分析评价</w:t>
      </w:r>
      <w:r>
        <w:rPr>
          <w:i w:val="0"/>
          <w:iCs w:val="0"/>
          <w:sz w:val="24"/>
          <w:szCs w:val="24"/>
        </w:rPr>
        <w:tab/>
      </w:r>
      <w:r>
        <w:rPr>
          <w:i w:val="0"/>
          <w:iCs w:val="0"/>
          <w:sz w:val="24"/>
          <w:szCs w:val="24"/>
        </w:rPr>
        <w:fldChar w:fldCharType="begin"/>
      </w:r>
      <w:r>
        <w:rPr>
          <w:i w:val="0"/>
          <w:iCs w:val="0"/>
          <w:sz w:val="24"/>
          <w:szCs w:val="24"/>
        </w:rPr>
        <w:instrText xml:space="preserve"> PAGEREF _Toc5682 \h </w:instrText>
      </w:r>
      <w:r>
        <w:rPr>
          <w:i w:val="0"/>
          <w:iCs w:val="0"/>
          <w:sz w:val="24"/>
          <w:szCs w:val="24"/>
        </w:rPr>
        <w:fldChar w:fldCharType="separate"/>
      </w:r>
      <w:r>
        <w:rPr>
          <w:i w:val="0"/>
          <w:iCs w:val="0"/>
          <w:sz w:val="24"/>
          <w:szCs w:val="24"/>
        </w:rPr>
        <w:t>100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_Toc4062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1</w:t>
      </w:r>
      <w:r>
        <w:rPr>
          <w:rFonts w:hint="eastAsia"/>
          <w:i w:val="0"/>
          <w:iCs w:val="0"/>
          <w:sz w:val="24"/>
          <w:szCs w:val="24"/>
        </w:rPr>
        <w:t xml:space="preserve"> 厂址及总平面布置评价单元分析评价</w:t>
      </w:r>
      <w:r>
        <w:rPr>
          <w:i w:val="0"/>
          <w:iCs w:val="0"/>
          <w:sz w:val="24"/>
          <w:szCs w:val="24"/>
        </w:rPr>
        <w:tab/>
      </w:r>
      <w:r>
        <w:rPr>
          <w:i w:val="0"/>
          <w:iCs w:val="0"/>
          <w:sz w:val="24"/>
          <w:szCs w:val="24"/>
        </w:rPr>
        <w:fldChar w:fldCharType="begin"/>
      </w:r>
      <w:r>
        <w:rPr>
          <w:i w:val="0"/>
          <w:iCs w:val="0"/>
          <w:sz w:val="24"/>
          <w:szCs w:val="24"/>
        </w:rPr>
        <w:instrText xml:space="preserve"> PAGEREF _Toc4062 \h </w:instrText>
      </w:r>
      <w:r>
        <w:rPr>
          <w:i w:val="0"/>
          <w:iCs w:val="0"/>
          <w:sz w:val="24"/>
          <w:szCs w:val="24"/>
        </w:rPr>
        <w:fldChar w:fldCharType="separate"/>
      </w:r>
      <w:r>
        <w:rPr>
          <w:i w:val="0"/>
          <w:iCs w:val="0"/>
          <w:sz w:val="24"/>
          <w:szCs w:val="24"/>
        </w:rPr>
        <w:t>100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_Toc31084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1</w:t>
      </w:r>
      <w:r>
        <w:rPr>
          <w:rFonts w:hint="eastAsia"/>
          <w:i w:val="0"/>
          <w:iCs w:val="0"/>
          <w:sz w:val="24"/>
          <w:szCs w:val="24"/>
        </w:rPr>
        <w:t>.1 厂址和总平面布置安全检查表</w:t>
      </w:r>
      <w:r>
        <w:rPr>
          <w:i w:val="0"/>
          <w:iCs w:val="0"/>
          <w:sz w:val="24"/>
          <w:szCs w:val="24"/>
        </w:rPr>
        <w:tab/>
      </w:r>
      <w:r>
        <w:rPr>
          <w:i w:val="0"/>
          <w:iCs w:val="0"/>
          <w:sz w:val="24"/>
          <w:szCs w:val="24"/>
        </w:rPr>
        <w:fldChar w:fldCharType="begin"/>
      </w:r>
      <w:r>
        <w:rPr>
          <w:i w:val="0"/>
          <w:iCs w:val="0"/>
          <w:sz w:val="24"/>
          <w:szCs w:val="24"/>
        </w:rPr>
        <w:instrText xml:space="preserve"> PAGEREF _Toc31084 \h </w:instrText>
      </w:r>
      <w:r>
        <w:rPr>
          <w:i w:val="0"/>
          <w:iCs w:val="0"/>
          <w:sz w:val="24"/>
          <w:szCs w:val="24"/>
        </w:rPr>
        <w:fldChar w:fldCharType="separate"/>
      </w:r>
      <w:r>
        <w:rPr>
          <w:i w:val="0"/>
          <w:iCs w:val="0"/>
          <w:sz w:val="24"/>
          <w:szCs w:val="24"/>
        </w:rPr>
        <w:t>100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_Toc7614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1</w:t>
      </w:r>
      <w:r>
        <w:rPr>
          <w:rFonts w:hint="eastAsia"/>
          <w:i w:val="0"/>
          <w:iCs w:val="0"/>
          <w:sz w:val="24"/>
          <w:szCs w:val="24"/>
        </w:rPr>
        <w:t>.2 厂内建构筑物与周边建筑物距离检查表</w:t>
      </w:r>
      <w:r>
        <w:rPr>
          <w:i w:val="0"/>
          <w:iCs w:val="0"/>
          <w:sz w:val="24"/>
          <w:szCs w:val="24"/>
        </w:rPr>
        <w:tab/>
      </w:r>
      <w:r>
        <w:rPr>
          <w:i w:val="0"/>
          <w:iCs w:val="0"/>
          <w:sz w:val="24"/>
          <w:szCs w:val="24"/>
        </w:rPr>
        <w:fldChar w:fldCharType="begin"/>
      </w:r>
      <w:r>
        <w:rPr>
          <w:i w:val="0"/>
          <w:iCs w:val="0"/>
          <w:sz w:val="24"/>
          <w:szCs w:val="24"/>
        </w:rPr>
        <w:instrText xml:space="preserve"> PAGEREF _Toc7614 \h </w:instrText>
      </w:r>
      <w:r>
        <w:rPr>
          <w:i w:val="0"/>
          <w:iCs w:val="0"/>
          <w:sz w:val="24"/>
          <w:szCs w:val="24"/>
        </w:rPr>
        <w:fldChar w:fldCharType="separate"/>
      </w:r>
      <w:r>
        <w:rPr>
          <w:i w:val="0"/>
          <w:iCs w:val="0"/>
          <w:sz w:val="24"/>
          <w:szCs w:val="24"/>
        </w:rPr>
        <w:t>104</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_Toc8135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1</w:t>
      </w:r>
      <w:r>
        <w:rPr>
          <w:rFonts w:hint="eastAsia"/>
          <w:i w:val="0"/>
          <w:iCs w:val="0"/>
          <w:sz w:val="24"/>
          <w:szCs w:val="24"/>
        </w:rPr>
        <w:t>.3 单元小结</w:t>
      </w:r>
      <w:r>
        <w:rPr>
          <w:i w:val="0"/>
          <w:iCs w:val="0"/>
          <w:sz w:val="24"/>
          <w:szCs w:val="24"/>
        </w:rPr>
        <w:tab/>
      </w:r>
      <w:r>
        <w:rPr>
          <w:i w:val="0"/>
          <w:iCs w:val="0"/>
          <w:sz w:val="24"/>
          <w:szCs w:val="24"/>
        </w:rPr>
        <w:fldChar w:fldCharType="begin"/>
      </w:r>
      <w:r>
        <w:rPr>
          <w:i w:val="0"/>
          <w:iCs w:val="0"/>
          <w:sz w:val="24"/>
          <w:szCs w:val="24"/>
        </w:rPr>
        <w:instrText xml:space="preserve"> PAGEREF _Toc8135 \h </w:instrText>
      </w:r>
      <w:r>
        <w:rPr>
          <w:i w:val="0"/>
          <w:iCs w:val="0"/>
          <w:sz w:val="24"/>
          <w:szCs w:val="24"/>
        </w:rPr>
        <w:fldChar w:fldCharType="separate"/>
      </w:r>
      <w:r>
        <w:rPr>
          <w:i w:val="0"/>
          <w:iCs w:val="0"/>
          <w:sz w:val="24"/>
          <w:szCs w:val="24"/>
        </w:rPr>
        <w:t>106</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_Toc22244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2</w:t>
      </w:r>
      <w:r>
        <w:rPr>
          <w:rFonts w:hint="eastAsia"/>
          <w:i w:val="0"/>
          <w:iCs w:val="0"/>
          <w:sz w:val="24"/>
          <w:szCs w:val="24"/>
        </w:rPr>
        <w:t xml:space="preserve"> 生产工艺及设备设施单元评价</w:t>
      </w:r>
      <w:r>
        <w:rPr>
          <w:i w:val="0"/>
          <w:iCs w:val="0"/>
          <w:sz w:val="24"/>
          <w:szCs w:val="24"/>
        </w:rPr>
        <w:tab/>
      </w:r>
      <w:r>
        <w:rPr>
          <w:i w:val="0"/>
          <w:iCs w:val="0"/>
          <w:sz w:val="24"/>
          <w:szCs w:val="24"/>
        </w:rPr>
        <w:fldChar w:fldCharType="begin"/>
      </w:r>
      <w:r>
        <w:rPr>
          <w:i w:val="0"/>
          <w:iCs w:val="0"/>
          <w:sz w:val="24"/>
          <w:szCs w:val="24"/>
        </w:rPr>
        <w:instrText xml:space="preserve"> PAGEREF _Toc22244 \h </w:instrText>
      </w:r>
      <w:r>
        <w:rPr>
          <w:i w:val="0"/>
          <w:iCs w:val="0"/>
          <w:sz w:val="24"/>
          <w:szCs w:val="24"/>
        </w:rPr>
        <w:fldChar w:fldCharType="separate"/>
      </w:r>
      <w:r>
        <w:rPr>
          <w:i w:val="0"/>
          <w:iCs w:val="0"/>
          <w:sz w:val="24"/>
          <w:szCs w:val="24"/>
        </w:rPr>
        <w:t>106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_Toc6991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2</w:t>
      </w:r>
      <w:r>
        <w:rPr>
          <w:rFonts w:hint="eastAsia"/>
          <w:i w:val="0"/>
          <w:iCs w:val="0"/>
          <w:sz w:val="24"/>
          <w:szCs w:val="24"/>
        </w:rPr>
        <w:t>.1 生产工艺及设备设施安全检查表评价</w:t>
      </w:r>
      <w:r>
        <w:rPr>
          <w:i w:val="0"/>
          <w:iCs w:val="0"/>
          <w:sz w:val="24"/>
          <w:szCs w:val="24"/>
        </w:rPr>
        <w:tab/>
      </w:r>
      <w:r>
        <w:rPr>
          <w:i w:val="0"/>
          <w:iCs w:val="0"/>
          <w:sz w:val="24"/>
          <w:szCs w:val="24"/>
        </w:rPr>
        <w:fldChar w:fldCharType="begin"/>
      </w:r>
      <w:r>
        <w:rPr>
          <w:i w:val="0"/>
          <w:iCs w:val="0"/>
          <w:sz w:val="24"/>
          <w:szCs w:val="24"/>
        </w:rPr>
        <w:instrText xml:space="preserve"> PAGEREF _Toc6991 \h </w:instrText>
      </w:r>
      <w:r>
        <w:rPr>
          <w:i w:val="0"/>
          <w:iCs w:val="0"/>
          <w:sz w:val="24"/>
          <w:szCs w:val="24"/>
        </w:rPr>
        <w:fldChar w:fldCharType="separate"/>
      </w:r>
      <w:r>
        <w:rPr>
          <w:i w:val="0"/>
          <w:iCs w:val="0"/>
          <w:sz w:val="24"/>
          <w:szCs w:val="24"/>
        </w:rPr>
        <w:t>106</w:t>
      </w:r>
      <w:r>
        <w:rPr>
          <w:i w:val="0"/>
          <w:iCs w:val="0"/>
          <w:sz w:val="24"/>
          <w:szCs w:val="24"/>
        </w:rPr>
        <w:fldChar w:fldCharType="end"/>
      </w:r>
      <w:r>
        <w:rPr>
          <w:i w:val="0"/>
          <w:iCs w:val="0"/>
          <w:sz w:val="24"/>
          <w:szCs w:val="24"/>
        </w:rPr>
        <w:fldChar w:fldCharType="end"/>
      </w:r>
    </w:p>
    <w:p>
      <w:pPr>
        <w:pStyle w:val="16"/>
        <w:tabs>
          <w:tab w:val="right" w:pos="3200"/>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_Toc27765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2</w:t>
      </w:r>
      <w:r>
        <w:rPr>
          <w:rFonts w:hint="eastAsia"/>
          <w:i w:val="0"/>
          <w:iCs w:val="0"/>
          <w:sz w:val="24"/>
          <w:szCs w:val="24"/>
        </w:rPr>
        <w:t>.</w:t>
      </w:r>
      <w:r>
        <w:rPr>
          <w:i w:val="0"/>
          <w:iCs w:val="0"/>
          <w:sz w:val="24"/>
          <w:szCs w:val="24"/>
        </w:rPr>
        <w:t>2</w:t>
      </w:r>
      <w:r>
        <w:rPr>
          <w:rFonts w:hint="eastAsia"/>
          <w:i w:val="0"/>
          <w:iCs w:val="0"/>
          <w:sz w:val="24"/>
          <w:szCs w:val="24"/>
        </w:rPr>
        <w:tab/>
      </w:r>
      <w:r>
        <w:rPr>
          <w:rFonts w:hint="eastAsia"/>
          <w:i w:val="0"/>
          <w:iCs w:val="0"/>
          <w:sz w:val="24"/>
          <w:szCs w:val="24"/>
        </w:rPr>
        <w:t xml:space="preserve"> 作业条件危险性评价法评价</w:t>
      </w:r>
      <w:r>
        <w:rPr>
          <w:i w:val="0"/>
          <w:iCs w:val="0"/>
          <w:sz w:val="24"/>
          <w:szCs w:val="24"/>
        </w:rPr>
        <w:tab/>
      </w:r>
      <w:r>
        <w:rPr>
          <w:i w:val="0"/>
          <w:iCs w:val="0"/>
          <w:sz w:val="24"/>
          <w:szCs w:val="24"/>
        </w:rPr>
        <w:fldChar w:fldCharType="begin"/>
      </w:r>
      <w:r>
        <w:rPr>
          <w:i w:val="0"/>
          <w:iCs w:val="0"/>
          <w:sz w:val="24"/>
          <w:szCs w:val="24"/>
        </w:rPr>
        <w:instrText xml:space="preserve"> PAGEREF _Toc27765 \h </w:instrText>
      </w:r>
      <w:r>
        <w:rPr>
          <w:i w:val="0"/>
          <w:iCs w:val="0"/>
          <w:sz w:val="24"/>
          <w:szCs w:val="24"/>
        </w:rPr>
        <w:fldChar w:fldCharType="separate"/>
      </w:r>
      <w:r>
        <w:rPr>
          <w:i w:val="0"/>
          <w:iCs w:val="0"/>
          <w:sz w:val="24"/>
          <w:szCs w:val="24"/>
        </w:rPr>
        <w:t>109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_Toc19137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2</w:t>
      </w:r>
      <w:r>
        <w:rPr>
          <w:rFonts w:hint="eastAsia"/>
          <w:i w:val="0"/>
          <w:iCs w:val="0"/>
          <w:sz w:val="24"/>
          <w:szCs w:val="24"/>
        </w:rPr>
        <w:t>.3 危险化学品安全检查分析</w:t>
      </w:r>
      <w:r>
        <w:rPr>
          <w:i w:val="0"/>
          <w:iCs w:val="0"/>
          <w:sz w:val="24"/>
          <w:szCs w:val="24"/>
        </w:rPr>
        <w:tab/>
      </w:r>
      <w:r>
        <w:rPr>
          <w:i w:val="0"/>
          <w:iCs w:val="0"/>
          <w:sz w:val="24"/>
          <w:szCs w:val="24"/>
        </w:rPr>
        <w:fldChar w:fldCharType="begin"/>
      </w:r>
      <w:r>
        <w:rPr>
          <w:i w:val="0"/>
          <w:iCs w:val="0"/>
          <w:sz w:val="24"/>
          <w:szCs w:val="24"/>
        </w:rPr>
        <w:instrText xml:space="preserve"> PAGEREF _Toc19137 \h </w:instrText>
      </w:r>
      <w:r>
        <w:rPr>
          <w:i w:val="0"/>
          <w:iCs w:val="0"/>
          <w:sz w:val="24"/>
          <w:szCs w:val="24"/>
        </w:rPr>
        <w:fldChar w:fldCharType="separate"/>
      </w:r>
      <w:r>
        <w:rPr>
          <w:i w:val="0"/>
          <w:iCs w:val="0"/>
          <w:sz w:val="24"/>
          <w:szCs w:val="24"/>
        </w:rPr>
        <w:t>110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_Toc29654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2</w:t>
      </w:r>
      <w:r>
        <w:rPr>
          <w:rFonts w:hint="eastAsia"/>
          <w:i w:val="0"/>
          <w:iCs w:val="0"/>
          <w:sz w:val="24"/>
          <w:szCs w:val="24"/>
        </w:rPr>
        <w:t>.</w:t>
      </w:r>
      <w:r>
        <w:rPr>
          <w:rFonts w:hint="eastAsia"/>
          <w:i w:val="0"/>
          <w:iCs w:val="0"/>
          <w:sz w:val="24"/>
          <w:szCs w:val="24"/>
          <w:lang w:val="en-US" w:eastAsia="zh-CN"/>
        </w:rPr>
        <w:t>4</w:t>
      </w:r>
      <w:r>
        <w:rPr>
          <w:rFonts w:hint="eastAsia"/>
          <w:i w:val="0"/>
          <w:iCs w:val="0"/>
          <w:sz w:val="24"/>
          <w:szCs w:val="24"/>
        </w:rPr>
        <w:t xml:space="preserve"> 单元小结</w:t>
      </w:r>
      <w:r>
        <w:rPr>
          <w:i w:val="0"/>
          <w:iCs w:val="0"/>
          <w:sz w:val="24"/>
          <w:szCs w:val="24"/>
        </w:rPr>
        <w:tab/>
      </w:r>
      <w:r>
        <w:rPr>
          <w:i w:val="0"/>
          <w:iCs w:val="0"/>
          <w:sz w:val="24"/>
          <w:szCs w:val="24"/>
        </w:rPr>
        <w:fldChar w:fldCharType="begin"/>
      </w:r>
      <w:r>
        <w:rPr>
          <w:i w:val="0"/>
          <w:iCs w:val="0"/>
          <w:sz w:val="24"/>
          <w:szCs w:val="24"/>
        </w:rPr>
        <w:instrText xml:space="preserve"> PAGEREF _Toc29654 \h </w:instrText>
      </w:r>
      <w:r>
        <w:rPr>
          <w:i w:val="0"/>
          <w:iCs w:val="0"/>
          <w:sz w:val="24"/>
          <w:szCs w:val="24"/>
        </w:rPr>
        <w:fldChar w:fldCharType="separate"/>
      </w:r>
      <w:r>
        <w:rPr>
          <w:i w:val="0"/>
          <w:iCs w:val="0"/>
          <w:sz w:val="24"/>
          <w:szCs w:val="24"/>
        </w:rPr>
        <w:t>113</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_Toc16665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3</w:t>
      </w:r>
      <w:r>
        <w:rPr>
          <w:rFonts w:hint="eastAsia"/>
          <w:i w:val="0"/>
          <w:iCs w:val="0"/>
          <w:sz w:val="24"/>
          <w:szCs w:val="24"/>
        </w:rPr>
        <w:t xml:space="preserve"> 公用工程及辅助设施单元评价</w:t>
      </w:r>
      <w:r>
        <w:rPr>
          <w:i w:val="0"/>
          <w:iCs w:val="0"/>
          <w:sz w:val="24"/>
          <w:szCs w:val="24"/>
        </w:rPr>
        <w:tab/>
      </w:r>
      <w:r>
        <w:rPr>
          <w:i w:val="0"/>
          <w:iCs w:val="0"/>
          <w:sz w:val="24"/>
          <w:szCs w:val="24"/>
        </w:rPr>
        <w:fldChar w:fldCharType="begin"/>
      </w:r>
      <w:r>
        <w:rPr>
          <w:i w:val="0"/>
          <w:iCs w:val="0"/>
          <w:sz w:val="24"/>
          <w:szCs w:val="24"/>
        </w:rPr>
        <w:instrText xml:space="preserve"> PAGEREF _Toc16665 \h </w:instrText>
      </w:r>
      <w:r>
        <w:rPr>
          <w:i w:val="0"/>
          <w:iCs w:val="0"/>
          <w:sz w:val="24"/>
          <w:szCs w:val="24"/>
        </w:rPr>
        <w:fldChar w:fldCharType="separate"/>
      </w:r>
      <w:r>
        <w:rPr>
          <w:i w:val="0"/>
          <w:iCs w:val="0"/>
          <w:sz w:val="24"/>
          <w:szCs w:val="24"/>
        </w:rPr>
        <w:t>113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_Toc636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3</w:t>
      </w:r>
      <w:r>
        <w:rPr>
          <w:rFonts w:hint="eastAsia"/>
          <w:i w:val="0"/>
          <w:iCs w:val="0"/>
          <w:sz w:val="24"/>
          <w:szCs w:val="24"/>
        </w:rPr>
        <w:t>.1 供配电安全检查</w:t>
      </w:r>
      <w:r>
        <w:rPr>
          <w:i w:val="0"/>
          <w:iCs w:val="0"/>
          <w:sz w:val="24"/>
          <w:szCs w:val="24"/>
        </w:rPr>
        <w:tab/>
      </w:r>
      <w:r>
        <w:rPr>
          <w:i w:val="0"/>
          <w:iCs w:val="0"/>
          <w:sz w:val="24"/>
          <w:szCs w:val="24"/>
        </w:rPr>
        <w:fldChar w:fldCharType="begin"/>
      </w:r>
      <w:r>
        <w:rPr>
          <w:i w:val="0"/>
          <w:iCs w:val="0"/>
          <w:sz w:val="24"/>
          <w:szCs w:val="24"/>
        </w:rPr>
        <w:instrText xml:space="preserve"> PAGEREF _Toc636 \h </w:instrText>
      </w:r>
      <w:r>
        <w:rPr>
          <w:i w:val="0"/>
          <w:iCs w:val="0"/>
          <w:sz w:val="24"/>
          <w:szCs w:val="24"/>
        </w:rPr>
        <w:fldChar w:fldCharType="separate"/>
      </w:r>
      <w:r>
        <w:rPr>
          <w:i w:val="0"/>
          <w:iCs w:val="0"/>
          <w:sz w:val="24"/>
          <w:szCs w:val="24"/>
        </w:rPr>
        <w:t>113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_Toc31421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3</w:t>
      </w:r>
      <w:r>
        <w:rPr>
          <w:rFonts w:hint="eastAsia"/>
          <w:i w:val="0"/>
          <w:iCs w:val="0"/>
          <w:sz w:val="24"/>
          <w:szCs w:val="24"/>
        </w:rPr>
        <w:t>.2 给排水检查</w:t>
      </w:r>
      <w:r>
        <w:rPr>
          <w:i w:val="0"/>
          <w:iCs w:val="0"/>
          <w:sz w:val="24"/>
          <w:szCs w:val="24"/>
        </w:rPr>
        <w:tab/>
      </w:r>
      <w:r>
        <w:rPr>
          <w:i w:val="0"/>
          <w:iCs w:val="0"/>
          <w:sz w:val="24"/>
          <w:szCs w:val="24"/>
        </w:rPr>
        <w:fldChar w:fldCharType="begin"/>
      </w:r>
      <w:r>
        <w:rPr>
          <w:i w:val="0"/>
          <w:iCs w:val="0"/>
          <w:sz w:val="24"/>
          <w:szCs w:val="24"/>
        </w:rPr>
        <w:instrText xml:space="preserve"> PAGEREF _Toc31421 \h </w:instrText>
      </w:r>
      <w:r>
        <w:rPr>
          <w:i w:val="0"/>
          <w:iCs w:val="0"/>
          <w:sz w:val="24"/>
          <w:szCs w:val="24"/>
        </w:rPr>
        <w:fldChar w:fldCharType="separate"/>
      </w:r>
      <w:r>
        <w:rPr>
          <w:i w:val="0"/>
          <w:iCs w:val="0"/>
          <w:sz w:val="24"/>
          <w:szCs w:val="24"/>
        </w:rPr>
        <w:t>116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_Toc21725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3</w:t>
      </w:r>
      <w:r>
        <w:rPr>
          <w:rFonts w:hint="eastAsia"/>
          <w:i w:val="0"/>
          <w:iCs w:val="0"/>
          <w:sz w:val="24"/>
          <w:szCs w:val="24"/>
        </w:rPr>
        <w:t>.3 消防设施检查</w:t>
      </w:r>
      <w:r>
        <w:rPr>
          <w:i w:val="0"/>
          <w:iCs w:val="0"/>
          <w:sz w:val="24"/>
          <w:szCs w:val="24"/>
        </w:rPr>
        <w:tab/>
      </w:r>
      <w:r>
        <w:rPr>
          <w:i w:val="0"/>
          <w:iCs w:val="0"/>
          <w:sz w:val="24"/>
          <w:szCs w:val="24"/>
        </w:rPr>
        <w:fldChar w:fldCharType="begin"/>
      </w:r>
      <w:r>
        <w:rPr>
          <w:i w:val="0"/>
          <w:iCs w:val="0"/>
          <w:sz w:val="24"/>
          <w:szCs w:val="24"/>
        </w:rPr>
        <w:instrText xml:space="preserve"> PAGEREF _Toc21725 \h </w:instrText>
      </w:r>
      <w:r>
        <w:rPr>
          <w:i w:val="0"/>
          <w:iCs w:val="0"/>
          <w:sz w:val="24"/>
          <w:szCs w:val="24"/>
        </w:rPr>
        <w:fldChar w:fldCharType="separate"/>
      </w:r>
      <w:r>
        <w:rPr>
          <w:i w:val="0"/>
          <w:iCs w:val="0"/>
          <w:sz w:val="24"/>
          <w:szCs w:val="24"/>
        </w:rPr>
        <w:t>117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_Toc9002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3</w:t>
      </w:r>
      <w:r>
        <w:rPr>
          <w:rFonts w:hint="eastAsia"/>
          <w:i w:val="0"/>
          <w:iCs w:val="0"/>
          <w:sz w:val="24"/>
          <w:szCs w:val="24"/>
        </w:rPr>
        <w:t>.4 单元小结</w:t>
      </w:r>
      <w:r>
        <w:rPr>
          <w:i w:val="0"/>
          <w:iCs w:val="0"/>
          <w:sz w:val="24"/>
          <w:szCs w:val="24"/>
        </w:rPr>
        <w:tab/>
      </w:r>
      <w:r>
        <w:rPr>
          <w:i w:val="0"/>
          <w:iCs w:val="0"/>
          <w:sz w:val="24"/>
          <w:szCs w:val="24"/>
        </w:rPr>
        <w:fldChar w:fldCharType="begin"/>
      </w:r>
      <w:r>
        <w:rPr>
          <w:i w:val="0"/>
          <w:iCs w:val="0"/>
          <w:sz w:val="24"/>
          <w:szCs w:val="24"/>
        </w:rPr>
        <w:instrText xml:space="preserve"> PAGEREF _Toc9002 \h </w:instrText>
      </w:r>
      <w:r>
        <w:rPr>
          <w:i w:val="0"/>
          <w:iCs w:val="0"/>
          <w:sz w:val="24"/>
          <w:szCs w:val="24"/>
        </w:rPr>
        <w:fldChar w:fldCharType="separate"/>
      </w:r>
      <w:r>
        <w:rPr>
          <w:i w:val="0"/>
          <w:iCs w:val="0"/>
          <w:sz w:val="24"/>
          <w:szCs w:val="24"/>
        </w:rPr>
        <w:t>118</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_Toc8453 </w:instrText>
      </w:r>
      <w:r>
        <w:rPr>
          <w:i w:val="0"/>
          <w:iCs w:val="0"/>
          <w:sz w:val="24"/>
          <w:szCs w:val="24"/>
        </w:rPr>
        <w:fldChar w:fldCharType="separate"/>
      </w:r>
      <w:r>
        <w:rPr>
          <w:rFonts w:hint="eastAsia"/>
          <w:bCs w:val="0"/>
          <w:i w:val="0"/>
          <w:iCs w:val="0"/>
          <w:sz w:val="24"/>
          <w:szCs w:val="24"/>
        </w:rPr>
        <w:t>4.</w:t>
      </w:r>
      <w:r>
        <w:rPr>
          <w:rFonts w:hint="eastAsia"/>
          <w:bCs w:val="0"/>
          <w:i w:val="0"/>
          <w:iCs w:val="0"/>
          <w:sz w:val="24"/>
          <w:szCs w:val="24"/>
          <w:lang w:val="en-US" w:eastAsia="zh-CN"/>
        </w:rPr>
        <w:t>4</w:t>
      </w:r>
      <w:r>
        <w:rPr>
          <w:rFonts w:hint="eastAsia"/>
          <w:bCs w:val="0"/>
          <w:i w:val="0"/>
          <w:iCs w:val="0"/>
          <w:sz w:val="24"/>
          <w:szCs w:val="24"/>
        </w:rPr>
        <w:t xml:space="preserve"> </w:t>
      </w:r>
      <w:r>
        <w:rPr>
          <w:rFonts w:hint="eastAsia"/>
          <w:i w:val="0"/>
          <w:iCs w:val="0"/>
          <w:sz w:val="24"/>
          <w:szCs w:val="24"/>
        </w:rPr>
        <w:t>安全管理及应急救援单元评价</w:t>
      </w:r>
      <w:r>
        <w:rPr>
          <w:i w:val="0"/>
          <w:iCs w:val="0"/>
          <w:sz w:val="24"/>
          <w:szCs w:val="24"/>
        </w:rPr>
        <w:tab/>
      </w:r>
      <w:r>
        <w:rPr>
          <w:i w:val="0"/>
          <w:iCs w:val="0"/>
          <w:sz w:val="24"/>
          <w:szCs w:val="24"/>
        </w:rPr>
        <w:fldChar w:fldCharType="begin"/>
      </w:r>
      <w:r>
        <w:rPr>
          <w:i w:val="0"/>
          <w:iCs w:val="0"/>
          <w:sz w:val="24"/>
          <w:szCs w:val="24"/>
        </w:rPr>
        <w:instrText xml:space="preserve"> PAGEREF _Toc8453 \h </w:instrText>
      </w:r>
      <w:r>
        <w:rPr>
          <w:i w:val="0"/>
          <w:iCs w:val="0"/>
          <w:sz w:val="24"/>
          <w:szCs w:val="24"/>
        </w:rPr>
        <w:fldChar w:fldCharType="separate"/>
      </w:r>
      <w:r>
        <w:rPr>
          <w:i w:val="0"/>
          <w:iCs w:val="0"/>
          <w:sz w:val="24"/>
          <w:szCs w:val="24"/>
        </w:rPr>
        <w:t>118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_Toc5219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4</w:t>
      </w:r>
      <w:r>
        <w:rPr>
          <w:rFonts w:hint="eastAsia"/>
          <w:i w:val="0"/>
          <w:iCs w:val="0"/>
          <w:sz w:val="24"/>
          <w:szCs w:val="24"/>
        </w:rPr>
        <w:t>.1 安全管理安全评价</w:t>
      </w:r>
      <w:r>
        <w:rPr>
          <w:i w:val="0"/>
          <w:iCs w:val="0"/>
          <w:sz w:val="24"/>
          <w:szCs w:val="24"/>
        </w:rPr>
        <w:tab/>
      </w:r>
      <w:r>
        <w:rPr>
          <w:i w:val="0"/>
          <w:iCs w:val="0"/>
          <w:sz w:val="24"/>
          <w:szCs w:val="24"/>
        </w:rPr>
        <w:fldChar w:fldCharType="begin"/>
      </w:r>
      <w:r>
        <w:rPr>
          <w:i w:val="0"/>
          <w:iCs w:val="0"/>
          <w:sz w:val="24"/>
          <w:szCs w:val="24"/>
        </w:rPr>
        <w:instrText xml:space="preserve"> PAGEREF _Toc5219 \h </w:instrText>
      </w:r>
      <w:r>
        <w:rPr>
          <w:i w:val="0"/>
          <w:iCs w:val="0"/>
          <w:sz w:val="24"/>
          <w:szCs w:val="24"/>
        </w:rPr>
        <w:fldChar w:fldCharType="separate"/>
      </w:r>
      <w:r>
        <w:rPr>
          <w:i w:val="0"/>
          <w:iCs w:val="0"/>
          <w:sz w:val="24"/>
          <w:szCs w:val="24"/>
        </w:rPr>
        <w:t>118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_Toc15850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4</w:t>
      </w:r>
      <w:r>
        <w:rPr>
          <w:rFonts w:hint="eastAsia"/>
          <w:i w:val="0"/>
          <w:iCs w:val="0"/>
          <w:sz w:val="24"/>
          <w:szCs w:val="24"/>
        </w:rPr>
        <w:t>.2 应急救援安全评价</w:t>
      </w:r>
      <w:r>
        <w:rPr>
          <w:i w:val="0"/>
          <w:iCs w:val="0"/>
          <w:sz w:val="24"/>
          <w:szCs w:val="24"/>
        </w:rPr>
        <w:tab/>
      </w:r>
      <w:r>
        <w:rPr>
          <w:i w:val="0"/>
          <w:iCs w:val="0"/>
          <w:sz w:val="24"/>
          <w:szCs w:val="24"/>
        </w:rPr>
        <w:fldChar w:fldCharType="begin"/>
      </w:r>
      <w:r>
        <w:rPr>
          <w:i w:val="0"/>
          <w:iCs w:val="0"/>
          <w:sz w:val="24"/>
          <w:szCs w:val="24"/>
        </w:rPr>
        <w:instrText xml:space="preserve"> PAGEREF _Toc15850 \h </w:instrText>
      </w:r>
      <w:r>
        <w:rPr>
          <w:i w:val="0"/>
          <w:iCs w:val="0"/>
          <w:sz w:val="24"/>
          <w:szCs w:val="24"/>
        </w:rPr>
        <w:fldChar w:fldCharType="separate"/>
      </w:r>
      <w:r>
        <w:rPr>
          <w:i w:val="0"/>
          <w:iCs w:val="0"/>
          <w:sz w:val="24"/>
          <w:szCs w:val="24"/>
        </w:rPr>
        <w:t>127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_Toc10236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4</w:t>
      </w:r>
      <w:r>
        <w:rPr>
          <w:rFonts w:hint="eastAsia"/>
          <w:i w:val="0"/>
          <w:iCs w:val="0"/>
          <w:sz w:val="24"/>
          <w:szCs w:val="24"/>
        </w:rPr>
        <w:t>.3 单元小结</w:t>
      </w:r>
      <w:r>
        <w:rPr>
          <w:i w:val="0"/>
          <w:iCs w:val="0"/>
          <w:sz w:val="24"/>
          <w:szCs w:val="24"/>
        </w:rPr>
        <w:tab/>
      </w:r>
      <w:r>
        <w:rPr>
          <w:i w:val="0"/>
          <w:iCs w:val="0"/>
          <w:sz w:val="24"/>
          <w:szCs w:val="24"/>
        </w:rPr>
        <w:fldChar w:fldCharType="begin"/>
      </w:r>
      <w:r>
        <w:rPr>
          <w:i w:val="0"/>
          <w:iCs w:val="0"/>
          <w:sz w:val="24"/>
          <w:szCs w:val="24"/>
        </w:rPr>
        <w:instrText xml:space="preserve"> PAGEREF _Toc10236 \h </w:instrText>
      </w:r>
      <w:r>
        <w:rPr>
          <w:i w:val="0"/>
          <w:iCs w:val="0"/>
          <w:sz w:val="24"/>
          <w:szCs w:val="24"/>
        </w:rPr>
        <w:fldChar w:fldCharType="separate"/>
      </w:r>
      <w:r>
        <w:rPr>
          <w:i w:val="0"/>
          <w:iCs w:val="0"/>
          <w:sz w:val="24"/>
          <w:szCs w:val="24"/>
        </w:rPr>
        <w:t>130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_Toc1557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5</w:t>
      </w:r>
      <w:r>
        <w:rPr>
          <w:rFonts w:hint="eastAsia"/>
          <w:i w:val="0"/>
          <w:iCs w:val="0"/>
          <w:sz w:val="24"/>
          <w:szCs w:val="24"/>
        </w:rPr>
        <w:t xml:space="preserve"> 重大安全隐患判定符合性分析</w:t>
      </w:r>
      <w:r>
        <w:rPr>
          <w:i w:val="0"/>
          <w:iCs w:val="0"/>
          <w:sz w:val="24"/>
          <w:szCs w:val="24"/>
        </w:rPr>
        <w:tab/>
      </w:r>
      <w:r>
        <w:rPr>
          <w:i w:val="0"/>
          <w:iCs w:val="0"/>
          <w:sz w:val="24"/>
          <w:szCs w:val="24"/>
        </w:rPr>
        <w:fldChar w:fldCharType="begin"/>
      </w:r>
      <w:r>
        <w:rPr>
          <w:i w:val="0"/>
          <w:iCs w:val="0"/>
          <w:sz w:val="24"/>
          <w:szCs w:val="24"/>
        </w:rPr>
        <w:instrText xml:space="preserve"> PAGEREF _Toc1557 \h </w:instrText>
      </w:r>
      <w:r>
        <w:rPr>
          <w:i w:val="0"/>
          <w:iCs w:val="0"/>
          <w:sz w:val="24"/>
          <w:szCs w:val="24"/>
        </w:rPr>
        <w:fldChar w:fldCharType="separate"/>
      </w:r>
      <w:r>
        <w:rPr>
          <w:i w:val="0"/>
          <w:iCs w:val="0"/>
          <w:sz w:val="24"/>
          <w:szCs w:val="24"/>
        </w:rPr>
        <w:t>130</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_Toc18253 </w:instrText>
      </w:r>
      <w:r>
        <w:rPr>
          <w:i w:val="0"/>
          <w:iCs w:val="0"/>
          <w:sz w:val="24"/>
          <w:szCs w:val="24"/>
        </w:rPr>
        <w:fldChar w:fldCharType="separate"/>
      </w:r>
      <w:r>
        <w:rPr>
          <w:rFonts w:hint="eastAsia"/>
          <w:bCs w:val="0"/>
          <w:i w:val="0"/>
          <w:iCs w:val="0"/>
          <w:sz w:val="24"/>
          <w:szCs w:val="24"/>
        </w:rPr>
        <w:t>4.</w:t>
      </w:r>
      <w:r>
        <w:rPr>
          <w:rFonts w:hint="eastAsia"/>
          <w:bCs w:val="0"/>
          <w:i w:val="0"/>
          <w:iCs w:val="0"/>
          <w:sz w:val="24"/>
          <w:szCs w:val="24"/>
          <w:lang w:val="en-US" w:eastAsia="zh-CN"/>
        </w:rPr>
        <w:t>6</w:t>
      </w:r>
      <w:r>
        <w:rPr>
          <w:rFonts w:hint="eastAsia"/>
          <w:bCs w:val="0"/>
          <w:i w:val="0"/>
          <w:iCs w:val="0"/>
          <w:sz w:val="24"/>
          <w:szCs w:val="24"/>
        </w:rPr>
        <w:t xml:space="preserve"> 危险化学品生产单位申请换证条件单元评价</w:t>
      </w:r>
      <w:r>
        <w:rPr>
          <w:i w:val="0"/>
          <w:iCs w:val="0"/>
          <w:sz w:val="24"/>
          <w:szCs w:val="24"/>
        </w:rPr>
        <w:tab/>
      </w:r>
      <w:r>
        <w:rPr>
          <w:i w:val="0"/>
          <w:iCs w:val="0"/>
          <w:sz w:val="24"/>
          <w:szCs w:val="24"/>
        </w:rPr>
        <w:fldChar w:fldCharType="begin"/>
      </w:r>
      <w:r>
        <w:rPr>
          <w:i w:val="0"/>
          <w:iCs w:val="0"/>
          <w:sz w:val="24"/>
          <w:szCs w:val="24"/>
        </w:rPr>
        <w:instrText xml:space="preserve"> PAGEREF _Toc18253 \h </w:instrText>
      </w:r>
      <w:r>
        <w:rPr>
          <w:i w:val="0"/>
          <w:iCs w:val="0"/>
          <w:sz w:val="24"/>
          <w:szCs w:val="24"/>
        </w:rPr>
        <w:fldChar w:fldCharType="separate"/>
      </w:r>
      <w:r>
        <w:rPr>
          <w:i w:val="0"/>
          <w:iCs w:val="0"/>
          <w:sz w:val="24"/>
          <w:szCs w:val="24"/>
        </w:rPr>
        <w:t>132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_Toc2255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6</w:t>
      </w:r>
      <w:r>
        <w:rPr>
          <w:rFonts w:hint="eastAsia"/>
          <w:i w:val="0"/>
          <w:iCs w:val="0"/>
          <w:sz w:val="24"/>
          <w:szCs w:val="24"/>
        </w:rPr>
        <w:t>.1 危险化学品生产单位申请换证条件安全评价</w:t>
      </w:r>
      <w:r>
        <w:rPr>
          <w:i w:val="0"/>
          <w:iCs w:val="0"/>
          <w:sz w:val="24"/>
          <w:szCs w:val="24"/>
        </w:rPr>
        <w:tab/>
      </w:r>
      <w:r>
        <w:rPr>
          <w:i w:val="0"/>
          <w:iCs w:val="0"/>
          <w:sz w:val="24"/>
          <w:szCs w:val="24"/>
        </w:rPr>
        <w:fldChar w:fldCharType="begin"/>
      </w:r>
      <w:r>
        <w:rPr>
          <w:i w:val="0"/>
          <w:iCs w:val="0"/>
          <w:sz w:val="24"/>
          <w:szCs w:val="24"/>
        </w:rPr>
        <w:instrText xml:space="preserve"> PAGEREF _Toc2255 \h </w:instrText>
      </w:r>
      <w:r>
        <w:rPr>
          <w:i w:val="0"/>
          <w:iCs w:val="0"/>
          <w:sz w:val="24"/>
          <w:szCs w:val="24"/>
        </w:rPr>
        <w:fldChar w:fldCharType="separate"/>
      </w:r>
      <w:r>
        <w:rPr>
          <w:i w:val="0"/>
          <w:iCs w:val="0"/>
          <w:sz w:val="24"/>
          <w:szCs w:val="24"/>
        </w:rPr>
        <w:t>132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_Toc11709 </w:instrText>
      </w:r>
      <w:r>
        <w:rPr>
          <w:i w:val="0"/>
          <w:iCs w:val="0"/>
          <w:sz w:val="24"/>
          <w:szCs w:val="24"/>
        </w:rPr>
        <w:fldChar w:fldCharType="separate"/>
      </w:r>
      <w:r>
        <w:rPr>
          <w:rFonts w:hint="eastAsia"/>
          <w:i w:val="0"/>
          <w:iCs w:val="0"/>
          <w:sz w:val="24"/>
          <w:szCs w:val="24"/>
        </w:rPr>
        <w:t>4.</w:t>
      </w:r>
      <w:r>
        <w:rPr>
          <w:rFonts w:hint="eastAsia"/>
          <w:i w:val="0"/>
          <w:iCs w:val="0"/>
          <w:sz w:val="24"/>
          <w:szCs w:val="24"/>
          <w:lang w:val="en-US" w:eastAsia="zh-CN"/>
        </w:rPr>
        <w:t>6</w:t>
      </w:r>
      <w:r>
        <w:rPr>
          <w:rFonts w:hint="eastAsia"/>
          <w:i w:val="0"/>
          <w:iCs w:val="0"/>
          <w:sz w:val="24"/>
          <w:szCs w:val="24"/>
        </w:rPr>
        <w:t>.2 单元小结</w:t>
      </w:r>
      <w:r>
        <w:rPr>
          <w:i w:val="0"/>
          <w:iCs w:val="0"/>
          <w:sz w:val="24"/>
          <w:szCs w:val="24"/>
        </w:rPr>
        <w:tab/>
      </w:r>
      <w:r>
        <w:rPr>
          <w:i w:val="0"/>
          <w:iCs w:val="0"/>
          <w:sz w:val="24"/>
          <w:szCs w:val="24"/>
        </w:rPr>
        <w:fldChar w:fldCharType="begin"/>
      </w:r>
      <w:r>
        <w:rPr>
          <w:i w:val="0"/>
          <w:iCs w:val="0"/>
          <w:sz w:val="24"/>
          <w:szCs w:val="24"/>
        </w:rPr>
        <w:instrText xml:space="preserve"> PAGEREF _Toc11709 \h </w:instrText>
      </w:r>
      <w:r>
        <w:rPr>
          <w:i w:val="0"/>
          <w:iCs w:val="0"/>
          <w:sz w:val="24"/>
          <w:szCs w:val="24"/>
        </w:rPr>
        <w:fldChar w:fldCharType="separate"/>
      </w:r>
      <w:r>
        <w:rPr>
          <w:i w:val="0"/>
          <w:iCs w:val="0"/>
          <w:sz w:val="24"/>
          <w:szCs w:val="24"/>
        </w:rPr>
        <w:t>136</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_Toc22472 </w:instrText>
      </w:r>
      <w:r>
        <w:rPr>
          <w:i w:val="0"/>
          <w:iCs w:val="0"/>
          <w:sz w:val="24"/>
          <w:szCs w:val="24"/>
        </w:rPr>
        <w:fldChar w:fldCharType="separate"/>
      </w:r>
      <w:r>
        <w:rPr>
          <w:rFonts w:hint="eastAsia" w:ascii="宋体" w:hAnsi="宋体" w:eastAsia="宋体"/>
          <w:bCs w:val="0"/>
          <w:i w:val="0"/>
          <w:iCs w:val="0"/>
          <w:sz w:val="24"/>
          <w:szCs w:val="24"/>
        </w:rPr>
        <w:t>附件5  评价依据</w:t>
      </w:r>
      <w:r>
        <w:rPr>
          <w:i w:val="0"/>
          <w:iCs w:val="0"/>
          <w:sz w:val="24"/>
          <w:szCs w:val="24"/>
        </w:rPr>
        <w:tab/>
      </w:r>
      <w:r>
        <w:rPr>
          <w:i w:val="0"/>
          <w:iCs w:val="0"/>
          <w:sz w:val="24"/>
          <w:szCs w:val="24"/>
        </w:rPr>
        <w:fldChar w:fldCharType="begin"/>
      </w:r>
      <w:r>
        <w:rPr>
          <w:i w:val="0"/>
          <w:iCs w:val="0"/>
          <w:sz w:val="24"/>
          <w:szCs w:val="24"/>
        </w:rPr>
        <w:instrText xml:space="preserve"> PAGEREF _Toc22472 \h </w:instrText>
      </w:r>
      <w:r>
        <w:rPr>
          <w:i w:val="0"/>
          <w:iCs w:val="0"/>
          <w:sz w:val="24"/>
          <w:szCs w:val="24"/>
        </w:rPr>
        <w:fldChar w:fldCharType="separate"/>
      </w:r>
      <w:r>
        <w:rPr>
          <w:i w:val="0"/>
          <w:iCs w:val="0"/>
          <w:sz w:val="24"/>
          <w:szCs w:val="24"/>
        </w:rPr>
        <w:t>137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_Toc20375 </w:instrText>
      </w:r>
      <w:r>
        <w:rPr>
          <w:i w:val="0"/>
          <w:iCs w:val="0"/>
          <w:sz w:val="24"/>
          <w:szCs w:val="24"/>
        </w:rPr>
        <w:fldChar w:fldCharType="separate"/>
      </w:r>
      <w:r>
        <w:rPr>
          <w:rFonts w:hint="eastAsia"/>
          <w:i w:val="0"/>
          <w:iCs w:val="0"/>
          <w:sz w:val="24"/>
          <w:szCs w:val="24"/>
        </w:rPr>
        <w:t>5.1 法律、法规</w:t>
      </w:r>
      <w:r>
        <w:rPr>
          <w:i w:val="0"/>
          <w:iCs w:val="0"/>
          <w:sz w:val="24"/>
          <w:szCs w:val="24"/>
        </w:rPr>
        <w:tab/>
      </w:r>
      <w:r>
        <w:rPr>
          <w:i w:val="0"/>
          <w:iCs w:val="0"/>
          <w:sz w:val="24"/>
          <w:szCs w:val="24"/>
        </w:rPr>
        <w:fldChar w:fldCharType="begin"/>
      </w:r>
      <w:r>
        <w:rPr>
          <w:i w:val="0"/>
          <w:iCs w:val="0"/>
          <w:sz w:val="24"/>
          <w:szCs w:val="24"/>
        </w:rPr>
        <w:instrText xml:space="preserve"> PAGEREF _Toc20375 \h </w:instrText>
      </w:r>
      <w:r>
        <w:rPr>
          <w:i w:val="0"/>
          <w:iCs w:val="0"/>
          <w:sz w:val="24"/>
          <w:szCs w:val="24"/>
        </w:rPr>
        <w:fldChar w:fldCharType="separate"/>
      </w:r>
      <w:r>
        <w:rPr>
          <w:i w:val="0"/>
          <w:iCs w:val="0"/>
          <w:sz w:val="24"/>
          <w:szCs w:val="24"/>
        </w:rPr>
        <w:t>137</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_Toc1290 </w:instrText>
      </w:r>
      <w:r>
        <w:rPr>
          <w:i w:val="0"/>
          <w:iCs w:val="0"/>
          <w:sz w:val="24"/>
          <w:szCs w:val="24"/>
        </w:rPr>
        <w:fldChar w:fldCharType="separate"/>
      </w:r>
      <w:r>
        <w:rPr>
          <w:rFonts w:hint="eastAsia"/>
          <w:i w:val="0"/>
          <w:iCs w:val="0"/>
          <w:sz w:val="24"/>
          <w:szCs w:val="24"/>
        </w:rPr>
        <w:t>5.2 部门规章及规范性文件</w:t>
      </w:r>
      <w:r>
        <w:rPr>
          <w:i w:val="0"/>
          <w:iCs w:val="0"/>
          <w:sz w:val="24"/>
          <w:szCs w:val="24"/>
        </w:rPr>
        <w:tab/>
      </w:r>
      <w:r>
        <w:rPr>
          <w:i w:val="0"/>
          <w:iCs w:val="0"/>
          <w:sz w:val="24"/>
          <w:szCs w:val="24"/>
        </w:rPr>
        <w:fldChar w:fldCharType="begin"/>
      </w:r>
      <w:r>
        <w:rPr>
          <w:i w:val="0"/>
          <w:iCs w:val="0"/>
          <w:sz w:val="24"/>
          <w:szCs w:val="24"/>
        </w:rPr>
        <w:instrText xml:space="preserve"> PAGEREF _Toc1290 \h </w:instrText>
      </w:r>
      <w:r>
        <w:rPr>
          <w:i w:val="0"/>
          <w:iCs w:val="0"/>
          <w:sz w:val="24"/>
          <w:szCs w:val="24"/>
        </w:rPr>
        <w:fldChar w:fldCharType="separate"/>
      </w:r>
      <w:r>
        <w:rPr>
          <w:i w:val="0"/>
          <w:iCs w:val="0"/>
          <w:sz w:val="24"/>
          <w:szCs w:val="24"/>
        </w:rPr>
        <w:t>138</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_Toc20991 </w:instrText>
      </w:r>
      <w:r>
        <w:rPr>
          <w:i w:val="0"/>
          <w:iCs w:val="0"/>
          <w:sz w:val="24"/>
          <w:szCs w:val="24"/>
        </w:rPr>
        <w:fldChar w:fldCharType="separate"/>
      </w:r>
      <w:r>
        <w:rPr>
          <w:rFonts w:hint="eastAsia"/>
          <w:i w:val="0"/>
          <w:iCs w:val="0"/>
          <w:sz w:val="24"/>
          <w:szCs w:val="24"/>
        </w:rPr>
        <w:t>5.3 地方法规及文件</w:t>
      </w:r>
      <w:r>
        <w:rPr>
          <w:i w:val="0"/>
          <w:iCs w:val="0"/>
          <w:sz w:val="24"/>
          <w:szCs w:val="24"/>
        </w:rPr>
        <w:tab/>
      </w:r>
      <w:r>
        <w:rPr>
          <w:i w:val="0"/>
          <w:iCs w:val="0"/>
          <w:sz w:val="24"/>
          <w:szCs w:val="24"/>
        </w:rPr>
        <w:fldChar w:fldCharType="begin"/>
      </w:r>
      <w:r>
        <w:rPr>
          <w:i w:val="0"/>
          <w:iCs w:val="0"/>
          <w:sz w:val="24"/>
          <w:szCs w:val="24"/>
        </w:rPr>
        <w:instrText xml:space="preserve"> PAGEREF _Toc20991 \h </w:instrText>
      </w:r>
      <w:r>
        <w:rPr>
          <w:i w:val="0"/>
          <w:iCs w:val="0"/>
          <w:sz w:val="24"/>
          <w:szCs w:val="24"/>
        </w:rPr>
        <w:fldChar w:fldCharType="separate"/>
      </w:r>
      <w:r>
        <w:rPr>
          <w:i w:val="0"/>
          <w:iCs w:val="0"/>
          <w:sz w:val="24"/>
          <w:szCs w:val="24"/>
        </w:rPr>
        <w:t>142</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_Toc5987 </w:instrText>
      </w:r>
      <w:r>
        <w:rPr>
          <w:i w:val="0"/>
          <w:iCs w:val="0"/>
          <w:sz w:val="24"/>
          <w:szCs w:val="24"/>
        </w:rPr>
        <w:fldChar w:fldCharType="separate"/>
      </w:r>
      <w:r>
        <w:rPr>
          <w:rFonts w:hint="eastAsia"/>
          <w:i w:val="0"/>
          <w:iCs w:val="0"/>
          <w:sz w:val="24"/>
          <w:szCs w:val="24"/>
        </w:rPr>
        <w:t>5.4 评价标准及规范</w:t>
      </w:r>
      <w:r>
        <w:rPr>
          <w:i w:val="0"/>
          <w:iCs w:val="0"/>
          <w:sz w:val="24"/>
          <w:szCs w:val="24"/>
        </w:rPr>
        <w:tab/>
      </w:r>
      <w:r>
        <w:rPr>
          <w:i w:val="0"/>
          <w:iCs w:val="0"/>
          <w:sz w:val="24"/>
          <w:szCs w:val="24"/>
        </w:rPr>
        <w:fldChar w:fldCharType="begin"/>
      </w:r>
      <w:r>
        <w:rPr>
          <w:i w:val="0"/>
          <w:iCs w:val="0"/>
          <w:sz w:val="24"/>
          <w:szCs w:val="24"/>
        </w:rPr>
        <w:instrText xml:space="preserve"> PAGEREF _Toc5987 \h </w:instrText>
      </w:r>
      <w:r>
        <w:rPr>
          <w:i w:val="0"/>
          <w:iCs w:val="0"/>
          <w:sz w:val="24"/>
          <w:szCs w:val="24"/>
        </w:rPr>
        <w:fldChar w:fldCharType="separate"/>
      </w:r>
      <w:r>
        <w:rPr>
          <w:i w:val="0"/>
          <w:iCs w:val="0"/>
          <w:sz w:val="24"/>
          <w:szCs w:val="24"/>
        </w:rPr>
        <w:t>143</w:t>
      </w:r>
      <w:r>
        <w:rPr>
          <w:i w:val="0"/>
          <w:iCs w:val="0"/>
          <w:sz w:val="24"/>
          <w:szCs w:val="24"/>
        </w:rPr>
        <w:fldChar w:fldCharType="end"/>
      </w:r>
      <w:r>
        <w:rPr>
          <w:i w:val="0"/>
          <w:iCs w:val="0"/>
          <w:sz w:val="24"/>
          <w:szCs w:val="24"/>
        </w:rPr>
        <w:fldChar w:fldCharType="end"/>
      </w:r>
    </w:p>
    <w:p>
      <w:pPr>
        <w:pStyle w:val="29"/>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_Toc9696 </w:instrText>
      </w:r>
      <w:r>
        <w:rPr>
          <w:i w:val="0"/>
          <w:iCs w:val="0"/>
          <w:sz w:val="24"/>
          <w:szCs w:val="24"/>
        </w:rPr>
        <w:fldChar w:fldCharType="separate"/>
      </w:r>
      <w:r>
        <w:rPr>
          <w:rFonts w:hint="eastAsia"/>
          <w:i w:val="0"/>
          <w:iCs w:val="0"/>
          <w:sz w:val="24"/>
          <w:szCs w:val="24"/>
        </w:rPr>
        <w:t>5.5 被评价单位提供的相关资料</w:t>
      </w:r>
      <w:r>
        <w:rPr>
          <w:i w:val="0"/>
          <w:iCs w:val="0"/>
          <w:sz w:val="24"/>
          <w:szCs w:val="24"/>
        </w:rPr>
        <w:tab/>
      </w:r>
      <w:r>
        <w:rPr>
          <w:i w:val="0"/>
          <w:iCs w:val="0"/>
          <w:sz w:val="24"/>
          <w:szCs w:val="24"/>
        </w:rPr>
        <w:fldChar w:fldCharType="begin"/>
      </w:r>
      <w:r>
        <w:rPr>
          <w:i w:val="0"/>
          <w:iCs w:val="0"/>
          <w:sz w:val="24"/>
          <w:szCs w:val="24"/>
        </w:rPr>
        <w:instrText xml:space="preserve"> PAGEREF _Toc9696 \h </w:instrText>
      </w:r>
      <w:r>
        <w:rPr>
          <w:i w:val="0"/>
          <w:iCs w:val="0"/>
          <w:sz w:val="24"/>
          <w:szCs w:val="24"/>
        </w:rPr>
        <w:fldChar w:fldCharType="separate"/>
      </w:r>
      <w:r>
        <w:rPr>
          <w:i w:val="0"/>
          <w:iCs w:val="0"/>
          <w:sz w:val="24"/>
          <w:szCs w:val="24"/>
        </w:rPr>
        <w:t>145</w:t>
      </w:r>
      <w:r>
        <w:rPr>
          <w:i w:val="0"/>
          <w:iCs w:val="0"/>
          <w:sz w:val="24"/>
          <w:szCs w:val="24"/>
        </w:rPr>
        <w:fldChar w:fldCharType="end"/>
      </w:r>
      <w:r>
        <w:rPr>
          <w:i w:val="0"/>
          <w:iCs w:val="0"/>
          <w:sz w:val="24"/>
          <w:szCs w:val="24"/>
        </w:rPr>
        <w:fldChar w:fldCharType="end"/>
      </w:r>
    </w:p>
    <w:p>
      <w:pPr>
        <w:pStyle w:val="23"/>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_Toc29725 </w:instrText>
      </w:r>
      <w:r>
        <w:rPr>
          <w:i w:val="0"/>
          <w:iCs w:val="0"/>
          <w:sz w:val="24"/>
          <w:szCs w:val="24"/>
        </w:rPr>
        <w:fldChar w:fldCharType="separate"/>
      </w:r>
      <w:r>
        <w:rPr>
          <w:rFonts w:hint="eastAsia" w:ascii="宋体" w:hAnsi="宋体" w:eastAsia="宋体" w:cs="宋体"/>
          <w:bCs w:val="0"/>
          <w:i w:val="0"/>
          <w:iCs w:val="0"/>
          <w:sz w:val="24"/>
          <w:szCs w:val="24"/>
        </w:rPr>
        <w:t>附件6  企业提供的原始资料</w:t>
      </w:r>
      <w:r>
        <w:rPr>
          <w:i w:val="0"/>
          <w:iCs w:val="0"/>
          <w:sz w:val="24"/>
          <w:szCs w:val="24"/>
        </w:rPr>
        <w:tab/>
      </w:r>
      <w:r>
        <w:rPr>
          <w:i w:val="0"/>
          <w:iCs w:val="0"/>
          <w:sz w:val="24"/>
          <w:szCs w:val="24"/>
        </w:rPr>
        <w:fldChar w:fldCharType="begin"/>
      </w:r>
      <w:r>
        <w:rPr>
          <w:i w:val="0"/>
          <w:iCs w:val="0"/>
          <w:sz w:val="24"/>
          <w:szCs w:val="24"/>
        </w:rPr>
        <w:instrText xml:space="preserve"> PAGEREF _Toc29725 \h </w:instrText>
      </w:r>
      <w:r>
        <w:rPr>
          <w:i w:val="0"/>
          <w:iCs w:val="0"/>
          <w:sz w:val="24"/>
          <w:szCs w:val="24"/>
        </w:rPr>
        <w:fldChar w:fldCharType="separate"/>
      </w:r>
      <w:r>
        <w:rPr>
          <w:i w:val="0"/>
          <w:iCs w:val="0"/>
          <w:sz w:val="24"/>
          <w:szCs w:val="24"/>
        </w:rPr>
        <w:t>146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_Toc6972 </w:instrText>
      </w:r>
      <w:r>
        <w:rPr>
          <w:i w:val="0"/>
          <w:iCs w:val="0"/>
          <w:sz w:val="24"/>
          <w:szCs w:val="24"/>
        </w:rPr>
        <w:fldChar w:fldCharType="separate"/>
      </w:r>
      <w:r>
        <w:rPr>
          <w:rFonts w:hint="eastAsia"/>
          <w:i w:val="0"/>
          <w:iCs w:val="0"/>
          <w:sz w:val="24"/>
          <w:szCs w:val="24"/>
        </w:rPr>
        <w:t>附件6.1 委托书</w:t>
      </w:r>
      <w:r>
        <w:rPr>
          <w:i w:val="0"/>
          <w:iCs w:val="0"/>
          <w:sz w:val="24"/>
          <w:szCs w:val="24"/>
        </w:rPr>
        <w:tab/>
      </w:r>
      <w:r>
        <w:rPr>
          <w:i w:val="0"/>
          <w:iCs w:val="0"/>
          <w:sz w:val="24"/>
          <w:szCs w:val="24"/>
        </w:rPr>
        <w:fldChar w:fldCharType="begin"/>
      </w:r>
      <w:r>
        <w:rPr>
          <w:i w:val="0"/>
          <w:iCs w:val="0"/>
          <w:sz w:val="24"/>
          <w:szCs w:val="24"/>
        </w:rPr>
        <w:instrText xml:space="preserve"> PAGEREF _Toc6972 \h </w:instrText>
      </w:r>
      <w:r>
        <w:rPr>
          <w:i w:val="0"/>
          <w:iCs w:val="0"/>
          <w:sz w:val="24"/>
          <w:szCs w:val="24"/>
        </w:rPr>
        <w:fldChar w:fldCharType="separate"/>
      </w:r>
      <w:r>
        <w:rPr>
          <w:i w:val="0"/>
          <w:iCs w:val="0"/>
          <w:sz w:val="24"/>
          <w:szCs w:val="24"/>
        </w:rPr>
        <w:t>146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_Toc13195 </w:instrText>
      </w:r>
      <w:r>
        <w:rPr>
          <w:i w:val="0"/>
          <w:iCs w:val="0"/>
          <w:sz w:val="24"/>
          <w:szCs w:val="24"/>
        </w:rPr>
        <w:fldChar w:fldCharType="separate"/>
      </w:r>
      <w:r>
        <w:rPr>
          <w:rFonts w:hint="eastAsia"/>
          <w:i w:val="0"/>
          <w:iCs w:val="0"/>
          <w:sz w:val="24"/>
          <w:szCs w:val="24"/>
        </w:rPr>
        <w:t xml:space="preserve">附件6.2 </w:t>
      </w:r>
      <w:r>
        <w:rPr>
          <w:rFonts w:hint="eastAsia"/>
          <w:i w:val="0"/>
          <w:iCs w:val="0"/>
          <w:sz w:val="24"/>
          <w:szCs w:val="24"/>
          <w:lang w:eastAsia="zh-CN"/>
        </w:rPr>
        <w:t>昆明合起工贸有限公司澄江氟化分公司</w:t>
      </w:r>
      <w:r>
        <w:rPr>
          <w:rFonts w:hint="eastAsia"/>
          <w:i w:val="0"/>
          <w:iCs w:val="0"/>
          <w:sz w:val="24"/>
          <w:szCs w:val="24"/>
        </w:rPr>
        <w:t>营业执照</w:t>
      </w:r>
      <w:r>
        <w:rPr>
          <w:i w:val="0"/>
          <w:iCs w:val="0"/>
          <w:sz w:val="24"/>
          <w:szCs w:val="24"/>
        </w:rPr>
        <w:tab/>
      </w:r>
      <w:r>
        <w:rPr>
          <w:i w:val="0"/>
          <w:iCs w:val="0"/>
          <w:sz w:val="24"/>
          <w:szCs w:val="24"/>
        </w:rPr>
        <w:fldChar w:fldCharType="begin"/>
      </w:r>
      <w:r>
        <w:rPr>
          <w:i w:val="0"/>
          <w:iCs w:val="0"/>
          <w:sz w:val="24"/>
          <w:szCs w:val="24"/>
        </w:rPr>
        <w:instrText xml:space="preserve"> PAGEREF _Toc13195 \h </w:instrText>
      </w:r>
      <w:r>
        <w:rPr>
          <w:i w:val="0"/>
          <w:iCs w:val="0"/>
          <w:sz w:val="24"/>
          <w:szCs w:val="24"/>
        </w:rPr>
        <w:fldChar w:fldCharType="separate"/>
      </w:r>
      <w:r>
        <w:rPr>
          <w:i w:val="0"/>
          <w:iCs w:val="0"/>
          <w:sz w:val="24"/>
          <w:szCs w:val="24"/>
        </w:rPr>
        <w:t>147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_Toc14347 </w:instrText>
      </w:r>
      <w:r>
        <w:rPr>
          <w:i w:val="0"/>
          <w:iCs w:val="0"/>
          <w:sz w:val="24"/>
          <w:szCs w:val="24"/>
        </w:rPr>
        <w:fldChar w:fldCharType="separate"/>
      </w:r>
      <w:r>
        <w:rPr>
          <w:rFonts w:hint="eastAsia"/>
          <w:i w:val="0"/>
          <w:iCs w:val="0"/>
          <w:sz w:val="24"/>
          <w:szCs w:val="24"/>
        </w:rPr>
        <w:t>附件6.3 安全生产许可证</w:t>
      </w:r>
      <w:r>
        <w:rPr>
          <w:i w:val="0"/>
          <w:iCs w:val="0"/>
          <w:sz w:val="24"/>
          <w:szCs w:val="24"/>
        </w:rPr>
        <w:tab/>
      </w:r>
      <w:r>
        <w:rPr>
          <w:i w:val="0"/>
          <w:iCs w:val="0"/>
          <w:sz w:val="24"/>
          <w:szCs w:val="24"/>
        </w:rPr>
        <w:fldChar w:fldCharType="begin"/>
      </w:r>
      <w:r>
        <w:rPr>
          <w:i w:val="0"/>
          <w:iCs w:val="0"/>
          <w:sz w:val="24"/>
          <w:szCs w:val="24"/>
        </w:rPr>
        <w:instrText xml:space="preserve"> PAGEREF _Toc14347 \h </w:instrText>
      </w:r>
      <w:r>
        <w:rPr>
          <w:i w:val="0"/>
          <w:iCs w:val="0"/>
          <w:sz w:val="24"/>
          <w:szCs w:val="24"/>
        </w:rPr>
        <w:fldChar w:fldCharType="separate"/>
      </w:r>
      <w:r>
        <w:rPr>
          <w:i w:val="0"/>
          <w:iCs w:val="0"/>
          <w:sz w:val="24"/>
          <w:szCs w:val="24"/>
        </w:rPr>
        <w:t>148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_Toc7917 </w:instrText>
      </w:r>
      <w:r>
        <w:rPr>
          <w:i w:val="0"/>
          <w:iCs w:val="0"/>
          <w:sz w:val="24"/>
          <w:szCs w:val="24"/>
        </w:rPr>
        <w:fldChar w:fldCharType="separate"/>
      </w:r>
      <w:r>
        <w:rPr>
          <w:rFonts w:hint="eastAsia"/>
          <w:i w:val="0"/>
          <w:iCs w:val="0"/>
          <w:sz w:val="24"/>
          <w:szCs w:val="24"/>
        </w:rPr>
        <w:t xml:space="preserve">附件6.4 </w:t>
      </w:r>
      <w:r>
        <w:rPr>
          <w:rFonts w:hint="eastAsia"/>
          <w:i w:val="0"/>
          <w:iCs w:val="0"/>
          <w:sz w:val="24"/>
          <w:szCs w:val="24"/>
          <w:lang w:val="en-US" w:eastAsia="zh-CN"/>
        </w:rPr>
        <w:t>材料真实性承诺</w:t>
      </w:r>
      <w:r>
        <w:rPr>
          <w:rFonts w:hint="eastAsia"/>
          <w:i w:val="0"/>
          <w:iCs w:val="0"/>
          <w:sz w:val="24"/>
          <w:szCs w:val="24"/>
        </w:rPr>
        <w:t>书</w:t>
      </w:r>
      <w:r>
        <w:rPr>
          <w:i w:val="0"/>
          <w:iCs w:val="0"/>
          <w:sz w:val="24"/>
          <w:szCs w:val="24"/>
        </w:rPr>
        <w:tab/>
      </w:r>
      <w:r>
        <w:rPr>
          <w:i w:val="0"/>
          <w:iCs w:val="0"/>
          <w:sz w:val="24"/>
          <w:szCs w:val="24"/>
        </w:rPr>
        <w:fldChar w:fldCharType="begin"/>
      </w:r>
      <w:r>
        <w:rPr>
          <w:i w:val="0"/>
          <w:iCs w:val="0"/>
          <w:sz w:val="24"/>
          <w:szCs w:val="24"/>
        </w:rPr>
        <w:instrText xml:space="preserve"> PAGEREF _Toc7917 \h </w:instrText>
      </w:r>
      <w:r>
        <w:rPr>
          <w:i w:val="0"/>
          <w:iCs w:val="0"/>
          <w:sz w:val="24"/>
          <w:szCs w:val="24"/>
        </w:rPr>
        <w:fldChar w:fldCharType="separate"/>
      </w:r>
      <w:r>
        <w:rPr>
          <w:i w:val="0"/>
          <w:iCs w:val="0"/>
          <w:sz w:val="24"/>
          <w:szCs w:val="24"/>
        </w:rPr>
        <w:t>149</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_Toc14098 </w:instrText>
      </w:r>
      <w:r>
        <w:rPr>
          <w:i w:val="0"/>
          <w:iCs w:val="0"/>
          <w:sz w:val="24"/>
          <w:szCs w:val="24"/>
        </w:rPr>
        <w:fldChar w:fldCharType="separate"/>
      </w:r>
      <w:r>
        <w:rPr>
          <w:rFonts w:hint="eastAsia"/>
          <w:i w:val="0"/>
          <w:iCs w:val="0"/>
          <w:sz w:val="24"/>
          <w:szCs w:val="24"/>
        </w:rPr>
        <w:t>附件6.5 危险化学品登记证及登记品种</w:t>
      </w:r>
      <w:r>
        <w:rPr>
          <w:i w:val="0"/>
          <w:iCs w:val="0"/>
          <w:sz w:val="24"/>
          <w:szCs w:val="24"/>
        </w:rPr>
        <w:tab/>
      </w:r>
      <w:r>
        <w:rPr>
          <w:i w:val="0"/>
          <w:iCs w:val="0"/>
          <w:sz w:val="24"/>
          <w:szCs w:val="24"/>
        </w:rPr>
        <w:fldChar w:fldCharType="begin"/>
      </w:r>
      <w:r>
        <w:rPr>
          <w:i w:val="0"/>
          <w:iCs w:val="0"/>
          <w:sz w:val="24"/>
          <w:szCs w:val="24"/>
        </w:rPr>
        <w:instrText xml:space="preserve"> PAGEREF _Toc14098 \h </w:instrText>
      </w:r>
      <w:r>
        <w:rPr>
          <w:i w:val="0"/>
          <w:iCs w:val="0"/>
          <w:sz w:val="24"/>
          <w:szCs w:val="24"/>
        </w:rPr>
        <w:fldChar w:fldCharType="separate"/>
      </w:r>
      <w:r>
        <w:rPr>
          <w:i w:val="0"/>
          <w:iCs w:val="0"/>
          <w:sz w:val="24"/>
          <w:szCs w:val="24"/>
        </w:rPr>
        <w:t>150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_Toc19061 </w:instrText>
      </w:r>
      <w:r>
        <w:rPr>
          <w:i w:val="0"/>
          <w:iCs w:val="0"/>
          <w:sz w:val="24"/>
          <w:szCs w:val="24"/>
        </w:rPr>
        <w:fldChar w:fldCharType="separate"/>
      </w:r>
      <w:r>
        <w:rPr>
          <w:rFonts w:hint="eastAsia"/>
          <w:i w:val="0"/>
          <w:iCs w:val="0"/>
          <w:sz w:val="24"/>
          <w:szCs w:val="24"/>
        </w:rPr>
        <w:t xml:space="preserve">附件6.6 </w:t>
      </w:r>
      <w:r>
        <w:rPr>
          <w:rFonts w:hint="eastAsia"/>
          <w:i w:val="0"/>
          <w:iCs w:val="0"/>
          <w:sz w:val="24"/>
          <w:szCs w:val="24"/>
          <w:lang w:val="en-US" w:eastAsia="zh-CN"/>
        </w:rPr>
        <w:t>厂房</w:t>
      </w:r>
      <w:r>
        <w:rPr>
          <w:rFonts w:hint="eastAsia"/>
          <w:i w:val="0"/>
          <w:iCs w:val="0"/>
          <w:sz w:val="24"/>
          <w:szCs w:val="24"/>
        </w:rPr>
        <w:t>租赁</w:t>
      </w:r>
      <w:r>
        <w:rPr>
          <w:rFonts w:hint="eastAsia"/>
          <w:i w:val="0"/>
          <w:iCs w:val="0"/>
          <w:sz w:val="24"/>
          <w:szCs w:val="24"/>
          <w:lang w:val="en-US" w:eastAsia="zh-CN"/>
        </w:rPr>
        <w:t>合同</w:t>
      </w:r>
      <w:r>
        <w:rPr>
          <w:i w:val="0"/>
          <w:iCs w:val="0"/>
          <w:sz w:val="24"/>
          <w:szCs w:val="24"/>
        </w:rPr>
        <w:tab/>
      </w:r>
      <w:r>
        <w:rPr>
          <w:i w:val="0"/>
          <w:iCs w:val="0"/>
          <w:sz w:val="24"/>
          <w:szCs w:val="24"/>
        </w:rPr>
        <w:fldChar w:fldCharType="begin"/>
      </w:r>
      <w:r>
        <w:rPr>
          <w:i w:val="0"/>
          <w:iCs w:val="0"/>
          <w:sz w:val="24"/>
          <w:szCs w:val="24"/>
        </w:rPr>
        <w:instrText xml:space="preserve"> PAGEREF _Toc19061 \h </w:instrText>
      </w:r>
      <w:r>
        <w:rPr>
          <w:i w:val="0"/>
          <w:iCs w:val="0"/>
          <w:sz w:val="24"/>
          <w:szCs w:val="24"/>
        </w:rPr>
        <w:fldChar w:fldCharType="separate"/>
      </w:r>
      <w:r>
        <w:rPr>
          <w:i w:val="0"/>
          <w:iCs w:val="0"/>
          <w:sz w:val="24"/>
          <w:szCs w:val="24"/>
        </w:rPr>
        <w:t>151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_Toc30284 </w:instrText>
      </w:r>
      <w:r>
        <w:rPr>
          <w:i w:val="0"/>
          <w:iCs w:val="0"/>
          <w:sz w:val="24"/>
          <w:szCs w:val="24"/>
        </w:rPr>
        <w:fldChar w:fldCharType="separate"/>
      </w:r>
      <w:r>
        <w:rPr>
          <w:rFonts w:hint="eastAsia"/>
          <w:i w:val="0"/>
          <w:iCs w:val="0"/>
          <w:sz w:val="24"/>
          <w:szCs w:val="24"/>
        </w:rPr>
        <w:t>附件6.7 原澄江县公安消防大队</w:t>
      </w:r>
      <w:r>
        <w:rPr>
          <w:rFonts w:hint="eastAsia"/>
          <w:i w:val="0"/>
          <w:iCs w:val="0"/>
          <w:sz w:val="24"/>
          <w:szCs w:val="24"/>
          <w:lang w:val="en-US" w:eastAsia="zh-CN"/>
        </w:rPr>
        <w:t>责令限期改正通知书、</w:t>
      </w:r>
      <w:r>
        <w:rPr>
          <w:rFonts w:hint="eastAsia"/>
          <w:i w:val="0"/>
          <w:iCs w:val="0"/>
          <w:sz w:val="24"/>
          <w:szCs w:val="24"/>
        </w:rPr>
        <w:t>复查意见书</w:t>
      </w:r>
      <w:r>
        <w:rPr>
          <w:i w:val="0"/>
          <w:iCs w:val="0"/>
          <w:sz w:val="24"/>
          <w:szCs w:val="24"/>
        </w:rPr>
        <w:tab/>
      </w:r>
      <w:r>
        <w:rPr>
          <w:i w:val="0"/>
          <w:iCs w:val="0"/>
          <w:sz w:val="24"/>
          <w:szCs w:val="24"/>
        </w:rPr>
        <w:fldChar w:fldCharType="begin"/>
      </w:r>
      <w:r>
        <w:rPr>
          <w:i w:val="0"/>
          <w:iCs w:val="0"/>
          <w:sz w:val="24"/>
          <w:szCs w:val="24"/>
        </w:rPr>
        <w:instrText xml:space="preserve"> PAGEREF _Toc30284 \h </w:instrText>
      </w:r>
      <w:r>
        <w:rPr>
          <w:i w:val="0"/>
          <w:iCs w:val="0"/>
          <w:sz w:val="24"/>
          <w:szCs w:val="24"/>
        </w:rPr>
        <w:fldChar w:fldCharType="separate"/>
      </w:r>
      <w:r>
        <w:rPr>
          <w:i w:val="0"/>
          <w:iCs w:val="0"/>
          <w:sz w:val="24"/>
          <w:szCs w:val="24"/>
        </w:rPr>
        <w:t>155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_Toc5235 </w:instrText>
      </w:r>
      <w:r>
        <w:rPr>
          <w:i w:val="0"/>
          <w:iCs w:val="0"/>
          <w:sz w:val="24"/>
          <w:szCs w:val="24"/>
        </w:rPr>
        <w:fldChar w:fldCharType="separate"/>
      </w:r>
      <w:r>
        <w:rPr>
          <w:rFonts w:hint="eastAsia"/>
          <w:i w:val="0"/>
          <w:iCs w:val="0"/>
          <w:sz w:val="24"/>
          <w:szCs w:val="24"/>
        </w:rPr>
        <w:t>附件6.8 安全生产知识和管理能力考核合格证</w:t>
      </w:r>
      <w:r>
        <w:rPr>
          <w:i w:val="0"/>
          <w:iCs w:val="0"/>
          <w:sz w:val="24"/>
          <w:szCs w:val="24"/>
        </w:rPr>
        <w:tab/>
      </w:r>
      <w:r>
        <w:rPr>
          <w:i w:val="0"/>
          <w:iCs w:val="0"/>
          <w:sz w:val="24"/>
          <w:szCs w:val="24"/>
        </w:rPr>
        <w:fldChar w:fldCharType="begin"/>
      </w:r>
      <w:r>
        <w:rPr>
          <w:i w:val="0"/>
          <w:iCs w:val="0"/>
          <w:sz w:val="24"/>
          <w:szCs w:val="24"/>
        </w:rPr>
        <w:instrText xml:space="preserve"> PAGEREF _Toc5235 \h </w:instrText>
      </w:r>
      <w:r>
        <w:rPr>
          <w:i w:val="0"/>
          <w:iCs w:val="0"/>
          <w:sz w:val="24"/>
          <w:szCs w:val="24"/>
        </w:rPr>
        <w:fldChar w:fldCharType="separate"/>
      </w:r>
      <w:r>
        <w:rPr>
          <w:i w:val="0"/>
          <w:iCs w:val="0"/>
          <w:sz w:val="24"/>
          <w:szCs w:val="24"/>
        </w:rPr>
        <w:t>157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_Toc6633 </w:instrText>
      </w:r>
      <w:r>
        <w:rPr>
          <w:i w:val="0"/>
          <w:iCs w:val="0"/>
          <w:sz w:val="24"/>
          <w:szCs w:val="24"/>
        </w:rPr>
        <w:fldChar w:fldCharType="separate"/>
      </w:r>
      <w:r>
        <w:rPr>
          <w:rFonts w:hint="eastAsia"/>
          <w:i w:val="0"/>
          <w:iCs w:val="0"/>
          <w:sz w:val="24"/>
          <w:szCs w:val="24"/>
        </w:rPr>
        <w:t>附件6.9 特种作业操作证</w:t>
      </w:r>
      <w:r>
        <w:rPr>
          <w:i w:val="0"/>
          <w:iCs w:val="0"/>
          <w:sz w:val="24"/>
          <w:szCs w:val="24"/>
        </w:rPr>
        <w:tab/>
      </w:r>
      <w:r>
        <w:rPr>
          <w:i w:val="0"/>
          <w:iCs w:val="0"/>
          <w:sz w:val="24"/>
          <w:szCs w:val="24"/>
        </w:rPr>
        <w:fldChar w:fldCharType="begin"/>
      </w:r>
      <w:r>
        <w:rPr>
          <w:i w:val="0"/>
          <w:iCs w:val="0"/>
          <w:sz w:val="24"/>
          <w:szCs w:val="24"/>
        </w:rPr>
        <w:instrText xml:space="preserve"> PAGEREF _Toc6633 \h </w:instrText>
      </w:r>
      <w:r>
        <w:rPr>
          <w:i w:val="0"/>
          <w:iCs w:val="0"/>
          <w:sz w:val="24"/>
          <w:szCs w:val="24"/>
        </w:rPr>
        <w:fldChar w:fldCharType="separate"/>
      </w:r>
      <w:r>
        <w:rPr>
          <w:i w:val="0"/>
          <w:iCs w:val="0"/>
          <w:sz w:val="24"/>
          <w:szCs w:val="24"/>
        </w:rPr>
        <w:t>158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_Toc23288 </w:instrText>
      </w:r>
      <w:r>
        <w:rPr>
          <w:i w:val="0"/>
          <w:iCs w:val="0"/>
          <w:sz w:val="24"/>
          <w:szCs w:val="24"/>
        </w:rPr>
        <w:fldChar w:fldCharType="separate"/>
      </w:r>
      <w:r>
        <w:rPr>
          <w:rFonts w:hint="eastAsia"/>
          <w:i w:val="0"/>
          <w:iCs w:val="0"/>
          <w:sz w:val="24"/>
          <w:szCs w:val="24"/>
        </w:rPr>
        <w:t xml:space="preserve">附件6.10 </w:t>
      </w:r>
      <w:r>
        <w:rPr>
          <w:rFonts w:hint="eastAsia"/>
          <w:i w:val="0"/>
          <w:iCs w:val="0"/>
          <w:sz w:val="24"/>
          <w:szCs w:val="24"/>
          <w:lang w:val="en-US" w:eastAsia="zh-CN"/>
        </w:rPr>
        <w:t>生产经营单位</w:t>
      </w:r>
      <w:r>
        <w:rPr>
          <w:rFonts w:hint="eastAsia"/>
          <w:i w:val="0"/>
          <w:iCs w:val="0"/>
          <w:sz w:val="24"/>
          <w:szCs w:val="24"/>
        </w:rPr>
        <w:t>生产安全事故应急预案备案登记表</w:t>
      </w:r>
      <w:r>
        <w:rPr>
          <w:i w:val="0"/>
          <w:iCs w:val="0"/>
          <w:sz w:val="24"/>
          <w:szCs w:val="24"/>
        </w:rPr>
        <w:tab/>
      </w:r>
      <w:r>
        <w:rPr>
          <w:i w:val="0"/>
          <w:iCs w:val="0"/>
          <w:sz w:val="24"/>
          <w:szCs w:val="24"/>
        </w:rPr>
        <w:fldChar w:fldCharType="begin"/>
      </w:r>
      <w:r>
        <w:rPr>
          <w:i w:val="0"/>
          <w:iCs w:val="0"/>
          <w:sz w:val="24"/>
          <w:szCs w:val="24"/>
        </w:rPr>
        <w:instrText xml:space="preserve"> PAGEREF _Toc23288 \h </w:instrText>
      </w:r>
      <w:r>
        <w:rPr>
          <w:i w:val="0"/>
          <w:iCs w:val="0"/>
          <w:sz w:val="24"/>
          <w:szCs w:val="24"/>
        </w:rPr>
        <w:fldChar w:fldCharType="separate"/>
      </w:r>
      <w:r>
        <w:rPr>
          <w:i w:val="0"/>
          <w:iCs w:val="0"/>
          <w:sz w:val="24"/>
          <w:szCs w:val="24"/>
        </w:rPr>
        <w:t>160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_Toc4072 </w:instrText>
      </w:r>
      <w:r>
        <w:rPr>
          <w:i w:val="0"/>
          <w:iCs w:val="0"/>
          <w:sz w:val="24"/>
          <w:szCs w:val="24"/>
        </w:rPr>
        <w:fldChar w:fldCharType="separate"/>
      </w:r>
      <w:r>
        <w:rPr>
          <w:rFonts w:hint="eastAsia"/>
          <w:i w:val="0"/>
          <w:iCs w:val="0"/>
          <w:sz w:val="24"/>
          <w:szCs w:val="24"/>
        </w:rPr>
        <w:t>附件6.11 成立“安全生产领导小组”的通知</w:t>
      </w:r>
      <w:r>
        <w:rPr>
          <w:i w:val="0"/>
          <w:iCs w:val="0"/>
          <w:sz w:val="24"/>
          <w:szCs w:val="24"/>
        </w:rPr>
        <w:tab/>
      </w:r>
      <w:r>
        <w:rPr>
          <w:i w:val="0"/>
          <w:iCs w:val="0"/>
          <w:sz w:val="24"/>
          <w:szCs w:val="24"/>
        </w:rPr>
        <w:fldChar w:fldCharType="begin"/>
      </w:r>
      <w:r>
        <w:rPr>
          <w:i w:val="0"/>
          <w:iCs w:val="0"/>
          <w:sz w:val="24"/>
          <w:szCs w:val="24"/>
        </w:rPr>
        <w:instrText xml:space="preserve"> PAGEREF _Toc4072 \h </w:instrText>
      </w:r>
      <w:r>
        <w:rPr>
          <w:i w:val="0"/>
          <w:iCs w:val="0"/>
          <w:sz w:val="24"/>
          <w:szCs w:val="24"/>
        </w:rPr>
        <w:fldChar w:fldCharType="separate"/>
      </w:r>
      <w:r>
        <w:rPr>
          <w:i w:val="0"/>
          <w:iCs w:val="0"/>
          <w:sz w:val="24"/>
          <w:szCs w:val="24"/>
        </w:rPr>
        <w:t>161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_Toc876 </w:instrText>
      </w:r>
      <w:r>
        <w:rPr>
          <w:i w:val="0"/>
          <w:iCs w:val="0"/>
          <w:sz w:val="24"/>
          <w:szCs w:val="24"/>
        </w:rPr>
        <w:fldChar w:fldCharType="separate"/>
      </w:r>
      <w:r>
        <w:rPr>
          <w:rFonts w:hint="eastAsia"/>
          <w:i w:val="0"/>
          <w:iCs w:val="0"/>
          <w:sz w:val="24"/>
          <w:szCs w:val="24"/>
        </w:rPr>
        <w:t>附件6.12 关于成立安全管理机构及人员任命的通知</w:t>
      </w:r>
      <w:r>
        <w:rPr>
          <w:i w:val="0"/>
          <w:iCs w:val="0"/>
          <w:sz w:val="24"/>
          <w:szCs w:val="24"/>
        </w:rPr>
        <w:tab/>
      </w:r>
      <w:r>
        <w:rPr>
          <w:i w:val="0"/>
          <w:iCs w:val="0"/>
          <w:sz w:val="24"/>
          <w:szCs w:val="24"/>
        </w:rPr>
        <w:fldChar w:fldCharType="begin"/>
      </w:r>
      <w:r>
        <w:rPr>
          <w:i w:val="0"/>
          <w:iCs w:val="0"/>
          <w:sz w:val="24"/>
          <w:szCs w:val="24"/>
        </w:rPr>
        <w:instrText xml:space="preserve"> PAGEREF _Toc876 \h </w:instrText>
      </w:r>
      <w:r>
        <w:rPr>
          <w:i w:val="0"/>
          <w:iCs w:val="0"/>
          <w:sz w:val="24"/>
          <w:szCs w:val="24"/>
        </w:rPr>
        <w:fldChar w:fldCharType="separate"/>
      </w:r>
      <w:r>
        <w:rPr>
          <w:i w:val="0"/>
          <w:iCs w:val="0"/>
          <w:sz w:val="24"/>
          <w:szCs w:val="24"/>
        </w:rPr>
        <w:t>163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_Toc16854 </w:instrText>
      </w:r>
      <w:r>
        <w:rPr>
          <w:i w:val="0"/>
          <w:iCs w:val="0"/>
          <w:sz w:val="24"/>
          <w:szCs w:val="24"/>
        </w:rPr>
        <w:fldChar w:fldCharType="separate"/>
      </w:r>
      <w:r>
        <w:rPr>
          <w:rFonts w:hint="eastAsia"/>
          <w:i w:val="0"/>
          <w:iCs w:val="0"/>
          <w:sz w:val="24"/>
          <w:szCs w:val="24"/>
        </w:rPr>
        <w:t>附件6.13 工伤保险缴费凭证</w:t>
      </w:r>
      <w:r>
        <w:rPr>
          <w:i w:val="0"/>
          <w:iCs w:val="0"/>
          <w:sz w:val="24"/>
          <w:szCs w:val="24"/>
        </w:rPr>
        <w:tab/>
      </w:r>
      <w:r>
        <w:rPr>
          <w:i w:val="0"/>
          <w:iCs w:val="0"/>
          <w:sz w:val="24"/>
          <w:szCs w:val="24"/>
        </w:rPr>
        <w:fldChar w:fldCharType="begin"/>
      </w:r>
      <w:r>
        <w:rPr>
          <w:i w:val="0"/>
          <w:iCs w:val="0"/>
          <w:sz w:val="24"/>
          <w:szCs w:val="24"/>
        </w:rPr>
        <w:instrText xml:space="preserve"> PAGEREF _Toc16854 \h </w:instrText>
      </w:r>
      <w:r>
        <w:rPr>
          <w:i w:val="0"/>
          <w:iCs w:val="0"/>
          <w:sz w:val="24"/>
          <w:szCs w:val="24"/>
        </w:rPr>
        <w:fldChar w:fldCharType="separate"/>
      </w:r>
      <w:r>
        <w:rPr>
          <w:i w:val="0"/>
          <w:iCs w:val="0"/>
          <w:sz w:val="24"/>
          <w:szCs w:val="24"/>
        </w:rPr>
        <w:t>165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_Toc3047 </w:instrText>
      </w:r>
      <w:r>
        <w:rPr>
          <w:i w:val="0"/>
          <w:iCs w:val="0"/>
          <w:sz w:val="24"/>
          <w:szCs w:val="24"/>
        </w:rPr>
        <w:fldChar w:fldCharType="separate"/>
      </w:r>
      <w:r>
        <w:rPr>
          <w:rFonts w:hint="eastAsia"/>
          <w:i w:val="0"/>
          <w:iCs w:val="0"/>
          <w:sz w:val="24"/>
          <w:szCs w:val="24"/>
        </w:rPr>
        <w:t>附件6.14 安全生产责任保险保险单</w:t>
      </w:r>
      <w:r>
        <w:rPr>
          <w:i w:val="0"/>
          <w:iCs w:val="0"/>
          <w:sz w:val="24"/>
          <w:szCs w:val="24"/>
        </w:rPr>
        <w:tab/>
      </w:r>
      <w:r>
        <w:rPr>
          <w:i w:val="0"/>
          <w:iCs w:val="0"/>
          <w:sz w:val="24"/>
          <w:szCs w:val="24"/>
        </w:rPr>
        <w:fldChar w:fldCharType="begin"/>
      </w:r>
      <w:r>
        <w:rPr>
          <w:i w:val="0"/>
          <w:iCs w:val="0"/>
          <w:sz w:val="24"/>
          <w:szCs w:val="24"/>
        </w:rPr>
        <w:instrText xml:space="preserve"> PAGEREF _Toc3047 \h </w:instrText>
      </w:r>
      <w:r>
        <w:rPr>
          <w:i w:val="0"/>
          <w:iCs w:val="0"/>
          <w:sz w:val="24"/>
          <w:szCs w:val="24"/>
        </w:rPr>
        <w:fldChar w:fldCharType="separate"/>
      </w:r>
      <w:r>
        <w:rPr>
          <w:i w:val="0"/>
          <w:iCs w:val="0"/>
          <w:sz w:val="24"/>
          <w:szCs w:val="24"/>
        </w:rPr>
        <w:t>166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_Toc27964 </w:instrText>
      </w:r>
      <w:r>
        <w:rPr>
          <w:i w:val="0"/>
          <w:iCs w:val="0"/>
          <w:sz w:val="24"/>
          <w:szCs w:val="24"/>
        </w:rPr>
        <w:fldChar w:fldCharType="separate"/>
      </w:r>
      <w:r>
        <w:rPr>
          <w:rFonts w:hint="eastAsia"/>
          <w:i w:val="0"/>
          <w:iCs w:val="0"/>
          <w:sz w:val="24"/>
          <w:szCs w:val="24"/>
        </w:rPr>
        <w:t>附件6.15 “四区分离”相关资料</w:t>
      </w:r>
      <w:r>
        <w:rPr>
          <w:i w:val="0"/>
          <w:iCs w:val="0"/>
          <w:sz w:val="24"/>
          <w:szCs w:val="24"/>
        </w:rPr>
        <w:tab/>
      </w:r>
      <w:r>
        <w:rPr>
          <w:i w:val="0"/>
          <w:iCs w:val="0"/>
          <w:sz w:val="24"/>
          <w:szCs w:val="24"/>
        </w:rPr>
        <w:fldChar w:fldCharType="begin"/>
      </w:r>
      <w:r>
        <w:rPr>
          <w:i w:val="0"/>
          <w:iCs w:val="0"/>
          <w:sz w:val="24"/>
          <w:szCs w:val="24"/>
        </w:rPr>
        <w:instrText xml:space="preserve"> PAGEREF _Toc27964 \h </w:instrText>
      </w:r>
      <w:r>
        <w:rPr>
          <w:i w:val="0"/>
          <w:iCs w:val="0"/>
          <w:sz w:val="24"/>
          <w:szCs w:val="24"/>
        </w:rPr>
        <w:fldChar w:fldCharType="separate"/>
      </w:r>
      <w:r>
        <w:rPr>
          <w:i w:val="0"/>
          <w:iCs w:val="0"/>
          <w:sz w:val="24"/>
          <w:szCs w:val="24"/>
        </w:rPr>
        <w:t>167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_Toc23634 </w:instrText>
      </w:r>
      <w:r>
        <w:rPr>
          <w:i w:val="0"/>
          <w:iCs w:val="0"/>
          <w:sz w:val="24"/>
          <w:szCs w:val="24"/>
        </w:rPr>
        <w:fldChar w:fldCharType="separate"/>
      </w:r>
      <w:r>
        <w:rPr>
          <w:rFonts w:hint="eastAsia"/>
          <w:i w:val="0"/>
          <w:iCs w:val="0"/>
          <w:sz w:val="24"/>
          <w:szCs w:val="24"/>
        </w:rPr>
        <w:t>附件6.16 危险化学品安全技术说明书及安全标签</w:t>
      </w:r>
      <w:r>
        <w:rPr>
          <w:i w:val="0"/>
          <w:iCs w:val="0"/>
          <w:sz w:val="24"/>
          <w:szCs w:val="24"/>
        </w:rPr>
        <w:tab/>
      </w:r>
      <w:r>
        <w:rPr>
          <w:i w:val="0"/>
          <w:iCs w:val="0"/>
          <w:sz w:val="24"/>
          <w:szCs w:val="24"/>
        </w:rPr>
        <w:fldChar w:fldCharType="begin"/>
      </w:r>
      <w:r>
        <w:rPr>
          <w:i w:val="0"/>
          <w:iCs w:val="0"/>
          <w:sz w:val="24"/>
          <w:szCs w:val="24"/>
        </w:rPr>
        <w:instrText xml:space="preserve"> PAGEREF _Toc23634 \h </w:instrText>
      </w:r>
      <w:r>
        <w:rPr>
          <w:i w:val="0"/>
          <w:iCs w:val="0"/>
          <w:sz w:val="24"/>
          <w:szCs w:val="24"/>
        </w:rPr>
        <w:fldChar w:fldCharType="separate"/>
      </w:r>
      <w:r>
        <w:rPr>
          <w:i w:val="0"/>
          <w:iCs w:val="0"/>
          <w:sz w:val="24"/>
          <w:szCs w:val="24"/>
        </w:rPr>
        <w:t>172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_Toc8383 </w:instrText>
      </w:r>
      <w:r>
        <w:rPr>
          <w:i w:val="0"/>
          <w:iCs w:val="0"/>
          <w:sz w:val="24"/>
          <w:szCs w:val="24"/>
        </w:rPr>
        <w:fldChar w:fldCharType="separate"/>
      </w:r>
      <w:r>
        <w:rPr>
          <w:rFonts w:hint="eastAsia"/>
          <w:i w:val="0"/>
          <w:iCs w:val="0"/>
          <w:sz w:val="24"/>
          <w:szCs w:val="24"/>
        </w:rPr>
        <w:t xml:space="preserve">附件6.17 </w:t>
      </w:r>
      <w:r>
        <w:rPr>
          <w:rFonts w:hint="eastAsia"/>
          <w:i w:val="0"/>
          <w:iCs w:val="0"/>
          <w:sz w:val="24"/>
          <w:szCs w:val="24"/>
          <w:lang w:val="en-US" w:eastAsia="zh-CN"/>
        </w:rPr>
        <w:t>危险</w:t>
      </w:r>
      <w:r>
        <w:rPr>
          <w:rFonts w:hint="eastAsia"/>
          <w:i w:val="0"/>
          <w:iCs w:val="0"/>
          <w:sz w:val="24"/>
          <w:szCs w:val="24"/>
        </w:rPr>
        <w:t>化学品安全技术说明书及安全标签发文登记表</w:t>
      </w:r>
      <w:r>
        <w:rPr>
          <w:i w:val="0"/>
          <w:iCs w:val="0"/>
          <w:sz w:val="24"/>
          <w:szCs w:val="24"/>
        </w:rPr>
        <w:tab/>
      </w:r>
      <w:r>
        <w:rPr>
          <w:i w:val="0"/>
          <w:iCs w:val="0"/>
          <w:sz w:val="24"/>
          <w:szCs w:val="24"/>
        </w:rPr>
        <w:fldChar w:fldCharType="begin"/>
      </w:r>
      <w:r>
        <w:rPr>
          <w:i w:val="0"/>
          <w:iCs w:val="0"/>
          <w:sz w:val="24"/>
          <w:szCs w:val="24"/>
        </w:rPr>
        <w:instrText xml:space="preserve"> PAGEREF _Toc8383 \h </w:instrText>
      </w:r>
      <w:r>
        <w:rPr>
          <w:i w:val="0"/>
          <w:iCs w:val="0"/>
          <w:sz w:val="24"/>
          <w:szCs w:val="24"/>
        </w:rPr>
        <w:fldChar w:fldCharType="separate"/>
      </w:r>
      <w:r>
        <w:rPr>
          <w:i w:val="0"/>
          <w:iCs w:val="0"/>
          <w:sz w:val="24"/>
          <w:szCs w:val="24"/>
        </w:rPr>
        <w:t>182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_Toc32157 </w:instrText>
      </w:r>
      <w:r>
        <w:rPr>
          <w:i w:val="0"/>
          <w:iCs w:val="0"/>
          <w:sz w:val="24"/>
          <w:szCs w:val="24"/>
        </w:rPr>
        <w:fldChar w:fldCharType="separate"/>
      </w:r>
      <w:r>
        <w:rPr>
          <w:rFonts w:hint="eastAsia"/>
          <w:i w:val="0"/>
          <w:iCs w:val="0"/>
          <w:sz w:val="24"/>
          <w:szCs w:val="24"/>
        </w:rPr>
        <w:t>附件6.18 主要负责人及安全生产管理人员学历证书</w:t>
      </w:r>
      <w:r>
        <w:rPr>
          <w:i w:val="0"/>
          <w:iCs w:val="0"/>
          <w:sz w:val="24"/>
          <w:szCs w:val="24"/>
        </w:rPr>
        <w:tab/>
      </w:r>
      <w:r>
        <w:rPr>
          <w:i w:val="0"/>
          <w:iCs w:val="0"/>
          <w:sz w:val="24"/>
          <w:szCs w:val="24"/>
        </w:rPr>
        <w:fldChar w:fldCharType="begin"/>
      </w:r>
      <w:r>
        <w:rPr>
          <w:i w:val="0"/>
          <w:iCs w:val="0"/>
          <w:sz w:val="24"/>
          <w:szCs w:val="24"/>
        </w:rPr>
        <w:instrText xml:space="preserve"> PAGEREF _Toc32157 \h </w:instrText>
      </w:r>
      <w:r>
        <w:rPr>
          <w:i w:val="0"/>
          <w:iCs w:val="0"/>
          <w:sz w:val="24"/>
          <w:szCs w:val="24"/>
        </w:rPr>
        <w:fldChar w:fldCharType="separate"/>
      </w:r>
      <w:r>
        <w:rPr>
          <w:i w:val="0"/>
          <w:iCs w:val="0"/>
          <w:sz w:val="24"/>
          <w:szCs w:val="24"/>
        </w:rPr>
        <w:t>183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_Toc2817 </w:instrText>
      </w:r>
      <w:r>
        <w:rPr>
          <w:i w:val="0"/>
          <w:iCs w:val="0"/>
          <w:sz w:val="24"/>
          <w:szCs w:val="24"/>
        </w:rPr>
        <w:fldChar w:fldCharType="separate"/>
      </w:r>
      <w:r>
        <w:rPr>
          <w:rFonts w:hint="eastAsia"/>
          <w:i w:val="0"/>
          <w:iCs w:val="0"/>
          <w:sz w:val="24"/>
          <w:szCs w:val="24"/>
        </w:rPr>
        <w:t>附件6.19 安全标准化管理</w:t>
      </w:r>
      <w:r>
        <w:rPr>
          <w:rFonts w:hint="eastAsia"/>
          <w:i w:val="0"/>
          <w:iCs w:val="0"/>
          <w:sz w:val="24"/>
          <w:szCs w:val="24"/>
          <w:lang w:val="en-US" w:eastAsia="zh-CN"/>
        </w:rPr>
        <w:t>规章</w:t>
      </w:r>
      <w:r>
        <w:rPr>
          <w:rFonts w:hint="eastAsia"/>
          <w:i w:val="0"/>
          <w:iCs w:val="0"/>
          <w:sz w:val="24"/>
          <w:szCs w:val="24"/>
        </w:rPr>
        <w:t>制度清单、</w:t>
      </w:r>
      <w:r>
        <w:rPr>
          <w:rFonts w:hint="eastAsia"/>
          <w:i w:val="0"/>
          <w:iCs w:val="0"/>
          <w:sz w:val="24"/>
          <w:szCs w:val="24"/>
          <w:lang w:val="en-US" w:eastAsia="zh-CN"/>
        </w:rPr>
        <w:t>安全</w:t>
      </w:r>
      <w:r>
        <w:rPr>
          <w:rFonts w:hint="eastAsia"/>
          <w:i w:val="0"/>
          <w:iCs w:val="0"/>
          <w:sz w:val="24"/>
          <w:szCs w:val="24"/>
        </w:rPr>
        <w:t>操作规程清单</w:t>
      </w:r>
      <w:r>
        <w:rPr>
          <w:i w:val="0"/>
          <w:iCs w:val="0"/>
          <w:sz w:val="24"/>
          <w:szCs w:val="24"/>
        </w:rPr>
        <w:tab/>
      </w:r>
      <w:r>
        <w:rPr>
          <w:i w:val="0"/>
          <w:iCs w:val="0"/>
          <w:sz w:val="24"/>
          <w:szCs w:val="24"/>
        </w:rPr>
        <w:fldChar w:fldCharType="begin"/>
      </w:r>
      <w:r>
        <w:rPr>
          <w:i w:val="0"/>
          <w:iCs w:val="0"/>
          <w:sz w:val="24"/>
          <w:szCs w:val="24"/>
        </w:rPr>
        <w:instrText xml:space="preserve"> PAGEREF _Toc2817 \h </w:instrText>
      </w:r>
      <w:r>
        <w:rPr>
          <w:i w:val="0"/>
          <w:iCs w:val="0"/>
          <w:sz w:val="24"/>
          <w:szCs w:val="24"/>
        </w:rPr>
        <w:fldChar w:fldCharType="separate"/>
      </w:r>
      <w:r>
        <w:rPr>
          <w:i w:val="0"/>
          <w:iCs w:val="0"/>
          <w:sz w:val="24"/>
          <w:szCs w:val="24"/>
        </w:rPr>
        <w:t>184</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_Toc20362 </w:instrText>
      </w:r>
      <w:r>
        <w:rPr>
          <w:i w:val="0"/>
          <w:iCs w:val="0"/>
          <w:sz w:val="24"/>
          <w:szCs w:val="24"/>
        </w:rPr>
        <w:fldChar w:fldCharType="separate"/>
      </w:r>
      <w:r>
        <w:rPr>
          <w:rFonts w:hint="eastAsia"/>
          <w:i w:val="0"/>
          <w:iCs w:val="0"/>
          <w:sz w:val="24"/>
          <w:szCs w:val="24"/>
        </w:rPr>
        <w:t>附件6.20 安全阀校验报告</w:t>
      </w:r>
      <w:r>
        <w:rPr>
          <w:i w:val="0"/>
          <w:iCs w:val="0"/>
          <w:sz w:val="24"/>
          <w:szCs w:val="24"/>
        </w:rPr>
        <w:tab/>
      </w:r>
      <w:r>
        <w:rPr>
          <w:i w:val="0"/>
          <w:iCs w:val="0"/>
          <w:sz w:val="24"/>
          <w:szCs w:val="24"/>
        </w:rPr>
        <w:fldChar w:fldCharType="begin"/>
      </w:r>
      <w:r>
        <w:rPr>
          <w:i w:val="0"/>
          <w:iCs w:val="0"/>
          <w:sz w:val="24"/>
          <w:szCs w:val="24"/>
        </w:rPr>
        <w:instrText xml:space="preserve"> PAGEREF _Toc20362 \h </w:instrText>
      </w:r>
      <w:r>
        <w:rPr>
          <w:i w:val="0"/>
          <w:iCs w:val="0"/>
          <w:sz w:val="24"/>
          <w:szCs w:val="24"/>
        </w:rPr>
        <w:fldChar w:fldCharType="separate"/>
      </w:r>
      <w:r>
        <w:rPr>
          <w:i w:val="0"/>
          <w:iCs w:val="0"/>
          <w:sz w:val="24"/>
          <w:szCs w:val="24"/>
        </w:rPr>
        <w:t>190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_Toc29120 </w:instrText>
      </w:r>
      <w:r>
        <w:rPr>
          <w:i w:val="0"/>
          <w:iCs w:val="0"/>
          <w:sz w:val="24"/>
          <w:szCs w:val="24"/>
        </w:rPr>
        <w:fldChar w:fldCharType="separate"/>
      </w:r>
      <w:r>
        <w:rPr>
          <w:rFonts w:hint="eastAsia"/>
          <w:i w:val="0"/>
          <w:iCs w:val="0"/>
          <w:sz w:val="24"/>
          <w:szCs w:val="24"/>
        </w:rPr>
        <w:t>附件6.21 压力表检定证书</w:t>
      </w:r>
      <w:r>
        <w:rPr>
          <w:i w:val="0"/>
          <w:iCs w:val="0"/>
          <w:sz w:val="24"/>
          <w:szCs w:val="24"/>
        </w:rPr>
        <w:tab/>
      </w:r>
      <w:r>
        <w:rPr>
          <w:i w:val="0"/>
          <w:iCs w:val="0"/>
          <w:sz w:val="24"/>
          <w:szCs w:val="24"/>
        </w:rPr>
        <w:fldChar w:fldCharType="begin"/>
      </w:r>
      <w:r>
        <w:rPr>
          <w:i w:val="0"/>
          <w:iCs w:val="0"/>
          <w:sz w:val="24"/>
          <w:szCs w:val="24"/>
        </w:rPr>
        <w:instrText xml:space="preserve"> PAGEREF _Toc29120 \h </w:instrText>
      </w:r>
      <w:r>
        <w:rPr>
          <w:i w:val="0"/>
          <w:iCs w:val="0"/>
          <w:sz w:val="24"/>
          <w:szCs w:val="24"/>
        </w:rPr>
        <w:fldChar w:fldCharType="separate"/>
      </w:r>
      <w:r>
        <w:rPr>
          <w:i w:val="0"/>
          <w:iCs w:val="0"/>
          <w:sz w:val="24"/>
          <w:szCs w:val="24"/>
        </w:rPr>
        <w:t>191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_Toc23001 </w:instrText>
      </w:r>
      <w:r>
        <w:rPr>
          <w:i w:val="0"/>
          <w:iCs w:val="0"/>
          <w:sz w:val="24"/>
          <w:szCs w:val="24"/>
        </w:rPr>
        <w:fldChar w:fldCharType="separate"/>
      </w:r>
      <w:r>
        <w:rPr>
          <w:rFonts w:hint="eastAsia"/>
          <w:i w:val="0"/>
          <w:iCs w:val="0"/>
          <w:sz w:val="24"/>
          <w:szCs w:val="24"/>
        </w:rPr>
        <w:t>附件6.22 202</w:t>
      </w:r>
      <w:r>
        <w:rPr>
          <w:rFonts w:hint="eastAsia"/>
          <w:i w:val="0"/>
          <w:iCs w:val="0"/>
          <w:sz w:val="24"/>
          <w:szCs w:val="24"/>
          <w:lang w:val="en-US" w:eastAsia="zh-CN"/>
        </w:rPr>
        <w:t>1</w:t>
      </w:r>
      <w:r>
        <w:rPr>
          <w:rFonts w:hint="eastAsia"/>
          <w:i w:val="0"/>
          <w:iCs w:val="0"/>
          <w:sz w:val="24"/>
          <w:szCs w:val="24"/>
        </w:rPr>
        <w:t>年至2023年</w:t>
      </w:r>
      <w:r>
        <w:rPr>
          <w:rFonts w:hint="eastAsia"/>
          <w:i w:val="0"/>
          <w:iCs w:val="0"/>
          <w:sz w:val="24"/>
          <w:szCs w:val="24"/>
          <w:lang w:val="en-US" w:eastAsia="zh-CN"/>
        </w:rPr>
        <w:t>8</w:t>
      </w:r>
      <w:r>
        <w:rPr>
          <w:rFonts w:hint="eastAsia"/>
          <w:i w:val="0"/>
          <w:iCs w:val="0"/>
          <w:sz w:val="24"/>
          <w:szCs w:val="24"/>
        </w:rPr>
        <w:t>月安全资金投入</w:t>
      </w:r>
      <w:r>
        <w:rPr>
          <w:rFonts w:hint="eastAsia"/>
          <w:i w:val="0"/>
          <w:iCs w:val="0"/>
          <w:sz w:val="24"/>
          <w:szCs w:val="24"/>
          <w:lang w:val="en-US" w:eastAsia="zh-CN"/>
        </w:rPr>
        <w:t>情况</w:t>
      </w:r>
      <w:r>
        <w:rPr>
          <w:i w:val="0"/>
          <w:iCs w:val="0"/>
          <w:sz w:val="24"/>
          <w:szCs w:val="24"/>
        </w:rPr>
        <w:tab/>
      </w:r>
      <w:r>
        <w:rPr>
          <w:i w:val="0"/>
          <w:iCs w:val="0"/>
          <w:sz w:val="24"/>
          <w:szCs w:val="24"/>
        </w:rPr>
        <w:fldChar w:fldCharType="begin"/>
      </w:r>
      <w:r>
        <w:rPr>
          <w:i w:val="0"/>
          <w:iCs w:val="0"/>
          <w:sz w:val="24"/>
          <w:szCs w:val="24"/>
        </w:rPr>
        <w:instrText xml:space="preserve"> PAGEREF _Toc23001 \h </w:instrText>
      </w:r>
      <w:r>
        <w:rPr>
          <w:i w:val="0"/>
          <w:iCs w:val="0"/>
          <w:sz w:val="24"/>
          <w:szCs w:val="24"/>
        </w:rPr>
        <w:fldChar w:fldCharType="separate"/>
      </w:r>
      <w:r>
        <w:rPr>
          <w:i w:val="0"/>
          <w:iCs w:val="0"/>
          <w:sz w:val="24"/>
          <w:szCs w:val="24"/>
        </w:rPr>
        <w:t>200</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_Toc6862 </w:instrText>
      </w:r>
      <w:r>
        <w:rPr>
          <w:i w:val="0"/>
          <w:iCs w:val="0"/>
          <w:sz w:val="24"/>
          <w:szCs w:val="24"/>
        </w:rPr>
        <w:fldChar w:fldCharType="separate"/>
      </w:r>
      <w:r>
        <w:rPr>
          <w:rFonts w:hint="eastAsia"/>
          <w:i w:val="0"/>
          <w:iCs w:val="0"/>
          <w:sz w:val="24"/>
          <w:szCs w:val="24"/>
        </w:rPr>
        <w:t>附件6.23 职业病危害现状评价报告书</w:t>
      </w:r>
      <w:r>
        <w:rPr>
          <w:i w:val="0"/>
          <w:iCs w:val="0"/>
          <w:sz w:val="24"/>
          <w:szCs w:val="24"/>
        </w:rPr>
        <w:tab/>
      </w:r>
      <w:r>
        <w:rPr>
          <w:i w:val="0"/>
          <w:iCs w:val="0"/>
          <w:sz w:val="24"/>
          <w:szCs w:val="24"/>
        </w:rPr>
        <w:fldChar w:fldCharType="begin"/>
      </w:r>
      <w:r>
        <w:rPr>
          <w:i w:val="0"/>
          <w:iCs w:val="0"/>
          <w:sz w:val="24"/>
          <w:szCs w:val="24"/>
        </w:rPr>
        <w:instrText xml:space="preserve"> PAGEREF _Toc6862 \h </w:instrText>
      </w:r>
      <w:r>
        <w:rPr>
          <w:i w:val="0"/>
          <w:iCs w:val="0"/>
          <w:sz w:val="24"/>
          <w:szCs w:val="24"/>
        </w:rPr>
        <w:fldChar w:fldCharType="separate"/>
      </w:r>
      <w:r>
        <w:rPr>
          <w:i w:val="0"/>
          <w:iCs w:val="0"/>
          <w:sz w:val="24"/>
          <w:szCs w:val="24"/>
        </w:rPr>
        <w:t>201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_Toc31711 </w:instrText>
      </w:r>
      <w:r>
        <w:rPr>
          <w:i w:val="0"/>
          <w:iCs w:val="0"/>
          <w:sz w:val="24"/>
          <w:szCs w:val="24"/>
        </w:rPr>
        <w:fldChar w:fldCharType="separate"/>
      </w:r>
      <w:r>
        <w:rPr>
          <w:rFonts w:hint="eastAsia"/>
          <w:i w:val="0"/>
          <w:iCs w:val="0"/>
          <w:sz w:val="24"/>
          <w:szCs w:val="24"/>
        </w:rPr>
        <w:t>附件6.2</w:t>
      </w:r>
      <w:r>
        <w:rPr>
          <w:rFonts w:hint="eastAsia"/>
          <w:i w:val="0"/>
          <w:iCs w:val="0"/>
          <w:sz w:val="24"/>
          <w:szCs w:val="24"/>
          <w:lang w:val="en-US" w:eastAsia="zh-CN"/>
        </w:rPr>
        <w:t>4</w:t>
      </w:r>
      <w:r>
        <w:rPr>
          <w:rFonts w:hint="eastAsia"/>
          <w:i w:val="0"/>
          <w:iCs w:val="0"/>
          <w:sz w:val="24"/>
          <w:szCs w:val="24"/>
        </w:rPr>
        <w:t xml:space="preserve"> 成立应急指挥部的通知和应急救援队伍联系清单</w:t>
      </w:r>
      <w:r>
        <w:rPr>
          <w:i w:val="0"/>
          <w:iCs w:val="0"/>
          <w:sz w:val="24"/>
          <w:szCs w:val="24"/>
        </w:rPr>
        <w:tab/>
      </w:r>
      <w:r>
        <w:rPr>
          <w:i w:val="0"/>
          <w:iCs w:val="0"/>
          <w:sz w:val="24"/>
          <w:szCs w:val="24"/>
        </w:rPr>
        <w:fldChar w:fldCharType="begin"/>
      </w:r>
      <w:r>
        <w:rPr>
          <w:i w:val="0"/>
          <w:iCs w:val="0"/>
          <w:sz w:val="24"/>
          <w:szCs w:val="24"/>
        </w:rPr>
        <w:instrText xml:space="preserve"> PAGEREF _Toc31711 \h </w:instrText>
      </w:r>
      <w:r>
        <w:rPr>
          <w:i w:val="0"/>
          <w:iCs w:val="0"/>
          <w:sz w:val="24"/>
          <w:szCs w:val="24"/>
        </w:rPr>
        <w:fldChar w:fldCharType="separate"/>
      </w:r>
      <w:r>
        <w:rPr>
          <w:i w:val="0"/>
          <w:iCs w:val="0"/>
          <w:sz w:val="24"/>
          <w:szCs w:val="24"/>
        </w:rPr>
        <w:t>203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_Toc32206 </w:instrText>
      </w:r>
      <w:r>
        <w:rPr>
          <w:i w:val="0"/>
          <w:iCs w:val="0"/>
          <w:sz w:val="24"/>
          <w:szCs w:val="24"/>
        </w:rPr>
        <w:fldChar w:fldCharType="separate"/>
      </w:r>
      <w:r>
        <w:rPr>
          <w:rFonts w:hint="eastAsia"/>
          <w:i w:val="0"/>
          <w:iCs w:val="0"/>
          <w:sz w:val="24"/>
          <w:szCs w:val="24"/>
        </w:rPr>
        <w:t>附件6.2</w:t>
      </w:r>
      <w:r>
        <w:rPr>
          <w:rFonts w:hint="eastAsia"/>
          <w:i w:val="0"/>
          <w:iCs w:val="0"/>
          <w:sz w:val="24"/>
          <w:szCs w:val="24"/>
          <w:lang w:val="en-US" w:eastAsia="zh-CN"/>
        </w:rPr>
        <w:t>5</w:t>
      </w:r>
      <w:r>
        <w:rPr>
          <w:rFonts w:hint="eastAsia"/>
          <w:i w:val="0"/>
          <w:iCs w:val="0"/>
          <w:sz w:val="24"/>
          <w:szCs w:val="24"/>
        </w:rPr>
        <w:t>劳保用品发放记录</w:t>
      </w:r>
      <w:r>
        <w:rPr>
          <w:i w:val="0"/>
          <w:iCs w:val="0"/>
          <w:sz w:val="24"/>
          <w:szCs w:val="24"/>
        </w:rPr>
        <w:tab/>
      </w:r>
      <w:r>
        <w:rPr>
          <w:i w:val="0"/>
          <w:iCs w:val="0"/>
          <w:sz w:val="24"/>
          <w:szCs w:val="24"/>
        </w:rPr>
        <w:fldChar w:fldCharType="begin"/>
      </w:r>
      <w:r>
        <w:rPr>
          <w:i w:val="0"/>
          <w:iCs w:val="0"/>
          <w:sz w:val="24"/>
          <w:szCs w:val="24"/>
        </w:rPr>
        <w:instrText xml:space="preserve"> PAGEREF _Toc32206 \h </w:instrText>
      </w:r>
      <w:r>
        <w:rPr>
          <w:i w:val="0"/>
          <w:iCs w:val="0"/>
          <w:sz w:val="24"/>
          <w:szCs w:val="24"/>
        </w:rPr>
        <w:fldChar w:fldCharType="separate"/>
      </w:r>
      <w:r>
        <w:rPr>
          <w:i w:val="0"/>
          <w:iCs w:val="0"/>
          <w:sz w:val="24"/>
          <w:szCs w:val="24"/>
        </w:rPr>
        <w:t>205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_Toc5581 </w:instrText>
      </w:r>
      <w:r>
        <w:rPr>
          <w:i w:val="0"/>
          <w:iCs w:val="0"/>
          <w:sz w:val="24"/>
          <w:szCs w:val="24"/>
        </w:rPr>
        <w:fldChar w:fldCharType="separate"/>
      </w:r>
      <w:r>
        <w:rPr>
          <w:rFonts w:hint="eastAsia"/>
          <w:i w:val="0"/>
          <w:iCs w:val="0"/>
          <w:sz w:val="24"/>
          <w:szCs w:val="24"/>
        </w:rPr>
        <w:t>附件6.2</w:t>
      </w:r>
      <w:r>
        <w:rPr>
          <w:rFonts w:hint="eastAsia"/>
          <w:i w:val="0"/>
          <w:iCs w:val="0"/>
          <w:sz w:val="24"/>
          <w:szCs w:val="24"/>
          <w:lang w:val="en-US" w:eastAsia="zh-CN"/>
        </w:rPr>
        <w:t>6</w:t>
      </w:r>
      <w:r>
        <w:rPr>
          <w:rFonts w:hint="eastAsia"/>
          <w:i w:val="0"/>
          <w:iCs w:val="0"/>
          <w:sz w:val="24"/>
          <w:szCs w:val="24"/>
        </w:rPr>
        <w:t xml:space="preserve"> 特种设备检验报告</w:t>
      </w:r>
      <w:r>
        <w:rPr>
          <w:i w:val="0"/>
          <w:iCs w:val="0"/>
          <w:sz w:val="24"/>
          <w:szCs w:val="24"/>
        </w:rPr>
        <w:tab/>
      </w:r>
      <w:r>
        <w:rPr>
          <w:i w:val="0"/>
          <w:iCs w:val="0"/>
          <w:sz w:val="24"/>
          <w:szCs w:val="24"/>
        </w:rPr>
        <w:fldChar w:fldCharType="begin"/>
      </w:r>
      <w:r>
        <w:rPr>
          <w:i w:val="0"/>
          <w:iCs w:val="0"/>
          <w:sz w:val="24"/>
          <w:szCs w:val="24"/>
        </w:rPr>
        <w:instrText xml:space="preserve"> PAGEREF _Toc5581 \h </w:instrText>
      </w:r>
      <w:r>
        <w:rPr>
          <w:i w:val="0"/>
          <w:iCs w:val="0"/>
          <w:sz w:val="24"/>
          <w:szCs w:val="24"/>
        </w:rPr>
        <w:fldChar w:fldCharType="separate"/>
      </w:r>
      <w:r>
        <w:rPr>
          <w:i w:val="0"/>
          <w:iCs w:val="0"/>
          <w:sz w:val="24"/>
          <w:szCs w:val="24"/>
        </w:rPr>
        <w:t>208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_Toc3294 </w:instrText>
      </w:r>
      <w:r>
        <w:rPr>
          <w:i w:val="0"/>
          <w:iCs w:val="0"/>
          <w:sz w:val="24"/>
          <w:szCs w:val="24"/>
        </w:rPr>
        <w:fldChar w:fldCharType="separate"/>
      </w:r>
      <w:r>
        <w:rPr>
          <w:rFonts w:hint="eastAsia"/>
          <w:i w:val="0"/>
          <w:iCs w:val="0"/>
          <w:sz w:val="24"/>
          <w:szCs w:val="24"/>
        </w:rPr>
        <w:t>附件6.2</w:t>
      </w:r>
      <w:r>
        <w:rPr>
          <w:rFonts w:hint="eastAsia"/>
          <w:i w:val="0"/>
          <w:iCs w:val="0"/>
          <w:sz w:val="24"/>
          <w:szCs w:val="24"/>
          <w:lang w:val="en-US" w:eastAsia="zh-CN"/>
        </w:rPr>
        <w:t>7</w:t>
      </w:r>
      <w:r>
        <w:rPr>
          <w:rFonts w:hint="eastAsia"/>
          <w:i w:val="0"/>
          <w:iCs w:val="0"/>
          <w:sz w:val="24"/>
          <w:szCs w:val="24"/>
        </w:rPr>
        <w:t xml:space="preserve"> 特种设备</w:t>
      </w:r>
      <w:r>
        <w:rPr>
          <w:rFonts w:hint="eastAsia"/>
          <w:i w:val="0"/>
          <w:iCs w:val="0"/>
          <w:sz w:val="24"/>
          <w:szCs w:val="24"/>
          <w:lang w:val="en-US" w:eastAsia="zh-CN"/>
        </w:rPr>
        <w:t>使用登记证</w:t>
      </w:r>
      <w:r>
        <w:rPr>
          <w:i w:val="0"/>
          <w:iCs w:val="0"/>
          <w:sz w:val="24"/>
          <w:szCs w:val="24"/>
        </w:rPr>
        <w:tab/>
      </w:r>
      <w:r>
        <w:rPr>
          <w:i w:val="0"/>
          <w:iCs w:val="0"/>
          <w:sz w:val="24"/>
          <w:szCs w:val="24"/>
        </w:rPr>
        <w:fldChar w:fldCharType="begin"/>
      </w:r>
      <w:r>
        <w:rPr>
          <w:i w:val="0"/>
          <w:iCs w:val="0"/>
          <w:sz w:val="24"/>
          <w:szCs w:val="24"/>
        </w:rPr>
        <w:instrText xml:space="preserve"> PAGEREF _Toc3294 \h </w:instrText>
      </w:r>
      <w:r>
        <w:rPr>
          <w:i w:val="0"/>
          <w:iCs w:val="0"/>
          <w:sz w:val="24"/>
          <w:szCs w:val="24"/>
        </w:rPr>
        <w:fldChar w:fldCharType="separate"/>
      </w:r>
      <w:r>
        <w:rPr>
          <w:i w:val="0"/>
          <w:iCs w:val="0"/>
          <w:sz w:val="24"/>
          <w:szCs w:val="24"/>
        </w:rPr>
        <w:t>214</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_Toc24879 </w:instrText>
      </w:r>
      <w:r>
        <w:rPr>
          <w:i w:val="0"/>
          <w:iCs w:val="0"/>
          <w:sz w:val="24"/>
          <w:szCs w:val="24"/>
        </w:rPr>
        <w:fldChar w:fldCharType="separate"/>
      </w:r>
      <w:r>
        <w:rPr>
          <w:rFonts w:hint="eastAsia"/>
          <w:i w:val="0"/>
          <w:iCs w:val="0"/>
          <w:sz w:val="24"/>
          <w:szCs w:val="24"/>
        </w:rPr>
        <w:t>附件6.28 雷电防护装置检测报告</w:t>
      </w:r>
      <w:r>
        <w:rPr>
          <w:i w:val="0"/>
          <w:iCs w:val="0"/>
          <w:sz w:val="24"/>
          <w:szCs w:val="24"/>
        </w:rPr>
        <w:tab/>
      </w:r>
      <w:r>
        <w:rPr>
          <w:i w:val="0"/>
          <w:iCs w:val="0"/>
          <w:sz w:val="24"/>
          <w:szCs w:val="24"/>
        </w:rPr>
        <w:fldChar w:fldCharType="begin"/>
      </w:r>
      <w:r>
        <w:rPr>
          <w:i w:val="0"/>
          <w:iCs w:val="0"/>
          <w:sz w:val="24"/>
          <w:szCs w:val="24"/>
        </w:rPr>
        <w:instrText xml:space="preserve"> PAGEREF _Toc24879 \h </w:instrText>
      </w:r>
      <w:r>
        <w:rPr>
          <w:i w:val="0"/>
          <w:iCs w:val="0"/>
          <w:sz w:val="24"/>
          <w:szCs w:val="24"/>
        </w:rPr>
        <w:fldChar w:fldCharType="separate"/>
      </w:r>
      <w:r>
        <w:rPr>
          <w:i w:val="0"/>
          <w:iCs w:val="0"/>
          <w:sz w:val="24"/>
          <w:szCs w:val="24"/>
        </w:rPr>
        <w:t>216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_Toc5018 </w:instrText>
      </w:r>
      <w:r>
        <w:rPr>
          <w:i w:val="0"/>
          <w:iCs w:val="0"/>
          <w:sz w:val="24"/>
          <w:szCs w:val="24"/>
        </w:rPr>
        <w:fldChar w:fldCharType="separate"/>
      </w:r>
      <w:r>
        <w:rPr>
          <w:rFonts w:hint="eastAsia"/>
          <w:i w:val="0"/>
          <w:iCs w:val="0"/>
          <w:sz w:val="24"/>
          <w:szCs w:val="24"/>
        </w:rPr>
        <w:t>附件6.29 应急演练资料</w:t>
      </w:r>
      <w:r>
        <w:rPr>
          <w:i w:val="0"/>
          <w:iCs w:val="0"/>
          <w:sz w:val="24"/>
          <w:szCs w:val="24"/>
        </w:rPr>
        <w:tab/>
      </w:r>
      <w:r>
        <w:rPr>
          <w:i w:val="0"/>
          <w:iCs w:val="0"/>
          <w:sz w:val="24"/>
          <w:szCs w:val="24"/>
        </w:rPr>
        <w:fldChar w:fldCharType="begin"/>
      </w:r>
      <w:r>
        <w:rPr>
          <w:i w:val="0"/>
          <w:iCs w:val="0"/>
          <w:sz w:val="24"/>
          <w:szCs w:val="24"/>
        </w:rPr>
        <w:instrText xml:space="preserve"> PAGEREF _Toc5018 \h </w:instrText>
      </w:r>
      <w:r>
        <w:rPr>
          <w:i w:val="0"/>
          <w:iCs w:val="0"/>
          <w:sz w:val="24"/>
          <w:szCs w:val="24"/>
        </w:rPr>
        <w:fldChar w:fldCharType="separate"/>
      </w:r>
      <w:r>
        <w:rPr>
          <w:i w:val="0"/>
          <w:iCs w:val="0"/>
          <w:sz w:val="24"/>
          <w:szCs w:val="24"/>
        </w:rPr>
        <w:t>223</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_Toc6769 </w:instrText>
      </w:r>
      <w:r>
        <w:rPr>
          <w:i w:val="0"/>
          <w:iCs w:val="0"/>
          <w:sz w:val="24"/>
          <w:szCs w:val="24"/>
        </w:rPr>
        <w:fldChar w:fldCharType="separate"/>
      </w:r>
      <w:r>
        <w:rPr>
          <w:rFonts w:hint="eastAsia"/>
          <w:i w:val="0"/>
          <w:iCs w:val="0"/>
          <w:sz w:val="24"/>
          <w:szCs w:val="24"/>
        </w:rPr>
        <w:t>附件6.30 双重预防机制相关材料</w:t>
      </w:r>
      <w:r>
        <w:rPr>
          <w:i w:val="0"/>
          <w:iCs w:val="0"/>
          <w:sz w:val="24"/>
          <w:szCs w:val="24"/>
        </w:rPr>
        <w:tab/>
      </w:r>
      <w:r>
        <w:rPr>
          <w:i w:val="0"/>
          <w:iCs w:val="0"/>
          <w:sz w:val="24"/>
          <w:szCs w:val="24"/>
        </w:rPr>
        <w:fldChar w:fldCharType="begin"/>
      </w:r>
      <w:r>
        <w:rPr>
          <w:i w:val="0"/>
          <w:iCs w:val="0"/>
          <w:sz w:val="24"/>
          <w:szCs w:val="24"/>
        </w:rPr>
        <w:instrText xml:space="preserve"> PAGEREF _Toc6769 \h </w:instrText>
      </w:r>
      <w:r>
        <w:rPr>
          <w:i w:val="0"/>
          <w:iCs w:val="0"/>
          <w:sz w:val="24"/>
          <w:szCs w:val="24"/>
        </w:rPr>
        <w:fldChar w:fldCharType="separate"/>
      </w:r>
      <w:r>
        <w:rPr>
          <w:i w:val="0"/>
          <w:iCs w:val="0"/>
          <w:sz w:val="24"/>
          <w:szCs w:val="24"/>
        </w:rPr>
        <w:t>238</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_Toc26388 </w:instrText>
      </w:r>
      <w:r>
        <w:rPr>
          <w:i w:val="0"/>
          <w:iCs w:val="0"/>
          <w:sz w:val="24"/>
          <w:szCs w:val="24"/>
        </w:rPr>
        <w:fldChar w:fldCharType="separate"/>
      </w:r>
      <w:r>
        <w:rPr>
          <w:rFonts w:hint="eastAsia"/>
          <w:i w:val="0"/>
          <w:iCs w:val="0"/>
          <w:sz w:val="24"/>
          <w:szCs w:val="24"/>
        </w:rPr>
        <w:t xml:space="preserve">附件6.31 </w:t>
      </w:r>
      <w:r>
        <w:rPr>
          <w:rFonts w:hint="eastAsia"/>
          <w:i w:val="0"/>
          <w:iCs w:val="0"/>
          <w:sz w:val="24"/>
          <w:szCs w:val="24"/>
          <w:lang w:val="en-US" w:eastAsia="zh-CN"/>
        </w:rPr>
        <w:t>气体检测报警器校准证书h</w:t>
      </w:r>
      <w:r>
        <w:rPr>
          <w:i w:val="0"/>
          <w:iCs w:val="0"/>
          <w:sz w:val="24"/>
          <w:szCs w:val="24"/>
        </w:rPr>
        <w:tab/>
      </w:r>
      <w:r>
        <w:rPr>
          <w:i w:val="0"/>
          <w:iCs w:val="0"/>
          <w:sz w:val="24"/>
          <w:szCs w:val="24"/>
        </w:rPr>
        <w:fldChar w:fldCharType="begin"/>
      </w:r>
      <w:r>
        <w:rPr>
          <w:i w:val="0"/>
          <w:iCs w:val="0"/>
          <w:sz w:val="24"/>
          <w:szCs w:val="24"/>
        </w:rPr>
        <w:instrText xml:space="preserve"> PAGEREF _Toc26388 \h </w:instrText>
      </w:r>
      <w:r>
        <w:rPr>
          <w:i w:val="0"/>
          <w:iCs w:val="0"/>
          <w:sz w:val="24"/>
          <w:szCs w:val="24"/>
        </w:rPr>
        <w:fldChar w:fldCharType="separate"/>
      </w:r>
      <w:r>
        <w:rPr>
          <w:i w:val="0"/>
          <w:iCs w:val="0"/>
          <w:sz w:val="24"/>
          <w:szCs w:val="24"/>
        </w:rPr>
        <w:t>242</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_Toc27492 </w:instrText>
      </w:r>
      <w:r>
        <w:rPr>
          <w:i w:val="0"/>
          <w:iCs w:val="0"/>
          <w:sz w:val="24"/>
          <w:szCs w:val="24"/>
        </w:rPr>
        <w:fldChar w:fldCharType="separate"/>
      </w:r>
      <w:r>
        <w:rPr>
          <w:rFonts w:hint="eastAsia"/>
          <w:i w:val="0"/>
          <w:iCs w:val="0"/>
          <w:sz w:val="24"/>
          <w:szCs w:val="24"/>
        </w:rPr>
        <w:t>附件6.32 安全培训资料</w:t>
      </w:r>
      <w:r>
        <w:rPr>
          <w:i w:val="0"/>
          <w:iCs w:val="0"/>
          <w:sz w:val="24"/>
          <w:szCs w:val="24"/>
        </w:rPr>
        <w:tab/>
      </w:r>
      <w:r>
        <w:rPr>
          <w:i w:val="0"/>
          <w:iCs w:val="0"/>
          <w:sz w:val="24"/>
          <w:szCs w:val="24"/>
        </w:rPr>
        <w:fldChar w:fldCharType="begin"/>
      </w:r>
      <w:r>
        <w:rPr>
          <w:i w:val="0"/>
          <w:iCs w:val="0"/>
          <w:sz w:val="24"/>
          <w:szCs w:val="24"/>
        </w:rPr>
        <w:instrText xml:space="preserve"> PAGEREF _Toc27492 \h </w:instrText>
      </w:r>
      <w:r>
        <w:rPr>
          <w:i w:val="0"/>
          <w:iCs w:val="0"/>
          <w:sz w:val="24"/>
          <w:szCs w:val="24"/>
        </w:rPr>
        <w:fldChar w:fldCharType="separate"/>
      </w:r>
      <w:r>
        <w:rPr>
          <w:i w:val="0"/>
          <w:iCs w:val="0"/>
          <w:sz w:val="24"/>
          <w:szCs w:val="24"/>
        </w:rPr>
        <w:t>245</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_Toc14008 </w:instrText>
      </w:r>
      <w:r>
        <w:rPr>
          <w:i w:val="0"/>
          <w:iCs w:val="0"/>
          <w:sz w:val="24"/>
          <w:szCs w:val="24"/>
        </w:rPr>
        <w:fldChar w:fldCharType="separate"/>
      </w:r>
      <w:r>
        <w:rPr>
          <w:rFonts w:hint="eastAsia"/>
          <w:i w:val="0"/>
          <w:iCs w:val="0"/>
          <w:sz w:val="24"/>
          <w:szCs w:val="24"/>
        </w:rPr>
        <w:t xml:space="preserve">附件6.33 </w:t>
      </w:r>
      <w:r>
        <w:rPr>
          <w:rFonts w:hint="eastAsia"/>
          <w:i w:val="0"/>
          <w:iCs w:val="0"/>
          <w:sz w:val="24"/>
          <w:szCs w:val="24"/>
          <w:lang w:val="en-US" w:eastAsia="zh-CN"/>
        </w:rPr>
        <w:t>上次评价至今企业变化的说明</w:t>
      </w:r>
      <w:r>
        <w:rPr>
          <w:i w:val="0"/>
          <w:iCs w:val="0"/>
          <w:sz w:val="24"/>
          <w:szCs w:val="24"/>
        </w:rPr>
        <w:tab/>
      </w:r>
      <w:r>
        <w:rPr>
          <w:i w:val="0"/>
          <w:iCs w:val="0"/>
          <w:sz w:val="24"/>
          <w:szCs w:val="24"/>
        </w:rPr>
        <w:fldChar w:fldCharType="begin"/>
      </w:r>
      <w:r>
        <w:rPr>
          <w:i w:val="0"/>
          <w:iCs w:val="0"/>
          <w:sz w:val="24"/>
          <w:szCs w:val="24"/>
        </w:rPr>
        <w:instrText xml:space="preserve"> PAGEREF _Toc14008 \h </w:instrText>
      </w:r>
      <w:r>
        <w:rPr>
          <w:i w:val="0"/>
          <w:iCs w:val="0"/>
          <w:sz w:val="24"/>
          <w:szCs w:val="24"/>
        </w:rPr>
        <w:fldChar w:fldCharType="separate"/>
      </w:r>
      <w:r>
        <w:rPr>
          <w:i w:val="0"/>
          <w:iCs w:val="0"/>
          <w:sz w:val="24"/>
          <w:szCs w:val="24"/>
        </w:rPr>
        <w:t>246</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_Toc18205 </w:instrText>
      </w:r>
      <w:r>
        <w:rPr>
          <w:i w:val="0"/>
          <w:iCs w:val="0"/>
          <w:sz w:val="24"/>
          <w:szCs w:val="24"/>
        </w:rPr>
        <w:fldChar w:fldCharType="separate"/>
      </w:r>
      <w:r>
        <w:rPr>
          <w:rFonts w:hint="eastAsia"/>
          <w:i w:val="0"/>
          <w:iCs w:val="0"/>
          <w:sz w:val="24"/>
          <w:szCs w:val="24"/>
        </w:rPr>
        <w:t>附件6.3</w:t>
      </w:r>
      <w:r>
        <w:rPr>
          <w:rFonts w:hint="eastAsia"/>
          <w:i w:val="0"/>
          <w:iCs w:val="0"/>
          <w:sz w:val="24"/>
          <w:szCs w:val="24"/>
          <w:lang w:val="en-US" w:eastAsia="zh-CN"/>
        </w:rPr>
        <w:t>4 危货运输资料</w:t>
      </w:r>
      <w:r>
        <w:rPr>
          <w:i w:val="0"/>
          <w:iCs w:val="0"/>
          <w:sz w:val="24"/>
          <w:szCs w:val="24"/>
        </w:rPr>
        <w:tab/>
      </w:r>
      <w:r>
        <w:rPr>
          <w:i w:val="0"/>
          <w:iCs w:val="0"/>
          <w:sz w:val="24"/>
          <w:szCs w:val="24"/>
        </w:rPr>
        <w:fldChar w:fldCharType="begin"/>
      </w:r>
      <w:r>
        <w:rPr>
          <w:i w:val="0"/>
          <w:iCs w:val="0"/>
          <w:sz w:val="24"/>
          <w:szCs w:val="24"/>
        </w:rPr>
        <w:instrText xml:space="preserve"> PAGEREF _Toc18205 \h </w:instrText>
      </w:r>
      <w:r>
        <w:rPr>
          <w:i w:val="0"/>
          <w:iCs w:val="0"/>
          <w:sz w:val="24"/>
          <w:szCs w:val="24"/>
        </w:rPr>
        <w:fldChar w:fldCharType="separate"/>
      </w:r>
      <w:r>
        <w:rPr>
          <w:i w:val="0"/>
          <w:iCs w:val="0"/>
          <w:sz w:val="24"/>
          <w:szCs w:val="24"/>
        </w:rPr>
        <w:t>247</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_Toc3388 </w:instrText>
      </w:r>
      <w:r>
        <w:rPr>
          <w:i w:val="0"/>
          <w:iCs w:val="0"/>
          <w:sz w:val="24"/>
          <w:szCs w:val="24"/>
        </w:rPr>
        <w:fldChar w:fldCharType="separate"/>
      </w:r>
      <w:r>
        <w:rPr>
          <w:rFonts w:hint="eastAsia"/>
          <w:i w:val="0"/>
          <w:iCs w:val="0"/>
          <w:sz w:val="24"/>
          <w:szCs w:val="24"/>
        </w:rPr>
        <w:t>附件6.3</w:t>
      </w:r>
      <w:r>
        <w:rPr>
          <w:rFonts w:hint="eastAsia"/>
          <w:i w:val="0"/>
          <w:iCs w:val="0"/>
          <w:sz w:val="24"/>
          <w:szCs w:val="24"/>
          <w:lang w:val="en-US" w:eastAsia="zh-CN"/>
        </w:rPr>
        <w:t>5</w:t>
      </w:r>
      <w:r>
        <w:rPr>
          <w:rFonts w:hint="eastAsia"/>
          <w:i w:val="0"/>
          <w:iCs w:val="0"/>
          <w:sz w:val="24"/>
          <w:szCs w:val="24"/>
        </w:rPr>
        <w:t xml:space="preserve"> 现状评价存在问题整改回复</w:t>
      </w:r>
      <w:r>
        <w:rPr>
          <w:i w:val="0"/>
          <w:iCs w:val="0"/>
          <w:sz w:val="24"/>
          <w:szCs w:val="24"/>
        </w:rPr>
        <w:tab/>
      </w:r>
      <w:r>
        <w:rPr>
          <w:i w:val="0"/>
          <w:iCs w:val="0"/>
          <w:sz w:val="24"/>
          <w:szCs w:val="24"/>
        </w:rPr>
        <w:fldChar w:fldCharType="begin"/>
      </w:r>
      <w:r>
        <w:rPr>
          <w:i w:val="0"/>
          <w:iCs w:val="0"/>
          <w:sz w:val="24"/>
          <w:szCs w:val="24"/>
        </w:rPr>
        <w:instrText xml:space="preserve"> PAGEREF _Toc3388 \h </w:instrText>
      </w:r>
      <w:r>
        <w:rPr>
          <w:i w:val="0"/>
          <w:iCs w:val="0"/>
          <w:sz w:val="24"/>
          <w:szCs w:val="24"/>
        </w:rPr>
        <w:fldChar w:fldCharType="separate"/>
      </w:r>
      <w:r>
        <w:rPr>
          <w:i w:val="0"/>
          <w:iCs w:val="0"/>
          <w:sz w:val="24"/>
          <w:szCs w:val="24"/>
        </w:rPr>
        <w:t>251</w:t>
      </w:r>
      <w:r>
        <w:rPr>
          <w:i w:val="0"/>
          <w:iCs w:val="0"/>
          <w:sz w:val="24"/>
          <w:szCs w:val="24"/>
        </w:rPr>
        <w:fldChar w:fldCharType="end"/>
      </w:r>
      <w:r>
        <w:rPr>
          <w:i w:val="0"/>
          <w:iCs w:val="0"/>
          <w:sz w:val="24"/>
          <w:szCs w:val="24"/>
        </w:rPr>
        <w:fldChar w:fldCharType="end"/>
      </w:r>
    </w:p>
    <w:p>
      <w:pPr>
        <w:pStyle w:val="16"/>
        <w:tabs>
          <w:tab w:val="right" w:leader="dot" w:pos="9072"/>
        </w:tabs>
        <w:rPr>
          <w:i w:val="0"/>
          <w:iCs w:val="0"/>
          <w:sz w:val="24"/>
          <w:szCs w:val="24"/>
        </w:rPr>
      </w:pPr>
      <w:r>
        <w:rPr>
          <w:i w:val="0"/>
          <w:iCs w:val="0"/>
          <w:sz w:val="24"/>
          <w:szCs w:val="24"/>
        </w:rPr>
        <w:fldChar w:fldCharType="begin"/>
      </w:r>
      <w:r>
        <w:rPr>
          <w:i w:val="0"/>
          <w:iCs w:val="0"/>
          <w:sz w:val="24"/>
          <w:szCs w:val="24"/>
        </w:rPr>
        <w:instrText xml:space="preserve"> HYPERLINK \l _Toc10662 </w:instrText>
      </w:r>
      <w:r>
        <w:rPr>
          <w:i w:val="0"/>
          <w:iCs w:val="0"/>
          <w:sz w:val="24"/>
          <w:szCs w:val="24"/>
        </w:rPr>
        <w:fldChar w:fldCharType="separate"/>
      </w:r>
      <w:r>
        <w:rPr>
          <w:rFonts w:hint="eastAsia"/>
          <w:i w:val="0"/>
          <w:iCs w:val="0"/>
          <w:sz w:val="24"/>
          <w:szCs w:val="24"/>
        </w:rPr>
        <w:t>附件6.3</w:t>
      </w:r>
      <w:r>
        <w:rPr>
          <w:rFonts w:hint="eastAsia"/>
          <w:i w:val="0"/>
          <w:iCs w:val="0"/>
          <w:sz w:val="24"/>
          <w:szCs w:val="24"/>
          <w:lang w:val="en-US" w:eastAsia="zh-CN"/>
        </w:rPr>
        <w:t>6</w:t>
      </w:r>
      <w:r>
        <w:rPr>
          <w:rFonts w:hint="eastAsia"/>
          <w:i w:val="0"/>
          <w:iCs w:val="0"/>
          <w:sz w:val="24"/>
          <w:szCs w:val="24"/>
        </w:rPr>
        <w:t xml:space="preserve"> 厂区平面布置图</w:t>
      </w:r>
      <w:r>
        <w:rPr>
          <w:i w:val="0"/>
          <w:iCs w:val="0"/>
          <w:sz w:val="24"/>
          <w:szCs w:val="24"/>
        </w:rPr>
        <w:tab/>
      </w:r>
      <w:r>
        <w:rPr>
          <w:i w:val="0"/>
          <w:iCs w:val="0"/>
          <w:sz w:val="24"/>
          <w:szCs w:val="24"/>
        </w:rPr>
        <w:fldChar w:fldCharType="begin"/>
      </w:r>
      <w:r>
        <w:rPr>
          <w:i w:val="0"/>
          <w:iCs w:val="0"/>
          <w:sz w:val="24"/>
          <w:szCs w:val="24"/>
        </w:rPr>
        <w:instrText xml:space="preserve"> PAGEREF _Toc10662 \h </w:instrText>
      </w:r>
      <w:r>
        <w:rPr>
          <w:i w:val="0"/>
          <w:iCs w:val="0"/>
          <w:sz w:val="24"/>
          <w:szCs w:val="24"/>
        </w:rPr>
        <w:fldChar w:fldCharType="separate"/>
      </w:r>
      <w:r>
        <w:rPr>
          <w:i w:val="0"/>
          <w:iCs w:val="0"/>
          <w:sz w:val="24"/>
          <w:szCs w:val="24"/>
        </w:rPr>
        <w:t>253</w:t>
      </w:r>
      <w:r>
        <w:rPr>
          <w:i w:val="0"/>
          <w:iCs w:val="0"/>
          <w:sz w:val="24"/>
          <w:szCs w:val="24"/>
        </w:rPr>
        <w:fldChar w:fldCharType="end"/>
      </w:r>
      <w:r>
        <w:rPr>
          <w:i w:val="0"/>
          <w:iCs w:val="0"/>
          <w:sz w:val="24"/>
          <w:szCs w:val="24"/>
        </w:rPr>
        <w:fldChar w:fldCharType="end"/>
      </w:r>
    </w:p>
    <w:p>
      <w:pPr>
        <w:pStyle w:val="16"/>
        <w:tabs>
          <w:tab w:val="right" w:leader="dot" w:pos="9072"/>
        </w:tabs>
      </w:pPr>
      <w:r>
        <w:rPr>
          <w:i w:val="0"/>
          <w:iCs w:val="0"/>
          <w:sz w:val="24"/>
          <w:szCs w:val="24"/>
        </w:rPr>
        <w:fldChar w:fldCharType="begin"/>
      </w:r>
      <w:r>
        <w:rPr>
          <w:i w:val="0"/>
          <w:iCs w:val="0"/>
          <w:sz w:val="24"/>
          <w:szCs w:val="24"/>
        </w:rPr>
        <w:instrText xml:space="preserve"> HYPERLINK \l _Toc18945 </w:instrText>
      </w:r>
      <w:r>
        <w:rPr>
          <w:i w:val="0"/>
          <w:iCs w:val="0"/>
          <w:sz w:val="24"/>
          <w:szCs w:val="24"/>
        </w:rPr>
        <w:fldChar w:fldCharType="separate"/>
      </w:r>
      <w:r>
        <w:rPr>
          <w:rFonts w:hint="eastAsia"/>
          <w:bCs/>
          <w:i w:val="0"/>
          <w:iCs w:val="0"/>
          <w:sz w:val="24"/>
          <w:szCs w:val="24"/>
        </w:rPr>
        <w:t>附件6.3</w:t>
      </w:r>
      <w:r>
        <w:rPr>
          <w:rFonts w:hint="eastAsia"/>
          <w:bCs/>
          <w:i w:val="0"/>
          <w:iCs w:val="0"/>
          <w:sz w:val="24"/>
          <w:szCs w:val="24"/>
          <w:lang w:val="en-US" w:eastAsia="zh-CN"/>
        </w:rPr>
        <w:t xml:space="preserve">7 </w:t>
      </w:r>
      <w:r>
        <w:rPr>
          <w:rFonts w:hint="eastAsia"/>
          <w:bCs/>
          <w:i w:val="0"/>
          <w:iCs w:val="0"/>
          <w:sz w:val="24"/>
          <w:szCs w:val="24"/>
        </w:rPr>
        <w:t xml:space="preserve"> </w:t>
      </w:r>
      <w:r>
        <w:rPr>
          <w:rFonts w:hint="eastAsia"/>
          <w:bCs/>
          <w:i w:val="0"/>
          <w:iCs w:val="0"/>
          <w:sz w:val="24"/>
          <w:szCs w:val="24"/>
          <w:lang w:val="en-US" w:eastAsia="zh-CN"/>
        </w:rPr>
        <w:t>厂房租赁安全管理协议书</w:t>
      </w:r>
      <w:r>
        <w:rPr>
          <w:i w:val="0"/>
          <w:iCs w:val="0"/>
          <w:sz w:val="24"/>
          <w:szCs w:val="24"/>
        </w:rPr>
        <w:tab/>
      </w:r>
      <w:r>
        <w:rPr>
          <w:i w:val="0"/>
          <w:iCs w:val="0"/>
          <w:sz w:val="24"/>
          <w:szCs w:val="24"/>
        </w:rPr>
        <w:fldChar w:fldCharType="begin"/>
      </w:r>
      <w:r>
        <w:rPr>
          <w:i w:val="0"/>
          <w:iCs w:val="0"/>
          <w:sz w:val="24"/>
          <w:szCs w:val="24"/>
        </w:rPr>
        <w:instrText xml:space="preserve"> PAGEREF _Toc18945 \h </w:instrText>
      </w:r>
      <w:r>
        <w:rPr>
          <w:i w:val="0"/>
          <w:iCs w:val="0"/>
          <w:sz w:val="24"/>
          <w:szCs w:val="24"/>
        </w:rPr>
        <w:fldChar w:fldCharType="separate"/>
      </w:r>
      <w:r>
        <w:rPr>
          <w:i w:val="0"/>
          <w:iCs w:val="0"/>
          <w:sz w:val="24"/>
          <w:szCs w:val="24"/>
        </w:rPr>
        <w:t>254</w:t>
      </w:r>
      <w:r>
        <w:rPr>
          <w:i w:val="0"/>
          <w:iCs w:val="0"/>
          <w:sz w:val="24"/>
          <w:szCs w:val="24"/>
        </w:rPr>
        <w:fldChar w:fldCharType="end"/>
      </w:r>
      <w:r>
        <w:rPr>
          <w:i w:val="0"/>
          <w:iCs w:val="0"/>
          <w:sz w:val="24"/>
          <w:szCs w:val="24"/>
        </w:rPr>
        <w:fldChar w:fldCharType="end"/>
      </w:r>
    </w:p>
    <w:p>
      <w:pPr>
        <w:ind w:firstLine="0" w:firstLineChars="0"/>
      </w:pPr>
      <w:r>
        <w:fldChar w:fldCharType="end"/>
      </w:r>
    </w:p>
    <w:p>
      <w:pPr>
        <w:ind w:firstLine="0" w:firstLineChars="0"/>
        <w:jc w:val="center"/>
        <w:rPr>
          <w:rFonts w:ascii="宋体" w:hAnsi="宋体" w:cs="宋体"/>
          <w:b/>
          <w:color w:val="000000" w:themeColor="text1"/>
          <w:sz w:val="44"/>
          <w:szCs w:val="44"/>
          <w:lang w:val="zh-CN"/>
        </w:rPr>
      </w:pPr>
      <w:r>
        <w:rPr>
          <w:rFonts w:ascii="宋体" w:hAnsi="宋体"/>
          <w:color w:val="000000" w:themeColor="text1"/>
          <w:szCs w:val="28"/>
        </w:rPr>
        <w:br w:type="page"/>
      </w:r>
    </w:p>
    <w:p>
      <w:pPr>
        <w:pStyle w:val="56"/>
        <w:widowControl w:val="0"/>
        <w:tabs>
          <w:tab w:val="right" w:leader="dot" w:pos="9070"/>
        </w:tabs>
        <w:adjustRightInd w:val="0"/>
        <w:snapToGrid w:val="0"/>
        <w:spacing w:line="360" w:lineRule="auto"/>
        <w:jc w:val="both"/>
        <w:rPr>
          <w:rFonts w:ascii="宋体" w:hAnsi="宋体"/>
          <w:color w:val="000000" w:themeColor="text1"/>
          <w:sz w:val="28"/>
          <w:szCs w:val="28"/>
        </w:rPr>
        <w:sectPr>
          <w:pgSz w:w="11906" w:h="16838"/>
          <w:pgMar w:top="1417" w:right="1417" w:bottom="1587" w:left="1417" w:header="851" w:footer="1020" w:gutter="0"/>
          <w:pgNumType w:fmt="upperRoman"/>
          <w:cols w:space="0" w:num="1"/>
          <w:docGrid w:linePitch="381" w:charSpace="0"/>
        </w:sectPr>
      </w:pPr>
    </w:p>
    <w:bookmarkEnd w:id="11"/>
    <w:p>
      <w:pPr>
        <w:ind w:firstLine="0" w:firstLineChars="0"/>
        <w:jc w:val="center"/>
        <w:outlineLvl w:val="0"/>
        <w:rPr>
          <w:rFonts w:ascii="宋体" w:hAnsi="宋体" w:cs="宋体"/>
          <w:b/>
          <w:bCs/>
          <w:color w:val="000000" w:themeColor="text1"/>
          <w:sz w:val="32"/>
          <w:szCs w:val="32"/>
        </w:rPr>
      </w:pPr>
      <w:bookmarkStart w:id="12" w:name="_Toc25862"/>
      <w:bookmarkStart w:id="13" w:name="_Toc9091"/>
      <w:bookmarkStart w:id="14" w:name="_Toc23535"/>
      <w:bookmarkStart w:id="15" w:name="_Toc19856"/>
      <w:bookmarkStart w:id="16" w:name="_Toc30012"/>
      <w:bookmarkStart w:id="17" w:name="_Toc5697"/>
      <w:bookmarkStart w:id="18" w:name="_Toc17424"/>
      <w:bookmarkStart w:id="19" w:name="_Toc15282"/>
      <w:bookmarkStart w:id="20" w:name="_Toc19907"/>
      <w:bookmarkStart w:id="21" w:name="_Toc23156"/>
      <w:bookmarkStart w:id="22" w:name="_Toc16645"/>
      <w:bookmarkStart w:id="23" w:name="_Toc8078"/>
      <w:bookmarkStart w:id="24" w:name="_Toc24817"/>
      <w:bookmarkStart w:id="25" w:name="_Toc17707"/>
      <w:bookmarkStart w:id="26" w:name="_Toc17583"/>
      <w:bookmarkStart w:id="27" w:name="_Toc1826"/>
      <w:bookmarkStart w:id="28" w:name="_Toc23151"/>
      <w:bookmarkStart w:id="29" w:name="_Toc23136"/>
      <w:bookmarkStart w:id="30" w:name="_Toc27779"/>
      <w:bookmarkStart w:id="31" w:name="_Toc24926"/>
      <w:bookmarkStart w:id="32" w:name="_Toc27075"/>
      <w:bookmarkStart w:id="33" w:name="_Toc7879"/>
      <w:bookmarkStart w:id="34" w:name="_Toc30852"/>
      <w:bookmarkStart w:id="35" w:name="_Toc5023"/>
      <w:bookmarkStart w:id="36" w:name="_Toc128056366"/>
      <w:bookmarkStart w:id="37" w:name="_Toc21993"/>
      <w:bookmarkStart w:id="38" w:name="_Toc317766302"/>
      <w:bookmarkStart w:id="39" w:name="_Toc3942_WPSOffice_Level2"/>
      <w:bookmarkStart w:id="40" w:name="_Toc12328_WPSOffice_Level2"/>
      <w:r>
        <w:rPr>
          <w:rFonts w:hint="eastAsia" w:ascii="宋体" w:hAnsi="宋体" w:cs="宋体"/>
          <w:b/>
          <w:bCs/>
          <w:color w:val="000000" w:themeColor="text1"/>
          <w:sz w:val="32"/>
          <w:szCs w:val="32"/>
        </w:rPr>
        <w:t>非常用的术语</w:t>
      </w:r>
      <w:bookmarkEnd w:id="12"/>
      <w:r>
        <w:rPr>
          <w:rFonts w:hint="eastAsia" w:ascii="宋体" w:hAnsi="宋体" w:cs="宋体"/>
          <w:b/>
          <w:bCs/>
          <w:color w:val="000000" w:themeColor="text1"/>
          <w:sz w:val="32"/>
          <w:szCs w:val="32"/>
        </w:rPr>
        <w:t>说明</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ind w:firstLine="562"/>
        <w:rPr>
          <w:b/>
          <w:bCs/>
          <w:color w:val="000000" w:themeColor="text1"/>
        </w:rPr>
      </w:pP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1）安全评价</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安全评价是以实现安全为目的，应用安全系统工程原理和方法，辨识与分析工程、系统、生产经营活动中的危险有害因素，预测发生事故或造成职业危害的可能性及其严重程度，提出科学、合理、可行的安全对策措施建议，做出评价结论的活动。安全评价可针对一个特定的对象，也可针对一定区域范围。</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安全评价按照实施阶段的不同分为三类：安全预评价、安全验收评价、安全现状评价。</w:t>
      </w:r>
    </w:p>
    <w:p>
      <w:pPr>
        <w:rPr>
          <w:rFonts w:hint="eastAsia" w:ascii="宋体" w:hAnsi="宋体" w:eastAsia="宋体" w:cs="宋体"/>
          <w:b/>
          <w:bCs/>
          <w:color w:val="000000" w:themeColor="text1"/>
        </w:rPr>
      </w:pPr>
      <w:r>
        <w:rPr>
          <w:rFonts w:hint="eastAsia" w:ascii="宋体" w:hAnsi="宋体" w:eastAsia="宋体" w:cs="宋体"/>
          <w:b/>
          <w:bCs/>
          <w:color w:val="000000" w:themeColor="text1"/>
        </w:rPr>
        <w:t>2）安全现状评价</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安全现状评价是针对生产经营活动中和工业园区内的事故风险、安全管理等情况，辨识和分析其存在的危险有害因素，审查确定其与安全生产法律、法规、规章、标准、规范要求的符合性，预测发生事故或造成职业危害的可能性及其严重程度，提出科学、合理、可行的安全对策措施建议，做出安全现状评价结论的活动。</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3）化学品</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指各种化学元素、由元素组成的化合物及其混合物，包括天然的或者人造的。</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4）危险化学品</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具有毒害、腐蚀、爆炸、燃烧、助燃等性质，对人体、设施、环境具有危害的剧毒化学品和其他化学品，包括爆炸品，压缩气体和液化气体，易燃液体，易燃固体、自燃物品和遇湿易燃物品，氧化剂和有机过氧化物，有毒品，腐蚀品等。</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5）安全设施</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指企业（单位）在生产经营活动中将危险因素、有害因素控制在安全范围内以及预防、减少、消除危害所配备的装置（设备）和采取的措施。</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6）危化品作业场所</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指可能使从业人员接触危险化学品的任何作业活动场所，包括从事危险化学品的生产、操作、处置、储存、搬运、运输、废弃危险化学品的处置或者处理等场所。</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7）危险因素</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对人造成伤亡或者对物造成突发性损坏的因素。</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8）有害因素</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影响人的身体健康，导致疾病或者对物造成慢性损坏的因素。。</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9）危险程度</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对人造成伤亡和对物造成突发性损坏的尺度。</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10）有害程度</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影响人的身体健康，导致中毒、疾病或者对物造成慢性损坏的尺度。</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11）CAS号</w:t>
      </w:r>
    </w:p>
    <w:p>
      <w:pPr>
        <w:wordWrap w:val="0"/>
        <w:ind w:firstLine="560"/>
        <w:rPr>
          <w:rFonts w:hint="eastAsia" w:ascii="宋体" w:hAnsi="宋体" w:eastAsia="宋体" w:cs="宋体"/>
          <w:color w:val="000000" w:themeColor="text1"/>
        </w:rPr>
      </w:pPr>
      <w:r>
        <w:rPr>
          <w:rFonts w:hint="eastAsia" w:ascii="宋体" w:hAnsi="宋体" w:eastAsia="宋体" w:cs="宋体"/>
          <w:color w:val="000000" w:themeColor="text1"/>
        </w:rPr>
        <w:t>CAS号是美国化学文摘社登记号。CAS是美国化学文摘社（ChemicalAbstractService）的英文缩写。记号由三部分数字组成，各部分之间用短线联结。该号是用来判定检索有多个名称的化学物质信息的重要工具。</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12）UN编号</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UN编号是联合国危险货物运输专家委员会对危险物质制定的编号。该编号登录在联合国《关于危险货物运输的建议书》（RecommendationsontheTransportofDangerousGoods）中。UN是联合国（UnitedNations）的英文缩写。</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13）IMDG规则页码</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MDG是InternationalMaritimeDangerousGoods的缩写。IMDG规则页码是国际海事组织编制的《国际海上危险物品运输规则》的危险货物信息页码。</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14）危险货物编号</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由五位阿拉伯数字组成，是根据国标GB12268-2012制订的危险货物编号（简称危规号）。第一位数表示该危险货物按此国标分类（共九类）所属类别；第二位数表示按此国际分项项别；第3～5位三位数表示该危险货物品名的顺序号。按此国标，将危险货物共分为九类23项。</w:t>
      </w:r>
    </w:p>
    <w:p>
      <w:pPr>
        <w:ind w:firstLine="562"/>
        <w:rPr>
          <w:rFonts w:hint="eastAsia" w:ascii="宋体" w:hAnsi="宋体" w:eastAsia="宋体" w:cs="宋体"/>
          <w:b/>
          <w:bCs/>
          <w:color w:val="000000" w:themeColor="text1"/>
        </w:rPr>
      </w:pPr>
      <w:r>
        <w:rPr>
          <w:rFonts w:hint="eastAsia" w:ascii="宋体" w:hAnsi="宋体" w:eastAsia="宋体" w:cs="宋体"/>
          <w:b/>
          <w:bCs/>
          <w:color w:val="000000" w:themeColor="text1"/>
        </w:rPr>
        <w:t>15）危险化学品重大危险源</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长期或临时地生产、储存、使用和经营危险化学品，且危险化学品的数量等于或超过临界量的单元。</w:t>
      </w:r>
    </w:p>
    <w:p>
      <w:pPr>
        <w:topLinePunct/>
        <w:ind w:firstLine="562"/>
        <w:rPr>
          <w:rFonts w:hint="eastAsia" w:ascii="宋体" w:hAnsi="宋体" w:eastAsia="宋体" w:cs="宋体"/>
          <w:b/>
          <w:color w:val="000000" w:themeColor="text1"/>
        </w:rPr>
      </w:pPr>
      <w:r>
        <w:rPr>
          <w:rFonts w:hint="eastAsia" w:ascii="宋体" w:hAnsi="宋体" w:eastAsia="宋体" w:cs="宋体"/>
          <w:b/>
          <w:bCs/>
          <w:color w:val="000000" w:themeColor="text1"/>
        </w:rPr>
        <w:t>16）</w:t>
      </w:r>
      <w:r>
        <w:rPr>
          <w:rFonts w:hint="eastAsia" w:ascii="宋体" w:hAnsi="宋体" w:eastAsia="宋体" w:cs="宋体"/>
          <w:b/>
          <w:color w:val="000000" w:themeColor="text1"/>
        </w:rPr>
        <w:t>评价单元</w:t>
      </w:r>
    </w:p>
    <w:p>
      <w:pPr>
        <w:topLinePunct/>
        <w:ind w:firstLine="560"/>
        <w:rPr>
          <w:rFonts w:hint="eastAsia" w:ascii="宋体" w:hAnsi="宋体" w:eastAsia="宋体" w:cs="宋体"/>
          <w:color w:val="000000" w:themeColor="text1"/>
        </w:rPr>
      </w:pPr>
      <w:r>
        <w:rPr>
          <w:rFonts w:hint="eastAsia" w:ascii="宋体" w:hAnsi="宋体" w:eastAsia="宋体" w:cs="宋体"/>
          <w:color w:val="000000" w:themeColor="text1"/>
        </w:rPr>
        <w:t>根据被评价单位的实际情况和安全评价的需要而将被评价对象划分为一些相对独立部分进行安全评价，其中每个相对独立部分称为评价单元。</w:t>
      </w:r>
    </w:p>
    <w:p>
      <w:pPr>
        <w:topLinePunct/>
        <w:ind w:firstLine="562"/>
        <w:rPr>
          <w:rFonts w:hint="eastAsia" w:ascii="宋体" w:hAnsi="宋体" w:eastAsia="宋体" w:cs="宋体"/>
          <w:b/>
          <w:color w:val="000000" w:themeColor="text1"/>
        </w:rPr>
      </w:pPr>
      <w:r>
        <w:rPr>
          <w:rFonts w:hint="eastAsia" w:ascii="宋体" w:hAnsi="宋体" w:eastAsia="宋体" w:cs="宋体"/>
          <w:b/>
          <w:bCs/>
          <w:color w:val="000000" w:themeColor="text1"/>
        </w:rPr>
        <w:t>17）</w:t>
      </w:r>
      <w:r>
        <w:rPr>
          <w:rFonts w:hint="eastAsia" w:ascii="宋体" w:hAnsi="宋体" w:eastAsia="宋体" w:cs="宋体"/>
          <w:b/>
          <w:color w:val="000000" w:themeColor="text1"/>
        </w:rPr>
        <w:t>危害辨识</w:t>
      </w:r>
    </w:p>
    <w:p>
      <w:pPr>
        <w:topLinePunct/>
        <w:ind w:firstLine="560"/>
        <w:rPr>
          <w:rFonts w:hint="eastAsia" w:ascii="宋体" w:hAnsi="宋体" w:eastAsia="宋体" w:cs="宋体"/>
          <w:color w:val="000000" w:themeColor="text1"/>
        </w:rPr>
      </w:pPr>
      <w:r>
        <w:rPr>
          <w:rFonts w:hint="eastAsia" w:ascii="宋体" w:hAnsi="宋体" w:eastAsia="宋体" w:cs="宋体"/>
          <w:color w:val="000000" w:themeColor="text1"/>
        </w:rPr>
        <w:t>危害辨识是通过系统的分析和科学的检测等手段，在系统开始运作前找出存在其中的危险点，以便能采取针对性的措施控制危险发生。</w:t>
      </w:r>
    </w:p>
    <w:p>
      <w:pPr>
        <w:pStyle w:val="3"/>
        <w:rPr>
          <w:rFonts w:ascii="宋体" w:hAnsi="宋体" w:eastAsia="宋体" w:cs="宋体"/>
          <w:b/>
          <w:bCs w:val="0"/>
          <w:color w:val="000000" w:themeColor="text1"/>
          <w:sz w:val="32"/>
          <w:szCs w:val="32"/>
        </w:rPr>
      </w:pPr>
      <w:bookmarkStart w:id="41" w:name="_Toc17080"/>
      <w:bookmarkStart w:id="42" w:name="_Toc27453"/>
      <w:bookmarkStart w:id="43" w:name="_Toc8946"/>
      <w:bookmarkStart w:id="44" w:name="_Toc32762"/>
      <w:bookmarkStart w:id="45" w:name="_Toc839"/>
      <w:bookmarkStart w:id="46" w:name="_Toc24385"/>
      <w:bookmarkStart w:id="47" w:name="_Toc29566"/>
      <w:bookmarkStart w:id="48" w:name="_Toc12813"/>
      <w:bookmarkStart w:id="49" w:name="_Toc19188"/>
      <w:bookmarkStart w:id="50" w:name="_Toc5870"/>
      <w:bookmarkStart w:id="51" w:name="_Toc21487"/>
      <w:bookmarkStart w:id="52" w:name="_Toc26090"/>
      <w:bookmarkStart w:id="53" w:name="_Toc1255"/>
      <w:bookmarkStart w:id="54" w:name="_Toc17334"/>
      <w:bookmarkStart w:id="55" w:name="_Toc3445"/>
      <w:bookmarkStart w:id="56" w:name="_Toc27249"/>
      <w:bookmarkStart w:id="57" w:name="_Toc15644"/>
      <w:bookmarkStart w:id="58" w:name="_Toc21130"/>
      <w:bookmarkStart w:id="59" w:name="_Toc4462"/>
      <w:bookmarkStart w:id="60" w:name="_Toc26875"/>
      <w:bookmarkStart w:id="61" w:name="_Toc21508"/>
      <w:bookmarkStart w:id="62" w:name="_Toc9017"/>
      <w:bookmarkStart w:id="63" w:name="_Toc12642"/>
      <w:r>
        <w:rPr>
          <w:rFonts w:hint="eastAsia" w:ascii="宋体" w:hAnsi="宋体" w:eastAsia="宋体" w:cs="宋体"/>
          <w:b/>
          <w:bCs w:val="0"/>
          <w:color w:val="000000" w:themeColor="text1"/>
          <w:sz w:val="32"/>
          <w:szCs w:val="32"/>
        </w:rPr>
        <w:t>1  编制说明</w:t>
      </w:r>
      <w:bookmarkEnd w:id="36"/>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pPr>
        <w:pStyle w:val="2"/>
        <w:ind w:firstLine="560"/>
        <w:rPr>
          <w:sz w:val="32"/>
          <w:szCs w:val="32"/>
        </w:rPr>
      </w:pPr>
      <w:bookmarkStart w:id="64" w:name="_Toc8044"/>
      <w:bookmarkStart w:id="65" w:name="_Toc128056367"/>
      <w:bookmarkStart w:id="66" w:name="_Toc20873"/>
      <w:bookmarkStart w:id="67" w:name="_Toc62740922"/>
      <w:bookmarkStart w:id="68" w:name="_Toc25146"/>
      <w:bookmarkStart w:id="69" w:name="_Toc15958"/>
      <w:bookmarkStart w:id="70" w:name="_Toc3869"/>
      <w:bookmarkStart w:id="71" w:name="_Toc4067"/>
      <w:bookmarkStart w:id="72" w:name="_Toc16072"/>
      <w:bookmarkStart w:id="73" w:name="_Toc28611"/>
      <w:bookmarkStart w:id="74" w:name="_Toc4191"/>
      <w:bookmarkStart w:id="75" w:name="_Toc2083"/>
    </w:p>
    <w:p>
      <w:pPr>
        <w:pStyle w:val="4"/>
        <w:keepNext w:val="0"/>
        <w:keepLines w:val="0"/>
        <w:ind w:firstLine="562"/>
        <w:rPr>
          <w:color w:val="000000" w:themeColor="text1"/>
        </w:rPr>
      </w:pPr>
      <w:bookmarkStart w:id="76" w:name="_Toc22183"/>
      <w:bookmarkStart w:id="77" w:name="_Toc22738"/>
      <w:bookmarkStart w:id="78" w:name="_Toc2797"/>
      <w:bookmarkStart w:id="79" w:name="_Toc9509"/>
      <w:bookmarkStart w:id="80" w:name="_Toc28612"/>
      <w:bookmarkStart w:id="81" w:name="_Toc30787"/>
      <w:bookmarkStart w:id="82" w:name="_Toc4906"/>
      <w:bookmarkStart w:id="83" w:name="_Toc32122"/>
      <w:bookmarkStart w:id="84" w:name="_Toc18698"/>
      <w:bookmarkStart w:id="85" w:name="_Toc15607"/>
      <w:bookmarkStart w:id="86" w:name="_Toc25829"/>
      <w:bookmarkStart w:id="87" w:name="_Toc3355"/>
      <w:bookmarkStart w:id="88" w:name="_Toc26787"/>
      <w:r>
        <w:rPr>
          <w:rFonts w:hint="eastAsia"/>
          <w:color w:val="000000" w:themeColor="text1"/>
        </w:rPr>
        <w:t>1.1 评价目的</w:t>
      </w:r>
      <w:bookmarkEnd w:id="37"/>
      <w:bookmarkEnd w:id="38"/>
      <w:bookmarkEnd w:id="39"/>
      <w:bookmarkEnd w:id="40"/>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pPr>
        <w:ind w:firstLine="560"/>
        <w:rPr>
          <w:color w:val="000000" w:themeColor="text1"/>
        </w:rPr>
      </w:pPr>
      <w:r>
        <w:rPr>
          <w:rFonts w:hint="eastAsia"/>
          <w:color w:val="000000" w:themeColor="text1"/>
        </w:rPr>
        <w:t>安全评价是以实现系统安全为目的，采用系统安全工程的原理与方法，对系统中存在的危险和有害因素进行辨识和分析，判断系统发生事故和职业病的可能性及其严重程度，从而提出合理可行的安全对策措施，指导危险源监控和事故预防，达到最低事故率、最少损失和最优的安全投资效益的目的。</w:t>
      </w:r>
    </w:p>
    <w:p>
      <w:pPr>
        <w:ind w:firstLine="560"/>
        <w:rPr>
          <w:color w:val="000000" w:themeColor="text1"/>
        </w:rPr>
      </w:pPr>
      <w:r>
        <w:rPr>
          <w:rFonts w:hint="eastAsia"/>
          <w:color w:val="000000" w:themeColor="text1"/>
        </w:rPr>
        <w:t>评价的目的是：</w:t>
      </w:r>
    </w:p>
    <w:p>
      <w:pPr>
        <w:ind w:firstLine="560"/>
        <w:rPr>
          <w:color w:val="000000" w:themeColor="text1"/>
        </w:rPr>
      </w:pPr>
      <w:r>
        <w:rPr>
          <w:rFonts w:hint="eastAsia"/>
          <w:color w:val="000000" w:themeColor="text1"/>
        </w:rPr>
        <w:t>1）为贯彻“安全第一，预防为主，综合治理”的方针，保障企业生产顺利进行，杜绝事故的发生，进行本次安全评价。</w:t>
      </w:r>
    </w:p>
    <w:p>
      <w:pPr>
        <w:ind w:firstLine="560"/>
        <w:rPr>
          <w:color w:val="000000" w:themeColor="text1"/>
        </w:rPr>
      </w:pPr>
      <w:r>
        <w:rPr>
          <w:rFonts w:hint="eastAsia"/>
          <w:color w:val="000000" w:themeColor="text1"/>
        </w:rPr>
        <w:t>2）通过查找、分析和预测企业生产过程存在的危险和有害因素及危险、危害程度，提出合理可行的安全对策措施，指导危险源监控和事故预防。</w:t>
      </w:r>
    </w:p>
    <w:p>
      <w:pPr>
        <w:ind w:firstLine="560"/>
        <w:rPr>
          <w:color w:val="000000" w:themeColor="text1"/>
        </w:rPr>
      </w:pPr>
      <w:r>
        <w:rPr>
          <w:rFonts w:hint="eastAsia"/>
          <w:color w:val="000000" w:themeColor="text1"/>
        </w:rPr>
        <w:t>3）对企业生产用设备、设施、仓储、管理机构和管理制度等进行安全评价，为企业持续改进、提高服务质量、确保生产安全提供依据。</w:t>
      </w:r>
    </w:p>
    <w:p>
      <w:pPr>
        <w:ind w:firstLine="560"/>
        <w:rPr>
          <w:color w:val="000000" w:themeColor="text1"/>
        </w:rPr>
      </w:pPr>
      <w:r>
        <w:rPr>
          <w:rFonts w:hint="eastAsia"/>
          <w:color w:val="000000" w:themeColor="text1"/>
        </w:rPr>
        <w:t>4）为企业整改、生产运行、日常管理提供依据，为各级应急管理部门实行安全监察提供依据。</w:t>
      </w:r>
    </w:p>
    <w:p>
      <w:pPr>
        <w:ind w:firstLine="560"/>
        <w:rPr>
          <w:color w:val="000000" w:themeColor="text1"/>
        </w:rPr>
      </w:pPr>
      <w:r>
        <w:rPr>
          <w:rFonts w:hint="eastAsia"/>
          <w:color w:val="000000" w:themeColor="text1"/>
        </w:rPr>
        <w:t>5）通过安全评价，促进生产单位的安全管理，发现和整改事故隐患，提高企业生产的本质安全度。</w:t>
      </w:r>
    </w:p>
    <w:p>
      <w:pPr>
        <w:ind w:firstLine="560"/>
        <w:rPr>
          <w:color w:val="000000" w:themeColor="text1"/>
        </w:rPr>
      </w:pPr>
      <w:r>
        <w:rPr>
          <w:rFonts w:hint="eastAsia"/>
          <w:color w:val="000000" w:themeColor="text1"/>
        </w:rPr>
        <w:t>6）本报告可作为</w:t>
      </w:r>
      <w:r>
        <w:rPr>
          <w:rFonts w:hint="eastAsia"/>
          <w:color w:val="000000" w:themeColor="text1"/>
          <w:lang w:eastAsia="zh-CN"/>
        </w:rPr>
        <w:t>昆明合起工贸有限公司澄江氟化分公司</w:t>
      </w:r>
      <w:r>
        <w:rPr>
          <w:rFonts w:hint="eastAsia"/>
          <w:color w:val="000000" w:themeColor="text1"/>
        </w:rPr>
        <w:t>进行安全管理的依据，也可作为</w:t>
      </w:r>
      <w:r>
        <w:rPr>
          <w:rFonts w:hint="eastAsia"/>
          <w:color w:val="000000" w:themeColor="text1"/>
          <w:lang w:eastAsia="zh-CN"/>
        </w:rPr>
        <w:t>昆明合起工贸有限公司澄江氟化分公司</w:t>
      </w:r>
      <w:r>
        <w:rPr>
          <w:rFonts w:hint="eastAsia"/>
          <w:color w:val="000000" w:themeColor="text1"/>
        </w:rPr>
        <w:t>换取危险化学品安全生产许可证的申报材料。</w:t>
      </w:r>
    </w:p>
    <w:p>
      <w:pPr>
        <w:pStyle w:val="4"/>
        <w:ind w:firstLine="562"/>
      </w:pPr>
      <w:bookmarkStart w:id="89" w:name="_Toc9552"/>
      <w:bookmarkStart w:id="90" w:name="_Toc13484"/>
      <w:bookmarkStart w:id="91" w:name="_Toc31382"/>
      <w:bookmarkStart w:id="92" w:name="_Toc31824"/>
      <w:bookmarkStart w:id="93" w:name="_Toc9614"/>
      <w:bookmarkStart w:id="94" w:name="_Toc23557"/>
      <w:bookmarkStart w:id="95" w:name="_Toc16339"/>
      <w:bookmarkStart w:id="96" w:name="_Toc27746"/>
      <w:bookmarkStart w:id="97" w:name="_Toc24656"/>
      <w:bookmarkStart w:id="98" w:name="_Toc22546"/>
      <w:bookmarkStart w:id="99" w:name="_Toc18969"/>
      <w:bookmarkStart w:id="100" w:name="_Toc21089"/>
      <w:bookmarkStart w:id="101" w:name="_Toc32261"/>
      <w:bookmarkStart w:id="102" w:name="_Toc3800"/>
      <w:bookmarkStart w:id="103" w:name="_Toc6821"/>
      <w:bookmarkStart w:id="104" w:name="_Toc26976"/>
      <w:bookmarkStart w:id="105" w:name="_Toc18454"/>
      <w:bookmarkStart w:id="106" w:name="_Toc19985"/>
      <w:bookmarkStart w:id="107" w:name="_Toc12442"/>
      <w:bookmarkStart w:id="108" w:name="_Toc31945"/>
      <w:r>
        <w:t>1.2</w:t>
      </w:r>
      <w:r>
        <w:rPr>
          <w:rFonts w:hint="eastAsia"/>
        </w:rPr>
        <w:t xml:space="preserve"> </w:t>
      </w:r>
      <w:r>
        <w:t>评价依据</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pPr>
        <w:ind w:firstLine="560"/>
      </w:pPr>
      <w:r>
        <w:rPr>
          <w:rFonts w:hint="eastAsia"/>
        </w:rPr>
        <w:t>安全现状评价依据详见本报告附件5“评价依据”。</w:t>
      </w:r>
    </w:p>
    <w:p>
      <w:pPr>
        <w:pStyle w:val="4"/>
        <w:keepNext w:val="0"/>
        <w:keepLines w:val="0"/>
        <w:ind w:firstLine="562"/>
        <w:rPr>
          <w:color w:val="000000" w:themeColor="text1"/>
        </w:rPr>
      </w:pPr>
      <w:bookmarkStart w:id="109" w:name="_Toc31853"/>
      <w:bookmarkStart w:id="110" w:name="_Toc5928"/>
      <w:bookmarkStart w:id="111" w:name="_Toc15182"/>
      <w:bookmarkStart w:id="112" w:name="_Toc22951"/>
      <w:bookmarkStart w:id="113" w:name="_Toc13493"/>
      <w:bookmarkStart w:id="114" w:name="_Toc4542"/>
      <w:bookmarkStart w:id="115" w:name="_Toc19062"/>
      <w:bookmarkStart w:id="116" w:name="_Toc22078_WPSOffice_Level2"/>
      <w:bookmarkStart w:id="117" w:name="_Toc21459"/>
      <w:bookmarkStart w:id="118" w:name="_Toc32058"/>
      <w:bookmarkStart w:id="119" w:name="_Toc16724"/>
      <w:bookmarkStart w:id="120" w:name="_Toc25175"/>
      <w:bookmarkStart w:id="121" w:name="_Toc2844"/>
      <w:bookmarkStart w:id="122" w:name="_Toc24848"/>
      <w:bookmarkStart w:id="123" w:name="_Toc1235"/>
      <w:bookmarkStart w:id="124" w:name="_Toc24172"/>
      <w:bookmarkStart w:id="125" w:name="_Toc2142"/>
      <w:bookmarkStart w:id="126" w:name="_Toc26998"/>
      <w:bookmarkStart w:id="127" w:name="_Toc317766307"/>
      <w:bookmarkStart w:id="128" w:name="_Toc128056369"/>
      <w:bookmarkStart w:id="129" w:name="_Toc2812"/>
      <w:bookmarkStart w:id="130" w:name="_Toc27753"/>
      <w:bookmarkStart w:id="131" w:name="_Toc30818"/>
      <w:bookmarkStart w:id="132" w:name="_Toc24480_WPSOffice_Level2"/>
      <w:bookmarkStart w:id="133" w:name="_Toc244"/>
      <w:bookmarkStart w:id="134" w:name="_Toc62740923"/>
      <w:bookmarkStart w:id="135" w:name="_Toc23798"/>
      <w:bookmarkStart w:id="136" w:name="_Toc32074"/>
      <w:bookmarkStart w:id="137" w:name="_Toc3776"/>
      <w:r>
        <w:rPr>
          <w:rFonts w:hint="eastAsia"/>
          <w:color w:val="000000" w:themeColor="text1"/>
        </w:rPr>
        <w:t>1.3 评价范围</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pPr>
        <w:topLinePunct/>
        <w:ind w:firstLine="560"/>
        <w:rPr>
          <w:rFonts w:ascii="宋体" w:hAnsi="宋体" w:cs="宋体"/>
          <w:color w:val="000000" w:themeColor="text1"/>
          <w:szCs w:val="28"/>
        </w:rPr>
      </w:pPr>
      <w:r>
        <w:rPr>
          <w:rFonts w:hint="eastAsia" w:ascii="宋体" w:hAnsi="宋体" w:cs="宋体"/>
          <w:color w:val="000000" w:themeColor="text1"/>
          <w:szCs w:val="28"/>
        </w:rPr>
        <w:t>本次安全评价范围：</w:t>
      </w:r>
      <w:r>
        <w:rPr>
          <w:rFonts w:hint="eastAsia" w:ascii="宋体" w:hAnsi="宋体" w:cs="宋体"/>
          <w:color w:val="000000" w:themeColor="text1"/>
          <w:szCs w:val="28"/>
          <w:lang w:eastAsia="zh-CN"/>
        </w:rPr>
        <w:t>昆明合起工贸有限公司澄江氟化分公司</w:t>
      </w:r>
      <w:r>
        <w:rPr>
          <w:rFonts w:hint="eastAsia" w:ascii="宋体" w:hAnsi="宋体" w:cs="宋体"/>
          <w:color w:val="000000" w:themeColor="text1"/>
          <w:szCs w:val="28"/>
        </w:rPr>
        <w:t>生产项目</w:t>
      </w:r>
      <w:r>
        <w:rPr>
          <w:rFonts w:hint="eastAsia"/>
          <w:color w:val="000000" w:themeColor="text1"/>
        </w:rPr>
        <w:t>涉及到的厂址、总图布置、周边环境、生产工艺装置、公用工程、安全设施及安全管理</w:t>
      </w:r>
      <w:r>
        <w:rPr>
          <w:rFonts w:hint="eastAsia" w:ascii="宋体" w:hAnsi="宋体" w:cs="宋体"/>
          <w:color w:val="000000" w:themeColor="text1"/>
          <w:szCs w:val="28"/>
        </w:rPr>
        <w:t>。</w:t>
      </w:r>
    </w:p>
    <w:p>
      <w:pPr>
        <w:topLinePunct/>
        <w:ind w:firstLine="560"/>
        <w:rPr>
          <w:rFonts w:ascii="宋体" w:hAnsi="宋体" w:cs="宋体"/>
          <w:color w:val="000000" w:themeColor="text1"/>
          <w:szCs w:val="28"/>
        </w:rPr>
      </w:pPr>
      <w:r>
        <w:rPr>
          <w:rFonts w:hint="eastAsia" w:ascii="宋体" w:hAnsi="宋体" w:cs="宋体"/>
          <w:color w:val="000000" w:themeColor="text1"/>
          <w:szCs w:val="28"/>
        </w:rPr>
        <w:t>凡涉及职业卫生、环境保护和外部运输等方面的问题不在本次安全评价范围内，但在评价过程中会有所提及。</w:t>
      </w:r>
    </w:p>
    <w:p>
      <w:pPr>
        <w:pStyle w:val="4"/>
        <w:keepNext w:val="0"/>
        <w:keepLines w:val="0"/>
        <w:ind w:firstLine="562"/>
        <w:rPr>
          <w:color w:val="000000" w:themeColor="text1"/>
        </w:rPr>
      </w:pPr>
      <w:bookmarkStart w:id="138" w:name="_Toc23128"/>
      <w:bookmarkStart w:id="139" w:name="_Toc21827"/>
      <w:bookmarkStart w:id="140" w:name="_Toc62740924"/>
      <w:bookmarkStart w:id="141" w:name="_Toc30958"/>
      <w:bookmarkStart w:id="142" w:name="_Toc4746"/>
      <w:bookmarkStart w:id="143" w:name="_Toc13897"/>
      <w:bookmarkStart w:id="144" w:name="_Toc29248"/>
      <w:bookmarkStart w:id="145" w:name="_Toc31704"/>
      <w:bookmarkStart w:id="146" w:name="_Toc24081"/>
      <w:bookmarkStart w:id="147" w:name="_Toc744"/>
      <w:bookmarkStart w:id="148" w:name="_Toc21477"/>
      <w:bookmarkStart w:id="149" w:name="_Toc10021"/>
      <w:bookmarkStart w:id="150" w:name="_Toc14866"/>
      <w:bookmarkStart w:id="151" w:name="_Toc8811"/>
      <w:bookmarkStart w:id="152" w:name="_Toc20693_WPSOffice_Level2"/>
      <w:bookmarkStart w:id="153" w:name="_Toc11777"/>
      <w:bookmarkStart w:id="154" w:name="_Toc23529"/>
      <w:bookmarkStart w:id="155" w:name="_Toc29059"/>
      <w:bookmarkStart w:id="156" w:name="_Toc3515"/>
      <w:bookmarkStart w:id="157" w:name="_Toc12257"/>
      <w:bookmarkStart w:id="158" w:name="_Toc27454"/>
      <w:bookmarkStart w:id="159" w:name="_Toc238"/>
      <w:bookmarkStart w:id="160" w:name="_Toc6789_WPSOffice_Level2"/>
      <w:bookmarkStart w:id="161" w:name="_Toc1271"/>
      <w:bookmarkStart w:id="162" w:name="_Toc317766308"/>
      <w:bookmarkStart w:id="163" w:name="_Toc128056370"/>
      <w:bookmarkStart w:id="164" w:name="_Toc31033"/>
      <w:bookmarkStart w:id="165" w:name="_Toc20202"/>
      <w:bookmarkStart w:id="166" w:name="_Toc20688"/>
      <w:r>
        <w:rPr>
          <w:rFonts w:hint="eastAsia"/>
          <w:color w:val="000000" w:themeColor="text1"/>
        </w:rPr>
        <w:t>1.4 评价程序</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p>
    <w:p>
      <w:pPr>
        <w:topLinePunct/>
        <w:ind w:firstLine="560"/>
        <w:rPr>
          <w:rFonts w:ascii="宋体" w:hAnsi="宋体" w:cs="宋体"/>
          <w:color w:val="000000" w:themeColor="text1"/>
          <w:szCs w:val="28"/>
        </w:rPr>
      </w:pPr>
      <w:r>
        <w:rPr>
          <w:rFonts w:hint="eastAsia" w:ascii="宋体" w:hAnsi="宋体" w:cs="宋体"/>
          <w:color w:val="000000" w:themeColor="text1"/>
          <w:szCs w:val="28"/>
        </w:rPr>
        <w:t>本次安全现状评价程序为：前期准备；辨识与分析</w:t>
      </w:r>
      <w:r>
        <w:rPr>
          <w:rFonts w:hint="eastAsia" w:ascii="宋体" w:hAnsi="宋体" w:cs="宋体"/>
          <w:color w:val="000000" w:themeColor="text1"/>
          <w:szCs w:val="28"/>
          <w:lang w:eastAsia="zh-CN"/>
        </w:rPr>
        <w:t>危险和有害因素</w:t>
      </w:r>
      <w:r>
        <w:rPr>
          <w:rFonts w:hint="eastAsia" w:ascii="宋体" w:hAnsi="宋体" w:cs="宋体"/>
          <w:color w:val="000000" w:themeColor="text1"/>
          <w:szCs w:val="28"/>
        </w:rPr>
        <w:t>；划分评价单元；选择评价方法；定性、定量评价；提出安全对策措施建议；做出评价结论；编制安全现状评价报告等；安全现状评价流程见图1.4-1：</w:t>
      </w:r>
    </w:p>
    <w:p>
      <w:pPr>
        <w:ind w:firstLine="198" w:firstLineChars="71"/>
        <w:jc w:val="center"/>
        <w:rPr>
          <w:rFonts w:ascii="宋体" w:hAnsi="宋体"/>
          <w:color w:val="000000" w:themeColor="text1"/>
        </w:rPr>
      </w:pPr>
      <w:r>
        <w:rPr>
          <w:color w:val="000000" w:themeColor="text1"/>
        </w:rPr>
        <w:object>
          <v:shape id="_x0000_i1025" o:spt="75" type="#_x0000_t75" style="height:244.05pt;width:147.75pt;" o:ole="t" filled="f" o:preferrelative="t" stroked="f" coordsize="21600,21600">
            <v:path/>
            <v:fill on="f" focussize="0,0"/>
            <v:stroke on="f" joinstyle="miter"/>
            <v:imagedata r:id="rId28" o:title=""/>
            <o:lock v:ext="edit" aspectratio="t"/>
            <w10:wrap type="none"/>
            <w10:anchorlock/>
          </v:shape>
          <o:OLEObject Type="Embed" ProgID="AutoCAD.Drawing.16" ShapeID="_x0000_i1025" DrawAspect="Content" ObjectID="_1468075725" r:id="rId27">
            <o:LockedField>false</o:LockedField>
          </o:OLEObject>
        </w:object>
      </w:r>
    </w:p>
    <w:p>
      <w:pPr>
        <w:ind w:firstLine="0" w:firstLineChars="0"/>
        <w:jc w:val="center"/>
        <w:rPr>
          <w:rFonts w:ascii="宋体" w:hAnsi="宋体"/>
          <w:b/>
          <w:bCs/>
          <w:color w:val="000000" w:themeColor="text1"/>
          <w:sz w:val="24"/>
        </w:rPr>
      </w:pPr>
      <w:r>
        <w:rPr>
          <w:rFonts w:hint="eastAsia" w:ascii="宋体" w:hAnsi="宋体"/>
          <w:b/>
          <w:bCs/>
          <w:color w:val="000000" w:themeColor="text1"/>
          <w:sz w:val="24"/>
        </w:rPr>
        <w:t xml:space="preserve">图1.4-1 </w:t>
      </w:r>
      <w:r>
        <w:rPr>
          <w:rFonts w:ascii="宋体" w:hAnsi="宋体"/>
          <w:b/>
          <w:bCs/>
          <w:color w:val="000000" w:themeColor="text1"/>
          <w:sz w:val="24"/>
        </w:rPr>
        <w:t>安全</w:t>
      </w:r>
      <w:r>
        <w:rPr>
          <w:rFonts w:hint="eastAsia" w:ascii="宋体" w:hAnsi="宋体"/>
          <w:b/>
          <w:bCs/>
          <w:color w:val="000000" w:themeColor="text1"/>
          <w:sz w:val="24"/>
        </w:rPr>
        <w:t>现状</w:t>
      </w:r>
      <w:r>
        <w:rPr>
          <w:rFonts w:ascii="宋体" w:hAnsi="宋体"/>
          <w:b/>
          <w:bCs/>
          <w:color w:val="000000" w:themeColor="text1"/>
          <w:sz w:val="24"/>
        </w:rPr>
        <w:t>评价</w:t>
      </w:r>
      <w:r>
        <w:rPr>
          <w:rFonts w:hint="eastAsia" w:ascii="宋体" w:hAnsi="宋体"/>
          <w:b/>
          <w:bCs/>
          <w:color w:val="000000" w:themeColor="text1"/>
          <w:sz w:val="24"/>
        </w:rPr>
        <w:t>流程图</w:t>
      </w:r>
    </w:p>
    <w:p>
      <w:pPr>
        <w:pStyle w:val="4"/>
        <w:ind w:firstLine="562"/>
        <w:rPr>
          <w:color w:val="000000" w:themeColor="text1"/>
        </w:rPr>
      </w:pPr>
      <w:bookmarkStart w:id="167" w:name="_Toc28990"/>
      <w:bookmarkStart w:id="168" w:name="_Toc17464"/>
      <w:bookmarkStart w:id="169" w:name="_Toc15424"/>
      <w:bookmarkStart w:id="170" w:name="_Toc31262"/>
      <w:bookmarkStart w:id="171" w:name="_Toc23938"/>
      <w:bookmarkStart w:id="172" w:name="_Toc11290"/>
      <w:bookmarkStart w:id="173" w:name="_Toc3087"/>
      <w:bookmarkStart w:id="174" w:name="_Toc7666"/>
      <w:bookmarkStart w:id="175" w:name="_Toc27354"/>
      <w:bookmarkStart w:id="176" w:name="_Toc32192"/>
      <w:bookmarkStart w:id="177" w:name="_Toc29000"/>
      <w:bookmarkStart w:id="178" w:name="_Toc525367173"/>
      <w:bookmarkStart w:id="179" w:name="_Toc8121"/>
      <w:bookmarkStart w:id="180" w:name="_Toc26281"/>
      <w:bookmarkStart w:id="181" w:name="_Toc20704"/>
      <w:bookmarkStart w:id="182" w:name="_Toc13313"/>
      <w:bookmarkStart w:id="183" w:name="_Toc387008193"/>
      <w:bookmarkStart w:id="184" w:name="_Toc9041"/>
      <w:bookmarkStart w:id="185" w:name="_Toc1487"/>
      <w:bookmarkStart w:id="186" w:name="_Toc13770"/>
      <w:bookmarkStart w:id="187" w:name="_Toc887"/>
      <w:bookmarkStart w:id="188" w:name="_Toc19980"/>
      <w:bookmarkStart w:id="189" w:name="_Toc16399"/>
      <w:bookmarkStart w:id="190" w:name="_Toc30864"/>
      <w:bookmarkStart w:id="191" w:name="_Toc510448383"/>
      <w:bookmarkStart w:id="192" w:name="_Toc24800"/>
      <w:bookmarkStart w:id="193" w:name="_Toc128056368"/>
      <w:r>
        <w:rPr>
          <w:rFonts w:hint="eastAsia"/>
          <w:color w:val="000000" w:themeColor="text1"/>
        </w:rPr>
        <w:t>1.5 评价原则</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topLinePunct/>
        <w:ind w:firstLine="560"/>
        <w:rPr>
          <w:rFonts w:ascii="宋体" w:hAnsi="宋体" w:cs="宋体"/>
          <w:color w:val="000000" w:themeColor="text1"/>
          <w:szCs w:val="28"/>
        </w:rPr>
      </w:pPr>
      <w:r>
        <w:rPr>
          <w:rFonts w:ascii="宋体" w:hAnsi="宋体" w:cs="宋体"/>
          <w:color w:val="000000" w:themeColor="text1"/>
          <w:szCs w:val="28"/>
        </w:rPr>
        <w:t>本报告将按国家现行有关法律、法规和标准要求进行评价，同时遵守下列原则：</w:t>
      </w:r>
    </w:p>
    <w:p>
      <w:pPr>
        <w:topLinePunct/>
        <w:ind w:firstLine="560"/>
        <w:rPr>
          <w:rFonts w:ascii="宋体" w:hAnsi="宋体" w:cs="宋体"/>
          <w:color w:val="000000" w:themeColor="text1"/>
          <w:szCs w:val="28"/>
        </w:rPr>
      </w:pPr>
      <w:r>
        <w:rPr>
          <w:rFonts w:hint="eastAsia" w:ascii="宋体" w:hAnsi="宋体" w:cs="宋体"/>
          <w:color w:val="000000" w:themeColor="text1"/>
          <w:szCs w:val="28"/>
        </w:rPr>
        <w:t>1）</w:t>
      </w:r>
      <w:r>
        <w:rPr>
          <w:rFonts w:ascii="宋体" w:hAnsi="宋体" w:cs="宋体"/>
          <w:color w:val="000000" w:themeColor="text1"/>
          <w:szCs w:val="28"/>
        </w:rPr>
        <w:t>严格执行国家现行有关法律、法规、标准和规范的要求，保证对该企业应当具备的安全生产条件进行科学、客观、公正、独立的评价；</w:t>
      </w:r>
    </w:p>
    <w:p>
      <w:pPr>
        <w:topLinePunct/>
        <w:ind w:firstLine="560"/>
        <w:rPr>
          <w:rFonts w:ascii="宋体" w:hAnsi="宋体" w:cs="宋体"/>
          <w:color w:val="000000" w:themeColor="text1"/>
          <w:szCs w:val="28"/>
        </w:rPr>
      </w:pPr>
      <w:r>
        <w:rPr>
          <w:rFonts w:hint="eastAsia" w:ascii="宋体" w:hAnsi="宋体" w:cs="宋体"/>
          <w:color w:val="000000" w:themeColor="text1"/>
          <w:szCs w:val="28"/>
        </w:rPr>
        <w:t>2）</w:t>
      </w:r>
      <w:r>
        <w:rPr>
          <w:rFonts w:ascii="宋体" w:hAnsi="宋体" w:cs="宋体"/>
          <w:color w:val="000000" w:themeColor="text1"/>
          <w:szCs w:val="28"/>
        </w:rPr>
        <w:t>执行行业现行有关法规、标准、规范和政策的要求，保证评价与经</w:t>
      </w:r>
      <w:r>
        <w:rPr>
          <w:rFonts w:hint="eastAsia" w:ascii="宋体" w:hAnsi="宋体" w:cs="宋体"/>
          <w:color w:val="000000" w:themeColor="text1"/>
          <w:szCs w:val="28"/>
        </w:rPr>
        <w:t>济发展的适应性；</w:t>
      </w:r>
    </w:p>
    <w:p>
      <w:pPr>
        <w:topLinePunct/>
        <w:ind w:firstLine="560"/>
        <w:rPr>
          <w:rFonts w:ascii="宋体" w:hAnsi="宋体" w:cs="宋体"/>
          <w:color w:val="000000" w:themeColor="text1"/>
          <w:szCs w:val="28"/>
        </w:rPr>
      </w:pPr>
      <w:r>
        <w:rPr>
          <w:rFonts w:hint="eastAsia" w:ascii="宋体" w:hAnsi="宋体" w:cs="宋体"/>
          <w:color w:val="000000" w:themeColor="text1"/>
          <w:szCs w:val="28"/>
        </w:rPr>
        <w:t>3）采用可靠、适用的评价技术和评价方法，保证评价的针对性，确保评价质量，真实、准确地作出评价结论；</w:t>
      </w:r>
    </w:p>
    <w:p>
      <w:pPr>
        <w:topLinePunct/>
        <w:ind w:firstLine="560"/>
        <w:rPr>
          <w:color w:val="000000" w:themeColor="text1"/>
        </w:rPr>
      </w:pPr>
      <w:r>
        <w:rPr>
          <w:rFonts w:hint="eastAsia" w:ascii="宋体" w:hAnsi="宋体" w:cs="宋体"/>
          <w:color w:val="000000" w:themeColor="text1"/>
          <w:szCs w:val="28"/>
        </w:rPr>
        <w:t>4）恪守职业道德，遵循诚实守信的原则，对被评价企业的技术资料和商业运作保密</w:t>
      </w:r>
      <w:r>
        <w:rPr>
          <w:rFonts w:hint="eastAsia" w:ascii="宋体" w:hAnsi="宋体"/>
          <w:color w:val="000000" w:themeColor="text1"/>
        </w:rPr>
        <w:t>。</w:t>
      </w:r>
    </w:p>
    <w:p>
      <w:pPr>
        <w:pStyle w:val="4"/>
        <w:keepNext w:val="0"/>
        <w:keepLines w:val="0"/>
        <w:ind w:firstLine="562"/>
        <w:rPr>
          <w:color w:val="000000" w:themeColor="text1"/>
        </w:rPr>
      </w:pPr>
      <w:bookmarkStart w:id="194" w:name="_Toc26081"/>
      <w:bookmarkStart w:id="195" w:name="_Toc21937"/>
      <w:bookmarkStart w:id="196" w:name="_Toc12455"/>
      <w:bookmarkStart w:id="197" w:name="_Toc12765"/>
      <w:bookmarkStart w:id="198" w:name="_Toc9730"/>
      <w:bookmarkStart w:id="199" w:name="_Toc20413"/>
      <w:bookmarkStart w:id="200" w:name="_Toc14538"/>
      <w:bookmarkStart w:id="201" w:name="_Toc4999"/>
      <w:bookmarkStart w:id="202" w:name="_Toc13064"/>
      <w:bookmarkStart w:id="203" w:name="_Toc16065"/>
      <w:bookmarkStart w:id="204" w:name="_Toc19250"/>
      <w:bookmarkStart w:id="205" w:name="_Toc12543"/>
      <w:bookmarkStart w:id="206" w:name="_Toc62740926"/>
      <w:bookmarkStart w:id="207" w:name="_Toc24293"/>
      <w:bookmarkStart w:id="208" w:name="_Toc13718"/>
      <w:bookmarkStart w:id="209" w:name="_Toc12989"/>
      <w:bookmarkStart w:id="210" w:name="_Toc29328"/>
      <w:bookmarkStart w:id="211" w:name="_Toc6639"/>
      <w:bookmarkStart w:id="212" w:name="_Toc13165"/>
      <w:bookmarkStart w:id="213" w:name="_Toc28570"/>
      <w:bookmarkStart w:id="214" w:name="_Toc13554"/>
      <w:bookmarkStart w:id="215" w:name="_Toc17651"/>
      <w:bookmarkStart w:id="216" w:name="_Toc128056371"/>
      <w:bookmarkStart w:id="217" w:name="_Toc22756"/>
      <w:bookmarkStart w:id="218" w:name="_Toc31393"/>
      <w:r>
        <w:rPr>
          <w:rFonts w:hint="eastAsia"/>
          <w:color w:val="000000" w:themeColor="text1"/>
        </w:rPr>
        <w:t>1.6 评价基准日</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topLinePunct/>
        <w:ind w:firstLine="560"/>
        <w:rPr>
          <w:rFonts w:ascii="宋体" w:hAnsi="宋体" w:cs="宋体"/>
          <w:color w:val="000000" w:themeColor="text1"/>
          <w:szCs w:val="28"/>
        </w:rPr>
      </w:pPr>
      <w:r>
        <w:rPr>
          <w:rFonts w:hint="eastAsia" w:ascii="宋体" w:hAnsi="宋体" w:cs="宋体"/>
          <w:color w:val="000000" w:themeColor="text1"/>
          <w:szCs w:val="28"/>
        </w:rPr>
        <w:t>2023年9月23日。</w:t>
      </w:r>
    </w:p>
    <w:p>
      <w:pPr>
        <w:pStyle w:val="3"/>
        <w:rPr>
          <w:rFonts w:ascii="宋体" w:hAnsi="宋体" w:eastAsia="宋体" w:cs="宋体"/>
          <w:b/>
          <w:bCs w:val="0"/>
          <w:color w:val="000000" w:themeColor="text1"/>
          <w:sz w:val="32"/>
          <w:szCs w:val="32"/>
        </w:rPr>
      </w:pPr>
      <w:bookmarkStart w:id="219" w:name="_Toc10137"/>
      <w:bookmarkStart w:id="220" w:name="_Toc12328_WPSOffice_Level1"/>
      <w:bookmarkStart w:id="221" w:name="_Toc27233"/>
      <w:bookmarkStart w:id="222" w:name="_Toc14596"/>
      <w:bookmarkStart w:id="223" w:name="_Toc10869"/>
      <w:bookmarkStart w:id="224" w:name="_Toc10506"/>
      <w:bookmarkStart w:id="225" w:name="_Toc62740927"/>
      <w:bookmarkStart w:id="226" w:name="_Toc17764"/>
      <w:bookmarkStart w:id="227" w:name="_Toc14199"/>
      <w:bookmarkStart w:id="228" w:name="_Toc20250"/>
      <w:bookmarkStart w:id="229" w:name="_Toc28074"/>
      <w:bookmarkStart w:id="230" w:name="_Toc15889"/>
      <w:bookmarkStart w:id="231" w:name="_Toc12347"/>
      <w:bookmarkStart w:id="232" w:name="_Toc7494"/>
      <w:bookmarkStart w:id="233" w:name="_Toc30499"/>
      <w:bookmarkStart w:id="234" w:name="_Toc128056372"/>
      <w:bookmarkStart w:id="235" w:name="_Toc317766309"/>
      <w:bookmarkStart w:id="236" w:name="_Toc10679"/>
      <w:bookmarkStart w:id="237" w:name="_Toc22192"/>
      <w:bookmarkStart w:id="238" w:name="_Toc28964"/>
      <w:bookmarkStart w:id="239" w:name="_Toc4443"/>
      <w:bookmarkStart w:id="240" w:name="_Toc32266"/>
      <w:bookmarkStart w:id="241" w:name="_Toc24826"/>
      <w:bookmarkStart w:id="242" w:name="_Toc23560"/>
      <w:bookmarkStart w:id="243" w:name="_Toc3942_WPSOffice_Level1"/>
      <w:bookmarkStart w:id="244" w:name="_Toc24980"/>
      <w:bookmarkStart w:id="245" w:name="_Toc13824"/>
      <w:bookmarkStart w:id="246" w:name="_Toc24242"/>
      <w:bookmarkStart w:id="247" w:name="_Toc4242"/>
      <w:r>
        <w:rPr>
          <w:rFonts w:hint="eastAsia" w:ascii="宋体" w:hAnsi="宋体" w:eastAsia="宋体" w:cs="宋体"/>
          <w:b/>
          <w:bCs w:val="0"/>
          <w:color w:val="000000" w:themeColor="text1"/>
          <w:sz w:val="32"/>
          <w:szCs w:val="32"/>
        </w:rPr>
        <w:t>2  评价项目基本概况</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Start w:id="248" w:name="_Toc21082_WPSOffice_Level2"/>
      <w:bookmarkStart w:id="249" w:name="_Toc217986231"/>
      <w:bookmarkStart w:id="250" w:name="_Toc13825"/>
      <w:bookmarkStart w:id="251" w:name="_Toc305917930"/>
      <w:bookmarkStart w:id="252" w:name="_Toc15659_WPSOffice_Level2"/>
      <w:bookmarkStart w:id="253" w:name="_Toc317766311"/>
    </w:p>
    <w:p>
      <w:pPr>
        <w:pStyle w:val="2"/>
        <w:ind w:firstLine="560"/>
        <w:rPr>
          <w:sz w:val="32"/>
          <w:szCs w:val="32"/>
        </w:rPr>
      </w:pPr>
      <w:bookmarkStart w:id="254" w:name="_Toc25904"/>
      <w:bookmarkStart w:id="255" w:name="_Toc31991"/>
      <w:bookmarkStart w:id="256" w:name="_Toc20344"/>
      <w:bookmarkStart w:id="257" w:name="_Toc22149"/>
      <w:bookmarkStart w:id="258" w:name="_Toc31610"/>
      <w:bookmarkStart w:id="259" w:name="_Toc62740928"/>
      <w:bookmarkStart w:id="260" w:name="_Toc13613"/>
      <w:bookmarkStart w:id="261" w:name="_Toc18441"/>
      <w:bookmarkStart w:id="262" w:name="_Toc11684"/>
      <w:bookmarkStart w:id="263" w:name="_Toc27287"/>
      <w:bookmarkStart w:id="264" w:name="_Toc128056373"/>
      <w:bookmarkStart w:id="265" w:name="_Toc27870"/>
    </w:p>
    <w:p>
      <w:pPr>
        <w:pStyle w:val="4"/>
        <w:keepNext w:val="0"/>
        <w:keepLines w:val="0"/>
        <w:ind w:firstLine="562"/>
        <w:rPr>
          <w:color w:val="000000" w:themeColor="text1"/>
        </w:rPr>
      </w:pPr>
      <w:bookmarkStart w:id="266" w:name="_Toc6675"/>
      <w:bookmarkStart w:id="267" w:name="_Toc4625"/>
      <w:bookmarkStart w:id="268" w:name="_Toc27368"/>
      <w:bookmarkStart w:id="269" w:name="_Toc18854"/>
      <w:bookmarkStart w:id="270" w:name="_Toc7203"/>
      <w:bookmarkStart w:id="271" w:name="_Toc13230"/>
      <w:bookmarkStart w:id="272" w:name="_Toc32553"/>
      <w:bookmarkStart w:id="273" w:name="_Toc13384"/>
      <w:bookmarkStart w:id="274" w:name="_Toc155"/>
      <w:bookmarkStart w:id="275" w:name="_Toc22796"/>
      <w:bookmarkStart w:id="276" w:name="_Toc24814"/>
      <w:bookmarkStart w:id="277" w:name="_Toc2730"/>
      <w:bookmarkStart w:id="278" w:name="_Toc630"/>
      <w:r>
        <w:rPr>
          <w:rFonts w:hint="eastAsia"/>
          <w:color w:val="000000" w:themeColor="text1"/>
        </w:rPr>
        <w:t>2.1</w:t>
      </w:r>
      <w:bookmarkEnd w:id="248"/>
      <w:bookmarkEnd w:id="249"/>
      <w:bookmarkEnd w:id="250"/>
      <w:bookmarkEnd w:id="251"/>
      <w:bookmarkEnd w:id="252"/>
      <w:r>
        <w:rPr>
          <w:rFonts w:hint="eastAsia"/>
          <w:color w:val="000000" w:themeColor="text1"/>
        </w:rPr>
        <w:t xml:space="preserve"> 被评价单位简介</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pPr>
        <w:topLinePunct/>
        <w:ind w:firstLine="560"/>
        <w:rPr>
          <w:rFonts w:ascii="宋体" w:hAnsi="宋体"/>
          <w:color w:val="000000" w:themeColor="text1"/>
        </w:rPr>
      </w:pPr>
      <w:r>
        <w:rPr>
          <w:rFonts w:hint="eastAsia" w:ascii="宋体" w:hAnsi="宋体"/>
          <w:color w:val="000000" w:themeColor="text1"/>
        </w:rPr>
        <w:t>企业名称：</w:t>
      </w:r>
      <w:r>
        <w:rPr>
          <w:rFonts w:hint="eastAsia" w:ascii="宋体" w:hAnsi="宋体"/>
          <w:color w:val="000000" w:themeColor="text1"/>
          <w:lang w:eastAsia="zh-CN"/>
        </w:rPr>
        <w:t>昆明合起工贸有限公司澄江氟化分公司</w:t>
      </w:r>
      <w:r>
        <w:rPr>
          <w:rFonts w:hint="eastAsia" w:ascii="宋体" w:hAnsi="宋体"/>
          <w:color w:val="000000" w:themeColor="text1"/>
        </w:rPr>
        <w:t>（以下简称</w:t>
      </w:r>
      <w:r>
        <w:rPr>
          <w:rFonts w:hint="eastAsia" w:ascii="宋体" w:hAnsi="宋体"/>
          <w:color w:val="auto"/>
        </w:rPr>
        <w:t>“氟化分公司”</w:t>
      </w:r>
      <w:r>
        <w:rPr>
          <w:rFonts w:hint="eastAsia" w:ascii="宋体" w:hAnsi="宋体"/>
          <w:color w:val="000000" w:themeColor="text1"/>
        </w:rPr>
        <w:t>）</w:t>
      </w:r>
    </w:p>
    <w:p>
      <w:pPr>
        <w:topLinePunct/>
        <w:ind w:firstLine="560"/>
        <w:rPr>
          <w:rFonts w:ascii="宋体" w:hAnsi="宋体"/>
          <w:color w:val="auto"/>
        </w:rPr>
      </w:pPr>
      <w:r>
        <w:rPr>
          <w:rFonts w:hint="eastAsia" w:ascii="宋体" w:hAnsi="宋体"/>
          <w:color w:val="000000" w:themeColor="text1"/>
          <w:lang w:val="en-US" w:eastAsia="zh-CN"/>
        </w:rPr>
        <w:t>主要</w:t>
      </w:r>
      <w:r>
        <w:rPr>
          <w:rFonts w:hint="eastAsia" w:ascii="宋体" w:hAnsi="宋体"/>
          <w:color w:val="000000" w:themeColor="text1"/>
        </w:rPr>
        <w:t>负责人：</w:t>
      </w:r>
      <w:r>
        <w:rPr>
          <w:rFonts w:hint="eastAsia" w:ascii="宋体" w:hAnsi="宋体"/>
          <w:color w:val="auto"/>
        </w:rPr>
        <w:t>张家凯</w:t>
      </w:r>
    </w:p>
    <w:p>
      <w:pPr>
        <w:topLinePunct/>
        <w:ind w:firstLine="560"/>
        <w:rPr>
          <w:rFonts w:ascii="宋体" w:hAnsi="宋体"/>
          <w:snapToGrid w:val="0"/>
          <w:color w:val="000000" w:themeColor="text1"/>
          <w:kern w:val="0"/>
          <w:szCs w:val="28"/>
        </w:rPr>
      </w:pPr>
      <w:r>
        <w:rPr>
          <w:rFonts w:hint="eastAsia" w:ascii="宋体" w:hAnsi="宋体"/>
          <w:color w:val="000000" w:themeColor="text1"/>
        </w:rPr>
        <w:t>生产场所：</w:t>
      </w:r>
      <w:r>
        <w:rPr>
          <w:rFonts w:hint="eastAsia" w:ascii="宋体" w:hAnsi="宋体"/>
          <w:snapToGrid w:val="0"/>
          <w:color w:val="000000" w:themeColor="text1"/>
          <w:kern w:val="0"/>
          <w:szCs w:val="28"/>
        </w:rPr>
        <w:t>云南省玉溪市澄江市九村镇干海子</w:t>
      </w:r>
    </w:p>
    <w:p>
      <w:pPr>
        <w:topLinePunct/>
        <w:ind w:firstLine="560"/>
        <w:rPr>
          <w:rFonts w:ascii="宋体" w:hAnsi="宋体"/>
          <w:color w:val="000000" w:themeColor="text1"/>
        </w:rPr>
      </w:pPr>
      <w:r>
        <w:rPr>
          <w:rFonts w:hint="eastAsia" w:ascii="宋体" w:hAnsi="宋体"/>
          <w:color w:val="000000" w:themeColor="text1"/>
        </w:rPr>
        <w:t>企业类型：</w:t>
      </w:r>
      <w:r>
        <w:rPr>
          <w:rFonts w:hint="eastAsia" w:ascii="宋体" w:hAnsi="宋体"/>
          <w:color w:val="auto"/>
        </w:rPr>
        <w:t>有限责任公司分公司（自然人投资或控股）</w:t>
      </w:r>
    </w:p>
    <w:p>
      <w:pPr>
        <w:topLinePunct/>
        <w:ind w:firstLine="560"/>
        <w:rPr>
          <w:rFonts w:ascii="宋体" w:hAnsi="宋体"/>
          <w:color w:val="000000" w:themeColor="text1"/>
        </w:rPr>
      </w:pPr>
      <w:r>
        <w:rPr>
          <w:rFonts w:hint="eastAsia" w:ascii="宋体" w:hAnsi="宋体"/>
          <w:color w:val="000000" w:themeColor="text1"/>
        </w:rPr>
        <w:t>统一社会信用代码：</w:t>
      </w:r>
      <w:r>
        <w:rPr>
          <w:rFonts w:hint="eastAsia" w:ascii="宋体" w:hAnsi="宋体" w:cs="宋体"/>
          <w:color w:val="333333"/>
          <w:szCs w:val="28"/>
        </w:rPr>
        <w:t>91530422727317279H</w:t>
      </w:r>
    </w:p>
    <w:p>
      <w:pPr>
        <w:topLinePunct/>
        <w:ind w:firstLine="560"/>
        <w:rPr>
          <w:rFonts w:ascii="宋体" w:hAnsi="宋体"/>
          <w:color w:val="000000" w:themeColor="text1"/>
        </w:rPr>
      </w:pPr>
      <w:r>
        <w:rPr>
          <w:rFonts w:hint="eastAsia" w:ascii="宋体" w:hAnsi="宋体"/>
          <w:color w:val="000000" w:themeColor="text1"/>
        </w:rPr>
        <w:t>发证机关：澄江市市场监督管理局</w:t>
      </w:r>
    </w:p>
    <w:p>
      <w:pPr>
        <w:topLinePunct/>
        <w:ind w:firstLine="560"/>
        <w:rPr>
          <w:rFonts w:ascii="宋体" w:hAnsi="宋体"/>
          <w:color w:val="000000" w:themeColor="text1"/>
        </w:rPr>
      </w:pPr>
      <w:r>
        <w:rPr>
          <w:rFonts w:hint="eastAsia" w:ascii="宋体" w:hAnsi="宋体"/>
          <w:color w:val="000000" w:themeColor="text1"/>
        </w:rPr>
        <w:t>成立日期：2002年10月21日</w:t>
      </w:r>
    </w:p>
    <w:p>
      <w:pPr>
        <w:spacing w:line="500" w:lineRule="exact"/>
        <w:ind w:firstLine="560"/>
        <w:rPr>
          <w:rFonts w:ascii="宋体" w:hAnsi="宋体"/>
          <w:color w:val="000000" w:themeColor="text1"/>
          <w:szCs w:val="28"/>
        </w:rPr>
      </w:pPr>
      <w:r>
        <w:rPr>
          <w:rFonts w:hint="eastAsia" w:ascii="宋体" w:hAnsi="宋体"/>
          <w:color w:val="000000" w:themeColor="text1"/>
        </w:rPr>
        <w:t>经营范围：</w:t>
      </w:r>
      <w:r>
        <w:rPr>
          <w:rFonts w:hint="eastAsia" w:ascii="宋体" w:hAnsi="宋体"/>
          <w:color w:val="000000" w:themeColor="text1"/>
          <w:szCs w:val="28"/>
        </w:rPr>
        <w:t>氟硅酸镁、氟硅酸钠、氟硅酸钾、氟硅酸铵、氟硅酸锌、氟化钠的生产销售（依法须经批准的项目，经相关部门批准后方可开展经济活动）。</w:t>
      </w:r>
    </w:p>
    <w:p>
      <w:pPr>
        <w:ind w:firstLine="560"/>
        <w:rPr>
          <w:rFonts w:ascii="宋体" w:hAnsi="宋体" w:cs="宋体"/>
        </w:rPr>
      </w:pPr>
      <w:r>
        <w:rPr>
          <w:rFonts w:hint="eastAsia" w:ascii="宋体" w:hAnsi="宋体" w:cs="宋体"/>
        </w:rPr>
        <w:t>相关资质证照如表2.1-1：</w:t>
      </w:r>
    </w:p>
    <w:p>
      <w:pPr>
        <w:ind w:firstLine="0" w:firstLineChars="0"/>
        <w:jc w:val="center"/>
        <w:rPr>
          <w:b/>
          <w:bCs/>
          <w:sz w:val="24"/>
        </w:rPr>
      </w:pPr>
      <w:r>
        <w:rPr>
          <w:rFonts w:hint="eastAsia"/>
          <w:b/>
          <w:bCs/>
          <w:sz w:val="24"/>
        </w:rPr>
        <w:t xml:space="preserve">表2.1-1 </w:t>
      </w:r>
      <w:r>
        <w:rPr>
          <w:rFonts w:hint="eastAsia" w:ascii="宋体" w:hAnsi="宋体" w:cs="宋体"/>
          <w:b/>
          <w:color w:val="000000" w:themeColor="text1"/>
          <w:sz w:val="24"/>
        </w:rPr>
        <w:t>氟化分公司</w:t>
      </w:r>
      <w:r>
        <w:rPr>
          <w:rFonts w:hint="eastAsia"/>
          <w:b/>
          <w:bCs/>
          <w:sz w:val="24"/>
        </w:rPr>
        <w:t>相关证照</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67"/>
        <w:gridCol w:w="2459"/>
        <w:gridCol w:w="2378"/>
        <w:gridCol w:w="1283"/>
        <w:gridCol w:w="969"/>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序号</w:t>
            </w:r>
          </w:p>
        </w:tc>
        <w:tc>
          <w:tcPr>
            <w:tcW w:w="4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宋体" w:hAnsi="宋体" w:cs="宋体"/>
                <w:b/>
                <w:sz w:val="21"/>
                <w:szCs w:val="21"/>
              </w:rPr>
            </w:pPr>
            <w:r>
              <w:rPr>
                <w:rFonts w:hint="eastAsia" w:ascii="宋体" w:hAnsi="宋体" w:cs="宋体"/>
                <w:b/>
                <w:sz w:val="21"/>
                <w:szCs w:val="21"/>
              </w:rPr>
              <w:t>证照</w:t>
            </w:r>
          </w:p>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名称</w:t>
            </w:r>
          </w:p>
        </w:tc>
        <w:tc>
          <w:tcPr>
            <w:tcW w:w="13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证  书  内  容</w:t>
            </w:r>
          </w:p>
        </w:tc>
        <w:tc>
          <w:tcPr>
            <w:tcW w:w="1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证  书  号  码</w:t>
            </w:r>
          </w:p>
        </w:tc>
        <w:tc>
          <w:tcPr>
            <w:tcW w:w="6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有  效  期</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发证</w:t>
            </w:r>
          </w:p>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单位</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sz w:val="21"/>
                <w:szCs w:val="21"/>
              </w:rPr>
            </w:pPr>
            <w:r>
              <w:rPr>
                <w:rFonts w:hint="eastAsia" w:ascii="宋体" w:hAnsi="宋体" w:cs="宋体"/>
                <w:b/>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sz w:val="21"/>
                <w:szCs w:val="21"/>
              </w:rPr>
            </w:pPr>
            <w:r>
              <w:rPr>
                <w:rFonts w:hint="eastAsia" w:ascii="宋体" w:hAnsi="宋体" w:cs="宋体"/>
                <w:sz w:val="21"/>
                <w:szCs w:val="21"/>
              </w:rPr>
              <w:t>1</w:t>
            </w:r>
          </w:p>
        </w:tc>
        <w:tc>
          <w:tcPr>
            <w:tcW w:w="4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工商营业执照</w:t>
            </w:r>
          </w:p>
        </w:tc>
        <w:tc>
          <w:tcPr>
            <w:tcW w:w="13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color w:val="000000" w:themeColor="text1"/>
                <w:sz w:val="21"/>
                <w:szCs w:val="21"/>
              </w:rPr>
              <w:t>氟硅酸镁、氟硅酸钠、氟硅酸钾、氟硅酸铵、氟硅酸锌、氟化钠的生产销售（依法须经批准的项目，经相关部门批准后方可开展经济活动）</w:t>
            </w:r>
          </w:p>
        </w:tc>
        <w:tc>
          <w:tcPr>
            <w:tcW w:w="1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统一社会信用代码</w:t>
            </w:r>
          </w:p>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000000" w:themeColor="text1"/>
                <w:sz w:val="21"/>
                <w:szCs w:val="21"/>
              </w:rPr>
              <w:t>91530422727317279H</w:t>
            </w:r>
          </w:p>
        </w:tc>
        <w:tc>
          <w:tcPr>
            <w:tcW w:w="6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000000" w:themeColor="text1"/>
                <w:sz w:val="21"/>
                <w:szCs w:val="21"/>
              </w:rPr>
              <w:t>澄江市</w:t>
            </w:r>
            <w:r>
              <w:rPr>
                <w:rFonts w:hint="eastAsia" w:ascii="宋体" w:hAnsi="宋体" w:cs="宋体"/>
                <w:sz w:val="21"/>
                <w:szCs w:val="21"/>
              </w:rPr>
              <w:t>市场监督管理局</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详见</w:t>
            </w:r>
            <w:r>
              <w:rPr>
                <w:rFonts w:hint="eastAsia"/>
                <w:sz w:val="21"/>
                <w:szCs w:val="21"/>
              </w:rPr>
              <w:t>企业原始资料</w:t>
            </w:r>
            <w:r>
              <w:rPr>
                <w:rFonts w:hint="eastAsia"/>
                <w:sz w:val="21"/>
                <w:szCs w:val="21"/>
                <w:lang w:val="en-US" w:eastAsia="zh-CN"/>
              </w:rPr>
              <w:t>附件</w:t>
            </w:r>
            <w:r>
              <w:rPr>
                <w:rFonts w:hint="eastAsia" w:ascii="宋体" w:hAnsi="宋体" w:cs="宋体"/>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sz w:val="21"/>
                <w:szCs w:val="21"/>
              </w:rPr>
            </w:pPr>
            <w:r>
              <w:rPr>
                <w:rFonts w:hint="eastAsia" w:ascii="宋体" w:hAnsi="宋体" w:cs="宋体"/>
                <w:sz w:val="21"/>
                <w:szCs w:val="21"/>
              </w:rPr>
              <w:t>2</w:t>
            </w:r>
          </w:p>
        </w:tc>
        <w:tc>
          <w:tcPr>
            <w:tcW w:w="4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安全生产许可证</w:t>
            </w:r>
          </w:p>
        </w:tc>
        <w:tc>
          <w:tcPr>
            <w:tcW w:w="13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auto"/>
                <w:sz w:val="21"/>
                <w:szCs w:val="21"/>
              </w:rPr>
              <w:t>氟硅酸镁1000吨/年、氟硅酸5000吨/年</w:t>
            </w:r>
          </w:p>
        </w:tc>
        <w:tc>
          <w:tcPr>
            <w:tcW w:w="1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auto"/>
                <w:sz w:val="21"/>
                <w:szCs w:val="21"/>
              </w:rPr>
              <w:t>（云）WH安许证字[2009]0611</w:t>
            </w:r>
          </w:p>
        </w:tc>
        <w:tc>
          <w:tcPr>
            <w:tcW w:w="6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2021年3月24日至2024年3月23日</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云南省应急管理厅</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详见</w:t>
            </w:r>
            <w:r>
              <w:rPr>
                <w:rFonts w:hint="eastAsia"/>
                <w:sz w:val="21"/>
                <w:szCs w:val="21"/>
              </w:rPr>
              <w:t>企业原始资料</w:t>
            </w:r>
            <w:r>
              <w:rPr>
                <w:rFonts w:hint="eastAsia"/>
                <w:sz w:val="21"/>
                <w:szCs w:val="21"/>
                <w:lang w:val="en-US" w:eastAsia="zh-CN"/>
              </w:rPr>
              <w:t>附件</w:t>
            </w:r>
            <w:r>
              <w:rPr>
                <w:rFonts w:hint="eastAsia" w:ascii="宋体" w:hAnsi="宋体" w:cs="宋体"/>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sz w:val="21"/>
                <w:szCs w:val="21"/>
              </w:rPr>
            </w:pPr>
            <w:r>
              <w:rPr>
                <w:rFonts w:hint="eastAsia" w:ascii="宋体" w:hAnsi="宋体" w:cs="宋体"/>
                <w:sz w:val="21"/>
                <w:szCs w:val="21"/>
              </w:rPr>
              <w:t>3</w:t>
            </w:r>
          </w:p>
        </w:tc>
        <w:tc>
          <w:tcPr>
            <w:tcW w:w="4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危险化学品登记证</w:t>
            </w:r>
          </w:p>
        </w:tc>
        <w:tc>
          <w:tcPr>
            <w:tcW w:w="13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auto"/>
                <w:sz w:val="21"/>
                <w:szCs w:val="21"/>
              </w:rPr>
              <w:t>经营种类：氟硅酸镁、氟硅酸</w:t>
            </w:r>
          </w:p>
        </w:tc>
        <w:tc>
          <w:tcPr>
            <w:tcW w:w="12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olor w:val="auto"/>
                <w:sz w:val="21"/>
                <w:szCs w:val="21"/>
              </w:rPr>
              <w:t>530412034</w:t>
            </w:r>
          </w:p>
        </w:tc>
        <w:tc>
          <w:tcPr>
            <w:tcW w:w="69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2021年5月15日至2024年5月14日</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2235"/>
              </w:tabs>
              <w:kinsoku/>
              <w:wordWrap/>
              <w:overflowPunct/>
              <w:topLinePunct w:val="0"/>
              <w:autoSpaceDE w:val="0"/>
              <w:autoSpaceDN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应急管理部化学品登记中心</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ascii="宋体" w:hAnsi="宋体" w:cs="宋体"/>
                <w:sz w:val="21"/>
                <w:szCs w:val="21"/>
              </w:rPr>
            </w:pPr>
            <w:r>
              <w:rPr>
                <w:rFonts w:hint="eastAsia" w:ascii="宋体" w:hAnsi="宋体" w:cs="宋体"/>
                <w:sz w:val="21"/>
                <w:szCs w:val="21"/>
              </w:rPr>
              <w:t>详见</w:t>
            </w:r>
            <w:r>
              <w:rPr>
                <w:rFonts w:hint="eastAsia"/>
                <w:sz w:val="21"/>
                <w:szCs w:val="21"/>
              </w:rPr>
              <w:t>企业原始资料</w:t>
            </w:r>
            <w:r>
              <w:rPr>
                <w:rFonts w:hint="eastAsia"/>
                <w:sz w:val="21"/>
                <w:szCs w:val="21"/>
                <w:lang w:val="en-US" w:eastAsia="zh-CN"/>
              </w:rPr>
              <w:t>附件</w:t>
            </w:r>
            <w:r>
              <w:rPr>
                <w:rFonts w:hint="eastAsia" w:ascii="宋体" w:hAnsi="宋体" w:cs="宋体"/>
                <w:sz w:val="21"/>
                <w:szCs w:val="21"/>
              </w:rPr>
              <w:t>6.5</w:t>
            </w:r>
          </w:p>
        </w:tc>
      </w:tr>
    </w:tbl>
    <w:p>
      <w:pPr>
        <w:pStyle w:val="2"/>
        <w:ind w:firstLine="560"/>
      </w:pPr>
      <w:bookmarkStart w:id="279" w:name="_Toc15798"/>
      <w:bookmarkStart w:id="280" w:name="_Toc23620"/>
      <w:bookmarkStart w:id="281" w:name="_Toc29346"/>
      <w:bookmarkStart w:id="282" w:name="_Toc19050"/>
      <w:bookmarkStart w:id="283" w:name="_Toc62740929"/>
      <w:bookmarkStart w:id="284" w:name="_Toc30894"/>
      <w:bookmarkStart w:id="285" w:name="_Toc128056375"/>
      <w:bookmarkStart w:id="286" w:name="_Toc7846"/>
      <w:bookmarkStart w:id="287" w:name="_Toc20611"/>
      <w:bookmarkStart w:id="288" w:name="_Toc27708"/>
      <w:bookmarkStart w:id="289" w:name="_Toc6336"/>
      <w:bookmarkStart w:id="290" w:name="_Toc25563"/>
    </w:p>
    <w:p>
      <w:pPr>
        <w:pStyle w:val="4"/>
        <w:ind w:firstLine="562"/>
        <w:rPr>
          <w:color w:val="FF0000"/>
        </w:rPr>
      </w:pPr>
      <w:bookmarkStart w:id="291" w:name="_Toc15825"/>
      <w:bookmarkStart w:id="292" w:name="_Toc4028"/>
      <w:bookmarkStart w:id="293" w:name="_Toc2497"/>
      <w:bookmarkStart w:id="294" w:name="_Toc6926"/>
      <w:bookmarkStart w:id="295" w:name="_Toc11272"/>
      <w:bookmarkStart w:id="296" w:name="_Toc7851"/>
      <w:bookmarkStart w:id="297" w:name="_Toc2354"/>
      <w:bookmarkStart w:id="298" w:name="_Toc14787"/>
      <w:bookmarkStart w:id="299" w:name="_Toc12444"/>
      <w:bookmarkStart w:id="300" w:name="_Toc5580"/>
      <w:bookmarkStart w:id="301" w:name="_Toc7767"/>
      <w:bookmarkStart w:id="302" w:name="_Toc32129"/>
      <w:bookmarkStart w:id="303" w:name="_Toc17959"/>
      <w:r>
        <w:rPr>
          <w:rFonts w:hint="eastAsia"/>
        </w:rPr>
        <w:t>2.2 地理位置及自然条件</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pStyle w:val="5"/>
        <w:keepNext w:val="0"/>
        <w:keepLines w:val="0"/>
        <w:ind w:firstLine="562"/>
      </w:pPr>
      <w:bookmarkStart w:id="304" w:name="_Toc10750"/>
      <w:bookmarkStart w:id="305" w:name="_Toc21974"/>
      <w:bookmarkStart w:id="306" w:name="_Toc13337"/>
      <w:bookmarkStart w:id="307" w:name="_Toc31387"/>
      <w:bookmarkStart w:id="308" w:name="_Toc14163"/>
      <w:bookmarkStart w:id="309" w:name="_Toc30501"/>
      <w:bookmarkStart w:id="310" w:name="_Toc128056376"/>
      <w:bookmarkStart w:id="311" w:name="_Toc10001"/>
      <w:bookmarkStart w:id="312" w:name="_Toc31340"/>
      <w:bookmarkStart w:id="313" w:name="_Toc27363"/>
      <w:bookmarkStart w:id="314" w:name="_Toc1201"/>
      <w:bookmarkStart w:id="315" w:name="_Toc13409"/>
      <w:bookmarkStart w:id="316" w:name="_Toc8633"/>
      <w:bookmarkStart w:id="317" w:name="_Toc20959"/>
      <w:r>
        <w:t>2.</w:t>
      </w:r>
      <w:r>
        <w:rPr>
          <w:rFonts w:hint="eastAsia"/>
        </w:rPr>
        <w:t>2</w:t>
      </w:r>
      <w:r>
        <w:t>.1</w:t>
      </w:r>
      <w:r>
        <w:rPr>
          <w:rFonts w:hint="eastAsia"/>
        </w:rPr>
        <w:t xml:space="preserve"> </w:t>
      </w:r>
      <w:r>
        <w:t>地理位置</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pPr>
        <w:ind w:firstLine="560"/>
        <w:rPr>
          <w:color w:val="000000" w:themeColor="text1"/>
          <w:szCs w:val="28"/>
          <w:u w:color="000000"/>
        </w:rPr>
      </w:pPr>
      <w:r>
        <w:rPr>
          <w:rFonts w:hint="eastAsia" w:ascii="宋体" w:hAnsi="宋体"/>
          <w:color w:val="000000" w:themeColor="text1"/>
          <w:szCs w:val="28"/>
        </w:rPr>
        <w:t>氟化分公司厂址位于云南省玉溪市澄江市九村镇干海子</w:t>
      </w:r>
      <w:commentRangeStart w:id="0"/>
      <w:commentRangeStart w:id="1"/>
      <w:r>
        <w:rPr>
          <w:rFonts w:hint="eastAsia" w:ascii="宋体" w:hAnsi="宋体"/>
          <w:color w:val="000000" w:themeColor="text1"/>
          <w:szCs w:val="28"/>
        </w:rPr>
        <w:t>云南澄江天辰磷肥有限公司</w:t>
      </w:r>
      <w:r>
        <w:rPr>
          <w:rFonts w:hint="eastAsia" w:ascii="宋体" w:hAnsi="宋体"/>
          <w:color w:val="000000" w:themeColor="text1"/>
        </w:rPr>
        <w:t>（以下简称</w:t>
      </w:r>
      <w:r>
        <w:rPr>
          <w:rFonts w:hint="eastAsia" w:ascii="宋体" w:hAnsi="宋体"/>
          <w:color w:val="auto"/>
        </w:rPr>
        <w:t>“</w:t>
      </w:r>
      <w:r>
        <w:rPr>
          <w:rFonts w:hint="eastAsia" w:ascii="宋体" w:hAnsi="宋体"/>
          <w:color w:val="auto"/>
          <w:lang w:val="en-US" w:eastAsia="zh-CN"/>
        </w:rPr>
        <w:t>天</w:t>
      </w:r>
      <w:r>
        <w:rPr>
          <w:rFonts w:hint="eastAsia" w:ascii="宋体" w:hAnsi="宋体"/>
          <w:color w:val="000000" w:themeColor="text1"/>
          <w:szCs w:val="28"/>
        </w:rPr>
        <w:t>辰</w:t>
      </w:r>
      <w:r>
        <w:rPr>
          <w:rFonts w:hint="eastAsia" w:ascii="宋体" w:hAnsi="宋体"/>
          <w:color w:val="auto"/>
        </w:rPr>
        <w:t>公司”</w:t>
      </w:r>
      <w:r>
        <w:rPr>
          <w:rFonts w:hint="eastAsia" w:ascii="宋体" w:hAnsi="宋体"/>
          <w:color w:val="000000" w:themeColor="text1"/>
        </w:rPr>
        <w:t>）</w:t>
      </w:r>
      <w:r>
        <w:rPr>
          <w:rFonts w:hint="eastAsia" w:ascii="宋体" w:hAnsi="宋体"/>
          <w:color w:val="000000" w:themeColor="text1"/>
          <w:szCs w:val="28"/>
        </w:rPr>
        <w:t>内</w:t>
      </w:r>
      <w:commentRangeEnd w:id="0"/>
      <w:r>
        <w:commentReference w:id="0"/>
      </w:r>
      <w:commentRangeEnd w:id="1"/>
      <w:r>
        <w:commentReference w:id="1"/>
      </w:r>
      <w:r>
        <w:rPr>
          <w:rFonts w:hint="eastAsia" w:ascii="宋体" w:hAnsi="宋体"/>
          <w:color w:val="000000" w:themeColor="text1"/>
          <w:szCs w:val="28"/>
        </w:rPr>
        <w:t>，远离居民区，距澄江市约8km，地理位置较好。厂区西面</w:t>
      </w:r>
      <w:r>
        <w:rPr>
          <w:rFonts w:hint="eastAsia" w:ascii="宋体" w:hAnsi="宋体"/>
          <w:color w:val="000000" w:themeColor="text1"/>
          <w:szCs w:val="28"/>
          <w:lang w:val="en-US" w:eastAsia="zh-CN"/>
        </w:rPr>
        <w:t>为</w:t>
      </w:r>
      <w:r>
        <w:rPr>
          <w:rFonts w:hint="eastAsia" w:ascii="宋体" w:hAnsi="宋体"/>
          <w:color w:val="000000" w:themeColor="text1"/>
          <w:szCs w:val="28"/>
        </w:rPr>
        <w:t>057乡道，交通运输较方便。地理坐标：102°59′27.24″E，24°40′36.78″N。</w:t>
      </w:r>
      <w:r>
        <w:rPr>
          <w:rFonts w:hint="eastAsia"/>
          <w:color w:val="000000" w:themeColor="text1"/>
        </w:rPr>
        <w:t>氟化分公司所在地地理位置示意图详见图2.2-1。</w:t>
      </w:r>
    </w:p>
    <w:p>
      <w:pPr>
        <w:ind w:firstLine="0" w:firstLineChars="0"/>
        <w:jc w:val="center"/>
        <w:rPr>
          <w:color w:val="000000" w:themeColor="text1"/>
        </w:rPr>
      </w:pPr>
      <w:r>
        <w:rPr>
          <w:color w:val="auto"/>
        </w:rPr>
        <w:pict>
          <v:shape id="矩形标注 164" o:spid="_x0000_s1087" o:spt="61" type="#_x0000_t61" style="position:absolute;left:0pt;margin-left:163.5pt;margin-top:55.4pt;height:41.3pt;width:91.9pt;z-index:251663360;v-text-anchor:middle;mso-width-relative:page;mso-height-relative:page;" stroked="t" coordsize="21600,21600" o:gfxdata="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L9sUs1wAAAAsBAAAPAAAAAAAAAAEA&#10;IAAAACIAAABkcnMvZG93bnJldi54bWxQSwECFAAUAAAACACHTuJAG7dy9bsCAABzBQAADgAAAAAA&#10;AAABACAAAAAmAQAAZHJzL2Uyb0RvYy54bWxQSwUGAAAAAAYABgBZAQAAUwYAAAAA&#10;" adj="20716,57683">
            <v:path/>
            <v:fill focussize="0,0"/>
            <v:stroke weight="2pt" color="#FF0000" joinstyle="miter"/>
            <v:imagedata o:title=""/>
            <o:lock v:ext="edit"/>
            <v:textbox>
              <w:txbxContent>
                <w:p>
                  <w:pPr>
                    <w:spacing w:line="240" w:lineRule="auto"/>
                    <w:ind w:firstLine="0" w:firstLineChars="0"/>
                    <w:rPr>
                      <w:szCs w:val="28"/>
                    </w:rPr>
                  </w:pPr>
                  <w:r>
                    <w:rPr>
                      <w:rFonts w:hint="eastAsia"/>
                      <w:szCs w:val="28"/>
                    </w:rPr>
                    <w:t>项目所在地</w:t>
                  </w:r>
                </w:p>
              </w:txbxContent>
            </v:textbox>
          </v:shape>
        </w:pict>
      </w:r>
      <w:r>
        <w:rPr>
          <w:color w:val="auto"/>
        </w:rPr>
        <w:drawing>
          <wp:inline distT="0" distB="0" distL="0" distR="0">
            <wp:extent cx="5399405" cy="3763010"/>
            <wp:effectExtent l="0" t="0" r="10795" b="889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00000" cy="3763423"/>
                    </a:xfrm>
                    <a:prstGeom prst="rect">
                      <a:avLst/>
                    </a:prstGeom>
                  </pic:spPr>
                </pic:pic>
              </a:graphicData>
            </a:graphic>
          </wp:inline>
        </w:drawing>
      </w:r>
    </w:p>
    <w:p>
      <w:pPr>
        <w:topLinePunct/>
        <w:ind w:firstLine="0" w:firstLineChars="0"/>
        <w:jc w:val="center"/>
        <w:rPr>
          <w:rFonts w:ascii="宋体" w:hAnsi="宋体"/>
          <w:b/>
          <w:bCs/>
          <w:color w:val="000000" w:themeColor="text1"/>
          <w:sz w:val="24"/>
        </w:rPr>
      </w:pPr>
      <w:r>
        <w:rPr>
          <w:rFonts w:hint="eastAsia" w:ascii="宋体" w:hAnsi="宋体"/>
          <w:b/>
          <w:bCs/>
          <w:color w:val="000000" w:themeColor="text1"/>
          <w:sz w:val="24"/>
        </w:rPr>
        <w:t>图</w:t>
      </w:r>
      <w:r>
        <w:rPr>
          <w:rFonts w:ascii="宋体" w:hAnsi="宋体"/>
          <w:b/>
          <w:bCs/>
          <w:color w:val="000000" w:themeColor="text1"/>
          <w:sz w:val="24"/>
        </w:rPr>
        <w:t>2.</w:t>
      </w:r>
      <w:r>
        <w:rPr>
          <w:rFonts w:hint="eastAsia" w:ascii="宋体" w:hAnsi="宋体"/>
          <w:b/>
          <w:bCs/>
          <w:color w:val="000000" w:themeColor="text1"/>
          <w:sz w:val="24"/>
        </w:rPr>
        <w:t>2-1 地理位置示意图</w:t>
      </w:r>
    </w:p>
    <w:p>
      <w:pPr>
        <w:pStyle w:val="5"/>
        <w:ind w:firstLine="562"/>
      </w:pPr>
      <w:bookmarkStart w:id="318" w:name="_Toc19894"/>
      <w:bookmarkStart w:id="319" w:name="_Toc11818"/>
      <w:bookmarkStart w:id="320" w:name="_Toc16575"/>
      <w:bookmarkStart w:id="321" w:name="_Toc11271"/>
      <w:bookmarkStart w:id="322" w:name="_Toc128056377"/>
      <w:bookmarkStart w:id="323" w:name="_Toc29690"/>
      <w:bookmarkStart w:id="324" w:name="_Toc16367"/>
      <w:bookmarkStart w:id="325" w:name="_Toc21565"/>
      <w:bookmarkStart w:id="326" w:name="_Toc18316"/>
      <w:bookmarkStart w:id="327" w:name="_Toc3997"/>
      <w:bookmarkStart w:id="328" w:name="_Toc10838"/>
      <w:bookmarkStart w:id="329" w:name="_Toc25328"/>
      <w:bookmarkStart w:id="330" w:name="_Toc10821"/>
      <w:bookmarkStart w:id="331" w:name="_Toc32144"/>
      <w:r>
        <w:t>2.</w:t>
      </w:r>
      <w:r>
        <w:rPr>
          <w:rFonts w:hint="eastAsia"/>
        </w:rPr>
        <w:t>2</w:t>
      </w:r>
      <w:r>
        <w:t>.2</w:t>
      </w:r>
      <w:r>
        <w:rPr>
          <w:rFonts w:hint="eastAsia"/>
        </w:rPr>
        <w:t xml:space="preserve"> 自然条件</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pPr>
        <w:keepNext w:val="0"/>
        <w:keepLines w:val="0"/>
        <w:pageBreakBefore w:val="0"/>
        <w:widowControl w:val="0"/>
        <w:kinsoku/>
        <w:wordWrap/>
        <w:overflowPunct/>
        <w:topLinePunct w:val="0"/>
        <w:autoSpaceDE/>
        <w:autoSpaceDN/>
        <w:bidi w:val="0"/>
        <w:adjustRightInd w:val="0"/>
        <w:snapToGrid w:val="0"/>
        <w:ind w:firstLine="840" w:firstLineChars="300"/>
        <w:textAlignment w:val="auto"/>
        <w:outlineLvl w:val="9"/>
        <w:rPr>
          <w:color w:val="000000" w:themeColor="text1"/>
        </w:rPr>
      </w:pPr>
      <w:bookmarkStart w:id="332" w:name="_Toc29518"/>
      <w:bookmarkStart w:id="333" w:name="_Toc11763"/>
      <w:bookmarkStart w:id="334" w:name="_Toc31124"/>
      <w:bookmarkStart w:id="335" w:name="_Toc18591"/>
      <w:bookmarkStart w:id="336" w:name="_Toc128056379"/>
      <w:bookmarkStart w:id="337" w:name="_Toc15706"/>
      <w:bookmarkStart w:id="338" w:name="_Toc26490"/>
      <w:bookmarkStart w:id="339" w:name="_Toc13296"/>
      <w:bookmarkStart w:id="340" w:name="_Toc11385"/>
      <w:bookmarkStart w:id="341" w:name="_Toc32643"/>
      <w:bookmarkStart w:id="342" w:name="_Toc11889"/>
      <w:bookmarkStart w:id="343" w:name="_Toc19899"/>
      <w:bookmarkStart w:id="344" w:name="_Toc15699"/>
      <w:bookmarkStart w:id="345" w:name="_Toc23933"/>
      <w:bookmarkStart w:id="346" w:name="_Toc6592"/>
      <w:bookmarkStart w:id="347" w:name="_Toc9111"/>
      <w:bookmarkStart w:id="348" w:name="_Toc1993"/>
      <w:bookmarkStart w:id="349" w:name="_Toc18921"/>
      <w:bookmarkStart w:id="350" w:name="_Toc29805"/>
      <w:bookmarkStart w:id="351" w:name="_Toc62740930"/>
      <w:bookmarkStart w:id="352" w:name="_Toc29085"/>
      <w:bookmarkStart w:id="353" w:name="_Toc547"/>
      <w:r>
        <w:rPr>
          <w:rFonts w:hint="eastAsia"/>
          <w:color w:val="000000" w:themeColor="text1"/>
        </w:rPr>
        <w:t>1）气象条件</w:t>
      </w:r>
      <w:bookmarkEnd w:id="332"/>
    </w:p>
    <w:p>
      <w:pPr>
        <w:ind w:firstLine="560"/>
        <w:rPr>
          <w:color w:val="000000" w:themeColor="text1"/>
        </w:rPr>
      </w:pPr>
      <w:r>
        <w:rPr>
          <w:rFonts w:hint="eastAsia"/>
          <w:color w:val="000000" w:themeColor="text1"/>
        </w:rPr>
        <w:t>澄江市属中亚热带高原季风型气候，光照充足，冬暖夏凉，积温多，干湿分明，雨热同季；</w:t>
      </w:r>
    </w:p>
    <w:p>
      <w:pPr>
        <w:ind w:firstLine="560"/>
        <w:rPr>
          <w:color w:val="000000" w:themeColor="text1"/>
        </w:rPr>
      </w:pPr>
      <w:r>
        <w:rPr>
          <w:rFonts w:hint="eastAsia"/>
          <w:color w:val="000000" w:themeColor="text1"/>
        </w:rPr>
        <w:t>年平均气温11.9℃～17.5℃；</w:t>
      </w:r>
    </w:p>
    <w:p>
      <w:pPr>
        <w:ind w:firstLine="560"/>
        <w:rPr>
          <w:color w:val="000000" w:themeColor="text1"/>
        </w:rPr>
      </w:pPr>
      <w:r>
        <w:rPr>
          <w:rFonts w:hint="eastAsia"/>
          <w:color w:val="000000" w:themeColor="text1"/>
        </w:rPr>
        <w:t>极端最高气温33.7℃；</w:t>
      </w:r>
    </w:p>
    <w:p>
      <w:pPr>
        <w:ind w:firstLine="560"/>
        <w:rPr>
          <w:color w:val="000000" w:themeColor="text1"/>
        </w:rPr>
      </w:pPr>
      <w:r>
        <w:rPr>
          <w:rFonts w:hint="eastAsia"/>
          <w:color w:val="000000" w:themeColor="text1"/>
        </w:rPr>
        <w:t>极端最低气温-3.9℃；</w:t>
      </w:r>
    </w:p>
    <w:p>
      <w:pPr>
        <w:ind w:firstLine="560"/>
        <w:rPr>
          <w:color w:val="000000" w:themeColor="text1"/>
        </w:rPr>
      </w:pPr>
      <w:r>
        <w:rPr>
          <w:rFonts w:hint="eastAsia"/>
          <w:color w:val="000000" w:themeColor="text1"/>
        </w:rPr>
        <w:t>有霜日最多46d，最少9d；</w:t>
      </w:r>
    </w:p>
    <w:p>
      <w:pPr>
        <w:ind w:firstLine="560"/>
        <w:rPr>
          <w:color w:val="000000" w:themeColor="text1"/>
        </w:rPr>
      </w:pPr>
      <w:r>
        <w:rPr>
          <w:rFonts w:hint="eastAsia"/>
          <w:color w:val="000000" w:themeColor="text1"/>
        </w:rPr>
        <w:t>轻霜冻5年三遇，重霜冻5年二遇；</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年降雨量900～1200mm；</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相对湿度76%；</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盛行西南风，年平均风速2.3m/s；</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全年日照总时数2172.3h，日照率50%；</w:t>
      </w:r>
    </w:p>
    <w:p>
      <w:pPr>
        <w:ind w:firstLine="560"/>
        <w:rPr>
          <w:rFonts w:hint="eastAsia" w:ascii="宋体" w:hAnsi="宋体" w:eastAsia="宋体" w:cs="宋体"/>
          <w:color w:val="000000" w:themeColor="text1"/>
        </w:rPr>
      </w:pPr>
      <w:r>
        <w:rPr>
          <w:rFonts w:hint="eastAsia" w:ascii="宋体" w:hAnsi="宋体" w:eastAsia="宋体" w:cs="宋体"/>
          <w:color w:val="000000" w:themeColor="text1"/>
        </w:rPr>
        <w:t>常年总辐射量122210cal/cm</w:t>
      </w:r>
      <w:r>
        <w:rPr>
          <w:rFonts w:hint="eastAsia" w:ascii="宋体" w:hAnsi="宋体" w:eastAsia="宋体" w:cs="宋体"/>
          <w:color w:val="000000" w:themeColor="text1"/>
          <w:vertAlign w:val="superscript"/>
        </w:rPr>
        <w:t>2</w:t>
      </w:r>
      <w:r>
        <w:rPr>
          <w:rFonts w:hint="eastAsia" w:ascii="宋体" w:hAnsi="宋体" w:eastAsia="宋体" w:cs="宋体"/>
          <w:color w:val="000000" w:themeColor="text1"/>
        </w:rPr>
        <w:t>。</w:t>
      </w:r>
    </w:p>
    <w:p>
      <w:pPr>
        <w:ind w:firstLine="560"/>
        <w:rPr>
          <w:color w:val="000000" w:themeColor="text1"/>
        </w:rPr>
      </w:pPr>
      <w:r>
        <w:rPr>
          <w:rFonts w:hint="eastAsia"/>
          <w:color w:val="000000" w:themeColor="text1"/>
        </w:rPr>
        <w:t>2）水文条件</w:t>
      </w:r>
    </w:p>
    <w:p>
      <w:pPr>
        <w:ind w:firstLine="560"/>
        <w:rPr>
          <w:color w:val="000000" w:themeColor="text1"/>
        </w:rPr>
      </w:pPr>
      <w:r>
        <w:rPr>
          <w:rFonts w:hint="eastAsia"/>
          <w:color w:val="000000" w:themeColor="text1"/>
        </w:rPr>
        <w:t>澄江市南拥抚仙湖，北含阳宗海，东有南盘江过境流域25.4km。此外，还有大小河道16条，大小潭泉50多个，水利资源丰富。境内河流短小，以湖泊为主。</w:t>
      </w:r>
    </w:p>
    <w:p>
      <w:pPr>
        <w:ind w:firstLine="560"/>
        <w:rPr>
          <w:color w:val="000000" w:themeColor="text1"/>
        </w:rPr>
      </w:pPr>
      <w:r>
        <w:rPr>
          <w:rFonts w:hint="eastAsia"/>
          <w:color w:val="000000" w:themeColor="text1"/>
        </w:rPr>
        <w:t>厂区周边1km范围内无较大的河流、湖泊、水库，项目周边水文情况良好。</w:t>
      </w:r>
    </w:p>
    <w:p>
      <w:pPr>
        <w:ind w:firstLine="560"/>
        <w:rPr>
          <w:color w:val="000000" w:themeColor="text1"/>
        </w:rPr>
      </w:pPr>
      <w:r>
        <w:rPr>
          <w:rFonts w:hint="eastAsia"/>
          <w:color w:val="000000" w:themeColor="text1"/>
        </w:rPr>
        <w:t>3）地质条件</w:t>
      </w:r>
    </w:p>
    <w:p>
      <w:pPr>
        <w:ind w:firstLine="560"/>
        <w:rPr>
          <w:color w:val="000000" w:themeColor="text1"/>
        </w:rPr>
      </w:pPr>
      <w:r>
        <w:rPr>
          <w:rFonts w:hint="eastAsia"/>
          <w:color w:val="000000" w:themeColor="text1"/>
        </w:rPr>
        <w:t>澄江市环湖东南西背山，唯北面一片平坝，阡陌交错。东大河水库和梁王河两大干渠分东西两边纵横南北。境内山脉多为南北走向，罗藏山自西向东横亘中部，形成澄江、阳宗两个坝子。最高海拔梁王山主峰2820m，最低海拔南盘江与海口河交汇处1328m，县城凤麓镇海拔1755m。山地面积占总面积的73.4%，水域面积占18.6%，坝区面积占8%，形成“七山、二水、一分坝”的天然格局。</w:t>
      </w:r>
    </w:p>
    <w:p>
      <w:pPr>
        <w:ind w:firstLine="560"/>
        <w:rPr>
          <w:color w:val="000000" w:themeColor="text1"/>
        </w:rPr>
      </w:pPr>
      <w:r>
        <w:rPr>
          <w:rFonts w:hint="eastAsia"/>
          <w:color w:val="000000" w:themeColor="text1"/>
        </w:rPr>
        <w:t>厂区位于山顶台地，现役化工企业内部，周边场地已平整，经过现场踏勘，厂区内未发现地面塌陷、开裂、滑坡、泥石流等地</w:t>
      </w:r>
      <w:r>
        <w:rPr>
          <w:rFonts w:hint="eastAsia"/>
          <w:color w:val="000000" w:themeColor="text1"/>
          <w:lang w:val="en-US" w:eastAsia="zh-CN"/>
        </w:rPr>
        <w:t>质</w:t>
      </w:r>
      <w:r>
        <w:rPr>
          <w:rFonts w:hint="eastAsia"/>
          <w:color w:val="000000" w:themeColor="text1"/>
        </w:rPr>
        <w:t>灾</w:t>
      </w:r>
      <w:r>
        <w:rPr>
          <w:rFonts w:hint="eastAsia"/>
          <w:color w:val="000000" w:themeColor="text1"/>
          <w:lang w:val="en-US" w:eastAsia="zh-CN"/>
        </w:rPr>
        <w:t>害</w:t>
      </w:r>
      <w:r>
        <w:rPr>
          <w:rFonts w:hint="eastAsia"/>
          <w:color w:val="000000" w:themeColor="text1"/>
        </w:rPr>
        <w:t>现象，初步判断，工程地质较好。</w:t>
      </w:r>
    </w:p>
    <w:p>
      <w:pPr>
        <w:ind w:firstLine="560"/>
        <w:rPr>
          <w:color w:val="000000" w:themeColor="text1"/>
        </w:rPr>
      </w:pPr>
      <w:r>
        <w:rPr>
          <w:rFonts w:hint="eastAsia"/>
          <w:color w:val="000000" w:themeColor="text1"/>
        </w:rPr>
        <w:t>根据《建筑抗震设计规范》（GB50011-2010 （2016年版）），附录A，澄江市抗震设防烈度为8度，设计基</w:t>
      </w:r>
      <w:r>
        <w:rPr>
          <w:rFonts w:hint="eastAsia"/>
          <w:color w:val="000000" w:themeColor="text1"/>
          <w:lang w:val="en-US" w:eastAsia="zh-CN"/>
        </w:rPr>
        <w:t>本</w:t>
      </w:r>
      <w:r>
        <w:rPr>
          <w:rFonts w:hint="eastAsia"/>
          <w:color w:val="000000" w:themeColor="text1"/>
        </w:rPr>
        <w:t>地震加速度值为0.30g，设计分组第三组。</w:t>
      </w:r>
    </w:p>
    <w:p>
      <w:pPr>
        <w:pStyle w:val="4"/>
        <w:keepNext w:val="0"/>
        <w:keepLines w:val="0"/>
        <w:ind w:firstLine="562"/>
        <w:rPr>
          <w:color w:val="000000" w:themeColor="text1"/>
        </w:rPr>
      </w:pPr>
      <w:bookmarkStart w:id="354" w:name="_Toc21936"/>
      <w:bookmarkStart w:id="355" w:name="_Toc23631"/>
      <w:bookmarkStart w:id="356" w:name="_Toc20745"/>
      <w:bookmarkStart w:id="357" w:name="_Toc3129"/>
      <w:r>
        <w:rPr>
          <w:rFonts w:hint="eastAsia"/>
          <w:color w:val="000000" w:themeColor="text1"/>
        </w:rPr>
        <w:t>2.3 周边环境及总平面布置</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pPr>
        <w:pStyle w:val="5"/>
        <w:keepNext w:val="0"/>
        <w:keepLines w:val="0"/>
        <w:ind w:firstLine="562"/>
        <w:rPr>
          <w:color w:val="auto"/>
        </w:rPr>
      </w:pPr>
      <w:bookmarkStart w:id="358" w:name="_Toc14257"/>
      <w:bookmarkStart w:id="359" w:name="_Toc21367"/>
      <w:bookmarkStart w:id="360" w:name="_Toc5076"/>
      <w:bookmarkStart w:id="361" w:name="_Toc29067"/>
      <w:bookmarkStart w:id="362" w:name="_Toc17978"/>
      <w:bookmarkStart w:id="363" w:name="_Toc18903"/>
      <w:bookmarkStart w:id="364" w:name="_Toc128056380"/>
      <w:bookmarkStart w:id="365" w:name="_Toc27494"/>
      <w:bookmarkStart w:id="366" w:name="_Toc2077"/>
      <w:bookmarkStart w:id="367" w:name="_Toc4504"/>
      <w:bookmarkStart w:id="368" w:name="_Toc24322"/>
      <w:bookmarkStart w:id="369" w:name="_Toc22112"/>
      <w:bookmarkStart w:id="370" w:name="_Toc14428"/>
      <w:bookmarkStart w:id="371" w:name="_Toc13760"/>
      <w:r>
        <w:t>2.</w:t>
      </w:r>
      <w:r>
        <w:rPr>
          <w:rFonts w:hint="eastAsia"/>
        </w:rPr>
        <w:t>3</w:t>
      </w:r>
      <w:r>
        <w:t>.1</w:t>
      </w:r>
      <w:r>
        <w:rPr>
          <w:rFonts w:hint="eastAsia"/>
        </w:rPr>
        <w:t xml:space="preserve"> </w:t>
      </w:r>
      <w:bookmarkEnd w:id="358"/>
      <w:bookmarkEnd w:id="359"/>
      <w:bookmarkEnd w:id="360"/>
      <w:bookmarkEnd w:id="361"/>
      <w:bookmarkEnd w:id="362"/>
      <w:bookmarkEnd w:id="363"/>
      <w:bookmarkEnd w:id="364"/>
      <w:bookmarkEnd w:id="365"/>
      <w:bookmarkEnd w:id="366"/>
      <w:bookmarkEnd w:id="367"/>
      <w:bookmarkStart w:id="372" w:name="_Toc9310"/>
      <w:bookmarkStart w:id="373" w:name="_Toc20815"/>
      <w:bookmarkStart w:id="374" w:name="_Toc16366"/>
      <w:bookmarkStart w:id="375" w:name="_Toc16949"/>
      <w:bookmarkStart w:id="376" w:name="_Toc11585"/>
      <w:bookmarkStart w:id="377" w:name="_Toc4922"/>
      <w:bookmarkStart w:id="378" w:name="_Toc24307"/>
      <w:bookmarkStart w:id="379" w:name="_Toc128056381"/>
      <w:bookmarkStart w:id="380" w:name="_Toc23229"/>
      <w:bookmarkStart w:id="381" w:name="_Toc6094"/>
      <w:r>
        <w:rPr>
          <w:rFonts w:hint="eastAsia"/>
          <w:color w:val="auto"/>
        </w:rPr>
        <w:t>周边环境</w:t>
      </w:r>
      <w:bookmarkEnd w:id="368"/>
      <w:bookmarkEnd w:id="369"/>
      <w:bookmarkEnd w:id="370"/>
      <w:bookmarkEnd w:id="371"/>
    </w:p>
    <w:p>
      <w:pPr>
        <w:widowControl/>
        <w:topLinePunct/>
        <w:spacing w:beforeLines="50"/>
        <w:ind w:firstLine="560"/>
        <w:textAlignment w:val="baseline"/>
        <w:rPr>
          <w:rFonts w:ascii="宋体" w:hAnsi="宋体"/>
          <w:color w:val="auto"/>
          <w:szCs w:val="28"/>
          <w:u w:color="000000"/>
        </w:rPr>
      </w:pPr>
      <w:r>
        <w:rPr>
          <w:rFonts w:hint="eastAsia" w:ascii="宋体" w:hAnsi="宋体"/>
          <w:color w:val="auto"/>
          <w:szCs w:val="28"/>
          <w:u w:color="000000"/>
        </w:rPr>
        <w:t>氟化分公司厂址位于云南省玉溪市澄江市九村镇干海子天辰公司生产区内，生产厂房西北面</w:t>
      </w:r>
      <w:r>
        <w:rPr>
          <w:rFonts w:hint="eastAsia" w:ascii="宋体" w:hAnsi="宋体"/>
          <w:color w:val="auto"/>
          <w:szCs w:val="28"/>
          <w:u w:color="000000"/>
          <w:lang w:val="en-US" w:eastAsia="zh-CN"/>
        </w:rPr>
        <w:t>与</w:t>
      </w:r>
      <w:r>
        <w:rPr>
          <w:rFonts w:hint="eastAsia" w:ascii="宋体" w:hAnsi="宋体"/>
          <w:color w:val="auto"/>
          <w:szCs w:val="28"/>
          <w:u w:color="000000"/>
        </w:rPr>
        <w:t>公路相隔，距</w:t>
      </w:r>
      <w:r>
        <w:rPr>
          <w:rFonts w:hint="eastAsia" w:ascii="宋体" w:hAnsi="宋体"/>
          <w:color w:val="auto"/>
          <w:szCs w:val="28"/>
          <w:u w:color="000000"/>
          <w:lang w:val="en-US" w:eastAsia="zh-CN"/>
        </w:rPr>
        <w:t>离</w:t>
      </w:r>
      <w:r>
        <w:rPr>
          <w:rFonts w:hint="eastAsia" w:ascii="宋体" w:hAnsi="宋体"/>
          <w:color w:val="auto"/>
          <w:szCs w:val="28"/>
          <w:u w:color="000000"/>
        </w:rPr>
        <w:t>14.5m为天辰公司机修、辅助设施等，东北面距</w:t>
      </w:r>
      <w:r>
        <w:rPr>
          <w:rFonts w:hint="eastAsia" w:ascii="宋体" w:hAnsi="宋体"/>
          <w:color w:val="auto"/>
          <w:szCs w:val="28"/>
          <w:u w:color="000000"/>
          <w:lang w:val="en-US" w:eastAsia="zh-CN"/>
        </w:rPr>
        <w:t>离</w:t>
      </w:r>
      <w:r>
        <w:rPr>
          <w:rFonts w:hint="eastAsia" w:ascii="宋体" w:hAnsi="宋体"/>
          <w:color w:val="auto"/>
          <w:szCs w:val="28"/>
          <w:u w:color="000000"/>
        </w:rPr>
        <w:t>50m为天辰公司渣场和锅炉房；东南面距离20m为云南澄江华业磷化工有限责任公司</w:t>
      </w:r>
      <w:r>
        <w:rPr>
          <w:rFonts w:hint="eastAsia" w:ascii="宋体" w:hAnsi="宋体"/>
          <w:color w:val="auto"/>
          <w:szCs w:val="28"/>
          <w:u w:color="000000"/>
          <w:lang w:eastAsia="zh-CN"/>
        </w:rPr>
        <w:t>（</w:t>
      </w:r>
      <w:r>
        <w:rPr>
          <w:rFonts w:hint="eastAsia" w:ascii="宋体" w:hAnsi="宋体"/>
          <w:color w:val="auto"/>
          <w:szCs w:val="28"/>
          <w:u w:color="000000"/>
          <w:lang w:val="en-US" w:eastAsia="zh-CN"/>
        </w:rPr>
        <w:t>以下简称“</w:t>
      </w:r>
      <w:r>
        <w:rPr>
          <w:rFonts w:hint="eastAsia" w:ascii="宋体" w:hAnsi="宋体"/>
          <w:color w:val="auto"/>
          <w:szCs w:val="28"/>
          <w:u w:color="000000"/>
        </w:rPr>
        <w:t>澄江华业</w:t>
      </w:r>
      <w:r>
        <w:rPr>
          <w:rFonts w:hint="eastAsia" w:ascii="宋体" w:hAnsi="宋体"/>
          <w:color w:val="auto"/>
          <w:szCs w:val="28"/>
          <w:u w:color="000000"/>
          <w:lang w:val="en-US" w:eastAsia="zh-CN"/>
        </w:rPr>
        <w:t>”</w:t>
      </w:r>
      <w:r>
        <w:rPr>
          <w:rFonts w:hint="eastAsia" w:ascii="宋体" w:hAnsi="宋体"/>
          <w:color w:val="auto"/>
          <w:szCs w:val="28"/>
          <w:u w:color="000000"/>
          <w:lang w:eastAsia="zh-CN"/>
        </w:rPr>
        <w:t>）</w:t>
      </w:r>
      <w:r>
        <w:rPr>
          <w:rFonts w:hint="eastAsia" w:ascii="宋体" w:hAnsi="宋体"/>
          <w:color w:val="auto"/>
          <w:szCs w:val="28"/>
          <w:u w:color="000000"/>
        </w:rPr>
        <w:t>磷矿石库房；西南面距离50m为澄江华业生产装置。</w:t>
      </w:r>
    </w:p>
    <w:p>
      <w:pPr>
        <w:widowControl/>
        <w:topLinePunct/>
        <w:spacing w:beforeLines="50"/>
        <w:ind w:firstLine="560"/>
        <w:textAlignment w:val="baseline"/>
        <w:rPr>
          <w:rFonts w:ascii="宋体" w:hAnsi="宋体"/>
          <w:color w:val="auto"/>
          <w:szCs w:val="28"/>
          <w:u w:color="000000"/>
        </w:rPr>
      </w:pPr>
      <w:r>
        <w:rPr>
          <w:rFonts w:hint="eastAsia" w:ascii="宋体" w:hAnsi="宋体"/>
          <w:color w:val="auto"/>
          <w:szCs w:val="28"/>
          <w:u w:color="000000"/>
        </w:rPr>
        <w:t>依据《建筑设计防火规范（2018年版）》（GB50016-2014）生产厂房与周边设施安全距离见表2.3-1：</w:t>
      </w:r>
    </w:p>
    <w:p>
      <w:pPr>
        <w:topLinePunct/>
        <w:spacing w:line="346" w:lineRule="auto"/>
        <w:ind w:firstLine="0" w:firstLineChars="0"/>
        <w:jc w:val="center"/>
        <w:rPr>
          <w:rFonts w:ascii="宋体" w:hAnsi="宋体"/>
          <w:b/>
          <w:bCs/>
          <w:color w:val="auto"/>
          <w:sz w:val="24"/>
        </w:rPr>
      </w:pPr>
      <w:r>
        <w:rPr>
          <w:rFonts w:ascii="宋体" w:hAnsi="宋体"/>
          <w:b/>
          <w:bCs/>
          <w:color w:val="auto"/>
          <w:sz w:val="24"/>
        </w:rPr>
        <w:t>表</w:t>
      </w:r>
      <w:r>
        <w:rPr>
          <w:rFonts w:hint="eastAsia" w:ascii="宋体" w:hAnsi="宋体"/>
          <w:b/>
          <w:bCs/>
          <w:color w:val="auto"/>
          <w:sz w:val="24"/>
        </w:rPr>
        <w:t>2.3</w:t>
      </w:r>
      <w:r>
        <w:rPr>
          <w:rFonts w:ascii="宋体" w:hAnsi="宋体"/>
          <w:b/>
          <w:bCs/>
          <w:color w:val="auto"/>
          <w:sz w:val="24"/>
        </w:rPr>
        <w:t>-</w:t>
      </w:r>
      <w:r>
        <w:rPr>
          <w:rFonts w:hint="eastAsia" w:ascii="宋体" w:hAnsi="宋体"/>
          <w:b/>
          <w:bCs/>
          <w:color w:val="auto"/>
          <w:sz w:val="24"/>
        </w:rPr>
        <w:t xml:space="preserve">1  生产厂房与周边设施安全距离表 </w:t>
      </w:r>
    </w:p>
    <w:tbl>
      <w:tblPr>
        <w:tblStyle w:val="3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548"/>
        <w:gridCol w:w="779"/>
        <w:gridCol w:w="1062"/>
        <w:gridCol w:w="1022"/>
        <w:gridCol w:w="709"/>
        <w:gridCol w:w="2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项目建构筑名称</w:t>
            </w:r>
          </w:p>
        </w:tc>
        <w:tc>
          <w:tcPr>
            <w:tcW w:w="154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周边设施</w:t>
            </w:r>
          </w:p>
        </w:tc>
        <w:tc>
          <w:tcPr>
            <w:tcW w:w="779"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方位</w:t>
            </w:r>
          </w:p>
        </w:tc>
        <w:tc>
          <w:tcPr>
            <w:tcW w:w="1062"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规范防火间距/m</w:t>
            </w:r>
          </w:p>
        </w:tc>
        <w:tc>
          <w:tcPr>
            <w:tcW w:w="1022"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实测距离/m</w:t>
            </w:r>
          </w:p>
        </w:tc>
        <w:tc>
          <w:tcPr>
            <w:tcW w:w="709"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合规性</w:t>
            </w:r>
          </w:p>
        </w:tc>
        <w:tc>
          <w:tcPr>
            <w:tcW w:w="281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restart"/>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生产厂房（戊类、框架结构、二层二级耐火等级）</w:t>
            </w:r>
          </w:p>
        </w:tc>
        <w:tc>
          <w:tcPr>
            <w:tcW w:w="154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天辰公司机修、辅助设施（戊类）</w:t>
            </w:r>
          </w:p>
        </w:tc>
        <w:tc>
          <w:tcPr>
            <w:tcW w:w="77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西北面</w:t>
            </w:r>
          </w:p>
        </w:tc>
        <w:tc>
          <w:tcPr>
            <w:tcW w:w="1062"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2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14.5</w:t>
            </w:r>
          </w:p>
        </w:tc>
        <w:tc>
          <w:tcPr>
            <w:tcW w:w="7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818" w:type="dxa"/>
            <w:shd w:val="clear" w:color="auto" w:fill="auto"/>
            <w:vAlign w:val="center"/>
          </w:tcPr>
          <w:p>
            <w:pPr>
              <w:tabs>
                <w:tab w:val="left" w:pos="2235"/>
              </w:tabs>
              <w:spacing w:line="240" w:lineRule="auto"/>
              <w:ind w:firstLine="0" w:firstLineChars="0"/>
              <w:jc w:val="both"/>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420"/>
              <w:jc w:val="center"/>
              <w:rPr>
                <w:rFonts w:ascii="宋体" w:hAnsi="宋体"/>
                <w:color w:val="auto"/>
                <w:sz w:val="21"/>
                <w:szCs w:val="21"/>
              </w:rPr>
            </w:pPr>
          </w:p>
        </w:tc>
        <w:tc>
          <w:tcPr>
            <w:tcW w:w="154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天辰公司锅炉房（丁类）</w:t>
            </w:r>
          </w:p>
        </w:tc>
        <w:tc>
          <w:tcPr>
            <w:tcW w:w="77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东北面</w:t>
            </w:r>
          </w:p>
        </w:tc>
        <w:tc>
          <w:tcPr>
            <w:tcW w:w="1062"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2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50</w:t>
            </w:r>
          </w:p>
        </w:tc>
        <w:tc>
          <w:tcPr>
            <w:tcW w:w="7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818" w:type="dxa"/>
            <w:shd w:val="clear" w:color="auto" w:fill="auto"/>
            <w:vAlign w:val="center"/>
          </w:tcPr>
          <w:p>
            <w:pPr>
              <w:tabs>
                <w:tab w:val="left" w:pos="2235"/>
              </w:tabs>
              <w:spacing w:line="240" w:lineRule="auto"/>
              <w:ind w:left="0" w:leftChars="0" w:firstLine="0" w:firstLineChars="0"/>
              <w:jc w:val="both"/>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420"/>
              <w:jc w:val="center"/>
              <w:rPr>
                <w:rFonts w:ascii="宋体" w:hAnsi="宋体"/>
                <w:color w:val="auto"/>
                <w:sz w:val="21"/>
                <w:szCs w:val="21"/>
              </w:rPr>
            </w:pPr>
          </w:p>
        </w:tc>
        <w:tc>
          <w:tcPr>
            <w:tcW w:w="154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澄江华业磷矿石库房（戊类）</w:t>
            </w:r>
          </w:p>
        </w:tc>
        <w:tc>
          <w:tcPr>
            <w:tcW w:w="77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东南面</w:t>
            </w:r>
          </w:p>
        </w:tc>
        <w:tc>
          <w:tcPr>
            <w:tcW w:w="1062"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2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20</w:t>
            </w:r>
          </w:p>
        </w:tc>
        <w:tc>
          <w:tcPr>
            <w:tcW w:w="7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818" w:type="dxa"/>
            <w:shd w:val="clear" w:color="auto" w:fill="auto"/>
            <w:vAlign w:val="center"/>
          </w:tcPr>
          <w:p>
            <w:pPr>
              <w:tabs>
                <w:tab w:val="left" w:pos="2235"/>
              </w:tabs>
              <w:spacing w:line="240" w:lineRule="auto"/>
              <w:ind w:left="0" w:leftChars="0" w:firstLine="0" w:firstLineChars="0"/>
              <w:jc w:val="both"/>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154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澄江华业生产装置（戊类）</w:t>
            </w:r>
          </w:p>
        </w:tc>
        <w:tc>
          <w:tcPr>
            <w:tcW w:w="77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西</w:t>
            </w:r>
            <w:r>
              <w:rPr>
                <w:rFonts w:hint="eastAsia" w:ascii="宋体" w:hAnsi="宋体"/>
                <w:color w:val="auto"/>
                <w:sz w:val="21"/>
                <w:szCs w:val="21"/>
              </w:rPr>
              <w:t>南</w:t>
            </w:r>
            <w:r>
              <w:rPr>
                <w:rFonts w:ascii="宋体" w:hAnsi="宋体"/>
                <w:color w:val="auto"/>
                <w:sz w:val="21"/>
                <w:szCs w:val="21"/>
              </w:rPr>
              <w:t>面</w:t>
            </w:r>
          </w:p>
        </w:tc>
        <w:tc>
          <w:tcPr>
            <w:tcW w:w="1062"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2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50</w:t>
            </w:r>
          </w:p>
        </w:tc>
        <w:tc>
          <w:tcPr>
            <w:tcW w:w="7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818" w:type="dxa"/>
            <w:shd w:val="clear" w:color="auto" w:fill="auto"/>
            <w:vAlign w:val="center"/>
          </w:tcPr>
          <w:p>
            <w:pPr>
              <w:tabs>
                <w:tab w:val="left" w:pos="2235"/>
              </w:tabs>
              <w:spacing w:line="240" w:lineRule="auto"/>
              <w:ind w:left="0" w:leftChars="0" w:firstLine="0" w:firstLineChars="0"/>
              <w:jc w:val="both"/>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72" w:type="dxa"/>
            <w:gridSpan w:val="7"/>
            <w:shd w:val="clear" w:color="auto" w:fill="auto"/>
            <w:vAlign w:val="center"/>
          </w:tcPr>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①</w:t>
            </w:r>
            <w:r>
              <w:rPr>
                <w:rFonts w:ascii="宋体" w:hAnsi="宋体"/>
                <w:color w:val="auto"/>
                <w:sz w:val="21"/>
                <w:szCs w:val="21"/>
              </w:rPr>
              <w:t>建（构）筑物防火间距的起算点是外墙、外缘、外壁的最近距离；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②</w:t>
            </w:r>
            <w:r>
              <w:rPr>
                <w:rFonts w:ascii="宋体" w:hAnsi="宋体"/>
                <w:color w:val="auto"/>
                <w:sz w:val="21"/>
                <w:szCs w:val="21"/>
              </w:rPr>
              <w:t>上表中黑体字部分为标准值；上述设计值是根据设计图纸上的比例估算和现场检查情况得出；</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③</w:t>
            </w:r>
            <w:r>
              <w:rPr>
                <w:rFonts w:ascii="宋体" w:hAnsi="宋体"/>
                <w:color w:val="auto"/>
                <w:sz w:val="21"/>
                <w:szCs w:val="21"/>
              </w:rPr>
              <w:t>上表的距离是根据《建筑设计防火规范</w:t>
            </w:r>
            <w:r>
              <w:rPr>
                <w:rFonts w:hint="eastAsia" w:ascii="宋体" w:hAnsi="宋体"/>
                <w:color w:val="auto"/>
                <w:sz w:val="21"/>
                <w:szCs w:val="21"/>
              </w:rPr>
              <w:t>（2018版）</w:t>
            </w:r>
            <w:r>
              <w:rPr>
                <w:rFonts w:ascii="宋体" w:hAnsi="宋体"/>
                <w:color w:val="auto"/>
                <w:sz w:val="21"/>
                <w:szCs w:val="21"/>
              </w:rPr>
              <w:t>》（GB50016-2014）表3.4.1；</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④</w:t>
            </w:r>
            <w:r>
              <w:rPr>
                <w:rFonts w:ascii="宋体" w:hAnsi="宋体"/>
                <w:color w:val="auto"/>
                <w:sz w:val="21"/>
                <w:szCs w:val="21"/>
              </w:rPr>
              <w:t>上述设计值均是指距最近建构筑物之间的距离。</w:t>
            </w:r>
          </w:p>
        </w:tc>
      </w:tr>
    </w:tbl>
    <w:p>
      <w:pPr>
        <w:pStyle w:val="2"/>
        <w:ind w:firstLine="560"/>
      </w:pPr>
    </w:p>
    <w:bookmarkEnd w:id="372"/>
    <w:bookmarkEnd w:id="373"/>
    <w:bookmarkEnd w:id="374"/>
    <w:bookmarkEnd w:id="375"/>
    <w:bookmarkEnd w:id="376"/>
    <w:bookmarkEnd w:id="377"/>
    <w:bookmarkEnd w:id="378"/>
    <w:bookmarkEnd w:id="379"/>
    <w:bookmarkEnd w:id="380"/>
    <w:bookmarkEnd w:id="381"/>
    <w:p>
      <w:pPr>
        <w:pStyle w:val="5"/>
        <w:keepNext w:val="0"/>
        <w:keepLines w:val="0"/>
        <w:ind w:firstLine="562"/>
        <w:rPr>
          <w:color w:val="auto"/>
        </w:rPr>
      </w:pPr>
      <w:bookmarkStart w:id="382" w:name="_Toc5845"/>
      <w:bookmarkStart w:id="383" w:name="_Toc27335"/>
      <w:bookmarkStart w:id="384" w:name="_Toc912"/>
      <w:bookmarkStart w:id="385" w:name="_Toc25902"/>
      <w:bookmarkStart w:id="386" w:name="_Toc1931"/>
      <w:bookmarkStart w:id="387" w:name="_Toc23499"/>
      <w:bookmarkStart w:id="388" w:name="_Toc7239"/>
      <w:bookmarkStart w:id="389" w:name="_Toc16751"/>
      <w:bookmarkStart w:id="390" w:name="_Toc15961"/>
      <w:bookmarkStart w:id="391" w:name="_Toc118297902"/>
      <w:bookmarkStart w:id="392" w:name="_Toc14087"/>
      <w:bookmarkStart w:id="393" w:name="_Toc13365"/>
      <w:bookmarkStart w:id="394" w:name="_Toc24671"/>
      <w:bookmarkStart w:id="395" w:name="_Toc128056382"/>
      <w:bookmarkStart w:id="396" w:name="_Toc27824"/>
      <w:bookmarkStart w:id="397" w:name="_Toc20826"/>
      <w:r>
        <w:rPr>
          <w:color w:val="auto"/>
        </w:rPr>
        <w:t>2.3.2 总</w:t>
      </w:r>
      <w:r>
        <w:rPr>
          <w:rFonts w:hint="eastAsia"/>
          <w:color w:val="auto"/>
        </w:rPr>
        <w:t>平面布置</w:t>
      </w:r>
      <w:bookmarkEnd w:id="382"/>
      <w:bookmarkEnd w:id="383"/>
      <w:bookmarkEnd w:id="384"/>
      <w:bookmarkEnd w:id="385"/>
    </w:p>
    <w:p>
      <w:pPr>
        <w:topLinePunct/>
        <w:ind w:firstLine="560"/>
        <w:rPr>
          <w:rFonts w:ascii="宋体" w:hAnsi="宋体"/>
          <w:color w:val="auto"/>
        </w:rPr>
      </w:pPr>
      <w:r>
        <w:rPr>
          <w:rFonts w:hint="eastAsia" w:ascii="宋体" w:hAnsi="宋体"/>
          <w:color w:val="auto"/>
        </w:rPr>
        <w:t>氟化分公司厂区总体分为三个区域，厂区南面为生产厂房，西北面为</w:t>
      </w:r>
      <w:r>
        <w:rPr>
          <w:rFonts w:hint="eastAsia" w:ascii="宋体" w:hAnsi="宋体"/>
          <w:color w:val="auto"/>
          <w:lang w:val="en-US" w:eastAsia="zh-CN"/>
        </w:rPr>
        <w:t>备件间</w:t>
      </w:r>
      <w:r>
        <w:rPr>
          <w:rFonts w:hint="eastAsia" w:ascii="宋体" w:hAnsi="宋体"/>
          <w:color w:val="auto"/>
        </w:rPr>
        <w:t>、缓冲库、成品仓库和材料室；东北面为监</w:t>
      </w:r>
      <w:r>
        <w:rPr>
          <w:rFonts w:hint="eastAsia" w:ascii="宋体" w:hAnsi="宋体"/>
          <w:color w:val="auto"/>
          <w:lang w:val="en-US" w:eastAsia="zh-CN"/>
        </w:rPr>
        <w:t>控</w:t>
      </w:r>
      <w:r>
        <w:rPr>
          <w:rFonts w:hint="eastAsia" w:ascii="宋体" w:hAnsi="宋体"/>
          <w:color w:val="auto"/>
        </w:rPr>
        <w:t>室、实验室、</w:t>
      </w:r>
      <w:r>
        <w:rPr>
          <w:rFonts w:hint="eastAsia" w:ascii="宋体" w:hAnsi="宋体" w:eastAsia="宋体" w:cs="宋体"/>
          <w:sz w:val="28"/>
          <w:szCs w:val="28"/>
          <w:lang w:val="en-US" w:eastAsia="zh-CN"/>
        </w:rPr>
        <w:t>巡检</w:t>
      </w:r>
      <w:r>
        <w:rPr>
          <w:rFonts w:hint="eastAsia" w:ascii="宋体" w:hAnsi="宋体"/>
          <w:color w:val="auto"/>
        </w:rPr>
        <w:t>室和化验室。</w:t>
      </w:r>
    </w:p>
    <w:p>
      <w:pPr>
        <w:topLinePunct/>
        <w:spacing w:line="346" w:lineRule="auto"/>
        <w:ind w:firstLine="0" w:firstLineChars="0"/>
        <w:jc w:val="center"/>
        <w:rPr>
          <w:rFonts w:ascii="宋体" w:hAnsi="宋体"/>
          <w:b/>
          <w:bCs/>
          <w:color w:val="auto"/>
          <w:sz w:val="24"/>
        </w:rPr>
      </w:pPr>
      <w:r>
        <w:rPr>
          <w:rFonts w:ascii="宋体" w:hAnsi="宋体"/>
          <w:b/>
          <w:bCs/>
          <w:color w:val="auto"/>
          <w:sz w:val="24"/>
        </w:rPr>
        <w:t>表</w:t>
      </w:r>
      <w:r>
        <w:rPr>
          <w:rFonts w:hint="eastAsia" w:ascii="宋体" w:hAnsi="宋体"/>
          <w:b/>
          <w:bCs/>
          <w:color w:val="auto"/>
          <w:sz w:val="24"/>
        </w:rPr>
        <w:t>2.3</w:t>
      </w:r>
      <w:r>
        <w:rPr>
          <w:rFonts w:ascii="宋体" w:hAnsi="宋体"/>
          <w:b/>
          <w:bCs/>
          <w:color w:val="auto"/>
          <w:sz w:val="24"/>
        </w:rPr>
        <w:t>-</w:t>
      </w:r>
      <w:r>
        <w:rPr>
          <w:rFonts w:hint="eastAsia" w:ascii="宋体" w:hAnsi="宋体"/>
          <w:b/>
          <w:bCs/>
          <w:color w:val="auto"/>
          <w:sz w:val="24"/>
        </w:rPr>
        <w:t xml:space="preserve">2  </w:t>
      </w:r>
      <w:r>
        <w:rPr>
          <w:rFonts w:ascii="宋体" w:hAnsi="宋体"/>
          <w:b/>
          <w:bCs/>
          <w:color w:val="auto"/>
          <w:sz w:val="24"/>
        </w:rPr>
        <w:t>项目内建（构）筑物之间的安全距离表</w:t>
      </w:r>
    </w:p>
    <w:tbl>
      <w:tblPr>
        <w:tblStyle w:val="3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855"/>
        <w:gridCol w:w="1485"/>
        <w:gridCol w:w="1068"/>
        <w:gridCol w:w="1017"/>
        <w:gridCol w:w="795"/>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项目建构筑名称</w:t>
            </w:r>
          </w:p>
        </w:tc>
        <w:tc>
          <w:tcPr>
            <w:tcW w:w="85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方位</w:t>
            </w:r>
          </w:p>
        </w:tc>
        <w:tc>
          <w:tcPr>
            <w:tcW w:w="148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周边设施</w:t>
            </w:r>
          </w:p>
        </w:tc>
        <w:tc>
          <w:tcPr>
            <w:tcW w:w="106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规范防火间距（m）</w:t>
            </w:r>
          </w:p>
        </w:tc>
        <w:tc>
          <w:tcPr>
            <w:tcW w:w="1017"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实测距离（m）</w:t>
            </w:r>
          </w:p>
        </w:tc>
        <w:tc>
          <w:tcPr>
            <w:tcW w:w="79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合规性</w:t>
            </w:r>
          </w:p>
        </w:tc>
        <w:tc>
          <w:tcPr>
            <w:tcW w:w="269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4" w:type="dxa"/>
            <w:vMerge w:val="restart"/>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生产厂房（戊类）</w:t>
            </w:r>
          </w:p>
        </w:tc>
        <w:tc>
          <w:tcPr>
            <w:tcW w:w="855" w:type="dxa"/>
            <w:vMerge w:val="restart"/>
            <w:shd w:val="clear" w:color="auto" w:fill="auto"/>
            <w:vAlign w:val="center"/>
          </w:tcPr>
          <w:p>
            <w:pPr>
              <w:tabs>
                <w:tab w:val="left" w:pos="2235"/>
              </w:tabs>
              <w:spacing w:line="240" w:lineRule="auto"/>
              <w:ind w:firstLine="0" w:firstLineChars="0"/>
              <w:rPr>
                <w:rFonts w:ascii="宋体" w:hAnsi="宋体"/>
                <w:color w:val="auto"/>
                <w:sz w:val="21"/>
                <w:szCs w:val="21"/>
              </w:rPr>
            </w:pPr>
            <w:r>
              <w:rPr>
                <w:rFonts w:ascii="宋体" w:hAnsi="宋体"/>
                <w:color w:val="auto"/>
                <w:sz w:val="21"/>
                <w:szCs w:val="21"/>
              </w:rPr>
              <w:t>东北面</w:t>
            </w:r>
          </w:p>
        </w:tc>
        <w:tc>
          <w:tcPr>
            <w:tcW w:w="148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备件间、缓冲库、成品仓库、</w:t>
            </w:r>
            <w:r>
              <w:rPr>
                <w:rFonts w:hint="eastAsia" w:ascii="宋体" w:hAnsi="宋体"/>
                <w:color w:val="auto"/>
                <w:sz w:val="21"/>
                <w:szCs w:val="21"/>
                <w:u w:color="000000"/>
                <w:lang w:val="en-US" w:eastAsia="zh-CN"/>
              </w:rPr>
              <w:t>材料室</w:t>
            </w:r>
            <w:r>
              <w:rPr>
                <w:rFonts w:hint="eastAsia" w:ascii="宋体" w:hAnsi="宋体"/>
                <w:color w:val="auto"/>
                <w:sz w:val="21"/>
                <w:szCs w:val="21"/>
                <w:u w:color="000000"/>
              </w:rPr>
              <w:t>（戊类）</w:t>
            </w:r>
          </w:p>
        </w:tc>
        <w:tc>
          <w:tcPr>
            <w:tcW w:w="1068"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不限</w:t>
            </w:r>
          </w:p>
        </w:tc>
        <w:tc>
          <w:tcPr>
            <w:tcW w:w="1017"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紧邻</w:t>
            </w:r>
          </w:p>
        </w:tc>
        <w:tc>
          <w:tcPr>
            <w:tcW w:w="79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建筑设计防火规范（2018年版）》（GB50016-2014）表3.4.1及注2、6，即当戊类厂房与戊类仓库相邻时，相邻较高一面外墙为防火墙，或相邻两座高度相同的一、二级耐火等级建筑中相邻任一侧外墙为防火墙且屋顶的耐火极限不低于1．00h时，其防火间距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4"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855"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148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监控室、实验室、巡检室和化验室（戊类）</w:t>
            </w:r>
          </w:p>
        </w:tc>
        <w:tc>
          <w:tcPr>
            <w:tcW w:w="1068"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17"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16</w:t>
            </w:r>
          </w:p>
        </w:tc>
        <w:tc>
          <w:tcPr>
            <w:tcW w:w="79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8" w:type="dxa"/>
            <w:shd w:val="clear" w:color="auto" w:fill="auto"/>
            <w:vAlign w:val="center"/>
          </w:tcPr>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72" w:type="dxa"/>
            <w:gridSpan w:val="7"/>
            <w:shd w:val="clear" w:color="auto" w:fill="auto"/>
            <w:vAlign w:val="center"/>
          </w:tcPr>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①</w:t>
            </w:r>
            <w:r>
              <w:rPr>
                <w:rFonts w:ascii="宋体" w:hAnsi="宋体"/>
                <w:color w:val="auto"/>
                <w:sz w:val="21"/>
                <w:szCs w:val="21"/>
              </w:rPr>
              <w:t>建（构）筑物防火间距的起算点是外墙、外缘、外壁的最近距离；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②</w:t>
            </w:r>
            <w:r>
              <w:rPr>
                <w:rFonts w:ascii="宋体" w:hAnsi="宋体"/>
                <w:color w:val="auto"/>
                <w:sz w:val="21"/>
                <w:szCs w:val="21"/>
              </w:rPr>
              <w:t>上表中黑体字部分为标准值；上述设计值是根据设计图纸上的比例估算和现场检查情况得出；</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③</w:t>
            </w:r>
            <w:r>
              <w:rPr>
                <w:rFonts w:ascii="宋体" w:hAnsi="宋体"/>
                <w:color w:val="auto"/>
                <w:sz w:val="21"/>
                <w:szCs w:val="21"/>
              </w:rPr>
              <w:t>上表的距离是根据</w:t>
            </w:r>
            <w:r>
              <w:rPr>
                <w:rFonts w:hint="eastAsia" w:ascii="宋体" w:hAnsi="宋体"/>
                <w:color w:val="auto"/>
                <w:sz w:val="21"/>
                <w:szCs w:val="21"/>
              </w:rPr>
              <w:t>《建筑设计防火规范（2018年版）》（GB50016-2014）</w:t>
            </w:r>
            <w:r>
              <w:rPr>
                <w:rFonts w:ascii="宋体" w:hAnsi="宋体"/>
                <w:color w:val="auto"/>
                <w:sz w:val="21"/>
                <w:szCs w:val="21"/>
              </w:rPr>
              <w:t>表3.4.1；</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④</w:t>
            </w:r>
            <w:r>
              <w:rPr>
                <w:rFonts w:ascii="宋体" w:hAnsi="宋体"/>
                <w:color w:val="auto"/>
                <w:sz w:val="21"/>
                <w:szCs w:val="21"/>
              </w:rPr>
              <w:t>上述设计值均是指距最近建构筑物之间的距离。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⑤</w:t>
            </w:r>
            <w:r>
              <w:rPr>
                <w:rFonts w:hint="eastAsia" w:ascii="宋体" w:hAnsi="宋体"/>
                <w:color w:val="auto"/>
                <w:sz w:val="21"/>
                <w:szCs w:val="21"/>
              </w:rPr>
              <w:t>《建筑设计防火规范（2018年版）》（GB50016-2014）表3.4.1 注2 两座厂房相邻较高一面外墙为防火墙，或相邻两座高度相同的一、二级耐火等级建筑中相邻任一侧外墙为防火墙且屋顶的耐火极限不低于1．00h时，其防火间距不限，但甲类厂房之间不应小于4m。两座丙、丁、戊类厂房相邻两面外墙均为不燃性墙体，当无外露的可燃性屋檐，每面外墙上的门、窗、洞口面积之和各不大于外墙面积的5％，且门、窗、洞口不正对开设时，其防火间距可按本表的规定减少25％。甲、乙类厂房(仓库)不应与本规范第3．3．5条规定外的其他建筑贴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⑥</w:t>
            </w:r>
            <w:r>
              <w:rPr>
                <w:rFonts w:hint="eastAsia" w:ascii="宋体" w:hAnsi="宋体"/>
                <w:color w:val="auto"/>
                <w:sz w:val="21"/>
                <w:szCs w:val="21"/>
              </w:rPr>
              <w:t>当丙、丁、戊类厂房与丙、丁、戊类仓库相邻时，应符合本表注2、3的规定。</w:t>
            </w:r>
          </w:p>
        </w:tc>
      </w:tr>
    </w:tbl>
    <w:p>
      <w:pPr>
        <w:topLinePunct/>
        <w:ind w:firstLine="0" w:firstLineChars="0"/>
        <w:rPr>
          <w:rFonts w:ascii="宋体" w:hAnsi="宋体"/>
          <w:color w:val="auto"/>
        </w:rPr>
      </w:pPr>
    </w:p>
    <w:p>
      <w:pPr>
        <w:topLinePunct/>
        <w:ind w:firstLine="560"/>
      </w:pPr>
      <w:r>
        <w:rPr>
          <w:rFonts w:hint="eastAsia" w:ascii="宋体" w:hAnsi="宋体"/>
          <w:color w:val="auto"/>
        </w:rPr>
        <w:t>上表依据《建筑设计防火规范（2018年版）》（GB50016-2014），生产厂房与周边建构筑物之间的防火间距符合规范要求。</w:t>
      </w:r>
    </w:p>
    <w:p>
      <w:pPr>
        <w:pStyle w:val="4"/>
        <w:ind w:firstLine="562"/>
      </w:pPr>
      <w:bookmarkStart w:id="398" w:name="_Toc4287"/>
      <w:bookmarkStart w:id="399" w:name="_Toc28970"/>
      <w:bookmarkStart w:id="400" w:name="_Toc2888"/>
      <w:bookmarkStart w:id="401" w:name="_Toc21301"/>
      <w:bookmarkStart w:id="402" w:name="_Toc5749"/>
      <w:bookmarkStart w:id="403" w:name="_Toc13324"/>
      <w:bookmarkStart w:id="404" w:name="_Toc23783"/>
      <w:bookmarkStart w:id="405" w:name="_Toc29327"/>
      <w:bookmarkStart w:id="406" w:name="_Toc16177"/>
      <w:bookmarkStart w:id="407" w:name="_Toc19911"/>
      <w:bookmarkStart w:id="408" w:name="_Toc12006"/>
      <w:bookmarkStart w:id="409" w:name="_Toc19079"/>
      <w:bookmarkStart w:id="410" w:name="_Toc17731"/>
      <w:r>
        <w:rPr>
          <w:rFonts w:hint="eastAsia"/>
        </w:rPr>
        <w:t>2.4 原料、辅助材料、产品及规模</w:t>
      </w:r>
      <w:bookmarkEnd w:id="386"/>
      <w:bookmarkEnd w:id="387"/>
      <w:bookmarkEnd w:id="388"/>
      <w:bookmarkEnd w:id="389"/>
      <w:bookmarkEnd w:id="390"/>
      <w:bookmarkEnd w:id="391"/>
      <w:bookmarkEnd w:id="392"/>
      <w:bookmarkEnd w:id="393"/>
      <w:bookmarkEnd w:id="398"/>
      <w:bookmarkEnd w:id="399"/>
      <w:bookmarkEnd w:id="400"/>
      <w:bookmarkEnd w:id="401"/>
      <w:bookmarkEnd w:id="402"/>
      <w:bookmarkEnd w:id="403"/>
      <w:bookmarkEnd w:id="404"/>
      <w:bookmarkEnd w:id="405"/>
      <w:bookmarkEnd w:id="406"/>
      <w:bookmarkEnd w:id="407"/>
      <w:bookmarkEnd w:id="408"/>
      <w:bookmarkEnd w:id="409"/>
      <w:bookmarkEnd w:id="410"/>
    </w:p>
    <w:p>
      <w:pPr>
        <w:topLinePunct/>
        <w:ind w:firstLine="560"/>
        <w:rPr>
          <w:rFonts w:ascii="宋体" w:hAnsi="宋体"/>
          <w:color w:val="auto"/>
          <w:szCs w:val="28"/>
        </w:rPr>
      </w:pPr>
      <w:r>
        <w:rPr>
          <w:rFonts w:hint="eastAsia"/>
          <w:color w:val="000000" w:themeColor="text1"/>
        </w:rPr>
        <w:t>氟化分公司</w:t>
      </w:r>
      <w:r>
        <w:rPr>
          <w:rFonts w:hint="eastAsia" w:hAnsi="宋体"/>
          <w:color w:val="auto"/>
          <w:kern w:val="0"/>
          <w:szCs w:val="28"/>
        </w:rPr>
        <w:t>主要原料为氟硅酸、氧化镁，辅料为氧化钙。氟硅酸由</w:t>
      </w:r>
      <w:r>
        <w:rPr>
          <w:rFonts w:hint="eastAsia"/>
          <w:color w:val="auto"/>
          <w:sz w:val="28"/>
          <w:szCs w:val="28"/>
        </w:rPr>
        <w:t>天辰公司</w:t>
      </w:r>
      <w:r>
        <w:rPr>
          <w:rFonts w:hint="eastAsia" w:hAnsi="宋体"/>
          <w:color w:val="auto"/>
          <w:kern w:val="0"/>
          <w:szCs w:val="28"/>
        </w:rPr>
        <w:t>提供，当天辰公司的氟硅酸不满足生产需求时，</w:t>
      </w:r>
      <w:r>
        <w:rPr>
          <w:rFonts w:hint="eastAsia" w:hAnsi="宋体"/>
          <w:color w:val="auto"/>
          <w:kern w:val="0"/>
          <w:szCs w:val="28"/>
          <w:lang w:val="en-US" w:eastAsia="zh-CN"/>
        </w:rPr>
        <w:t>公司</w:t>
      </w:r>
      <w:r>
        <w:rPr>
          <w:rFonts w:hint="eastAsia" w:hAnsi="宋体"/>
          <w:color w:val="auto"/>
          <w:kern w:val="0"/>
          <w:szCs w:val="28"/>
        </w:rPr>
        <w:t>向云南常青树化工有限公司或昆明东昇冶化有限责任公司购买氟硅酸镁或氟硅酸，由厂家运输到厂；氧化镁、氧化钙从省内生产厂家购买运输到厂，来源可靠，供应有保证。公司不负责原料的厂外运输</w:t>
      </w:r>
      <w:r>
        <w:rPr>
          <w:rFonts w:hint="eastAsia"/>
          <w:color w:val="000000" w:themeColor="text1"/>
        </w:rPr>
        <w:t>。</w:t>
      </w:r>
      <w:r>
        <w:rPr>
          <w:rFonts w:hint="eastAsia" w:ascii="宋体" w:hAnsi="宋体"/>
          <w:color w:val="auto"/>
          <w:szCs w:val="28"/>
        </w:rPr>
        <w:t>氟硅酸镁、氟硅酸生产使用蒸汽加热，供汽压力0.5MPa，每</w:t>
      </w:r>
      <w:r>
        <w:rPr>
          <w:rFonts w:hint="eastAsia" w:ascii="宋体" w:hAnsi="宋体"/>
          <w:color w:val="auto"/>
          <w:szCs w:val="28"/>
          <w:lang w:val="en-US" w:eastAsia="zh-CN"/>
        </w:rPr>
        <w:t>吨</w:t>
      </w:r>
      <w:r>
        <w:rPr>
          <w:rFonts w:hint="eastAsia" w:ascii="宋体" w:hAnsi="宋体"/>
          <w:color w:val="auto"/>
          <w:szCs w:val="28"/>
        </w:rPr>
        <w:t>产品单耗5t，年需蒸汽5000t，由</w:t>
      </w:r>
      <w:r>
        <w:rPr>
          <w:rFonts w:hint="eastAsia"/>
          <w:color w:val="auto"/>
          <w:sz w:val="28"/>
          <w:szCs w:val="28"/>
        </w:rPr>
        <w:t>天辰公司</w:t>
      </w:r>
      <w:r>
        <w:rPr>
          <w:rFonts w:hint="eastAsia" w:ascii="宋体" w:hAnsi="宋体"/>
          <w:color w:val="auto"/>
          <w:szCs w:val="28"/>
          <w:lang w:eastAsia="zh-CN"/>
        </w:rPr>
        <w:t>、</w:t>
      </w:r>
      <w:r>
        <w:rPr>
          <w:rFonts w:hint="eastAsia" w:ascii="宋体" w:hAnsi="宋体" w:cs="宋体"/>
          <w:sz w:val="28"/>
          <w:szCs w:val="28"/>
        </w:rPr>
        <w:t>澄江华业</w:t>
      </w:r>
      <w:r>
        <w:rPr>
          <w:rFonts w:hint="eastAsia" w:ascii="宋体" w:hAnsi="宋体"/>
          <w:color w:val="auto"/>
          <w:szCs w:val="28"/>
        </w:rPr>
        <w:t>提供，</w:t>
      </w:r>
      <w:r>
        <w:rPr>
          <w:rFonts w:hint="eastAsia" w:ascii="宋体" w:hAnsi="宋体"/>
          <w:color w:val="auto"/>
          <w:szCs w:val="28"/>
          <w:lang w:val="en-US" w:eastAsia="zh-CN"/>
        </w:rPr>
        <w:t>公司</w:t>
      </w:r>
      <w:r>
        <w:rPr>
          <w:rFonts w:hint="eastAsia" w:ascii="宋体" w:hAnsi="宋体"/>
          <w:color w:val="auto"/>
          <w:szCs w:val="28"/>
        </w:rPr>
        <w:t>不单独配备锅炉。</w:t>
      </w:r>
    </w:p>
    <w:p>
      <w:pPr>
        <w:pStyle w:val="70"/>
        <w:ind w:firstLine="560"/>
        <w:rPr>
          <w:color w:val="000000" w:themeColor="text1"/>
        </w:rPr>
      </w:pPr>
      <w:r>
        <w:rPr>
          <w:rFonts w:hint="eastAsia"/>
          <w:color w:val="000000" w:themeColor="text1"/>
        </w:rPr>
        <w:t>原料、辅助材料来源、储量情况及产品见下表：</w:t>
      </w:r>
    </w:p>
    <w:p>
      <w:pPr>
        <w:ind w:firstLine="0" w:firstLineChars="0"/>
        <w:jc w:val="center"/>
        <w:rPr>
          <w:rFonts w:ascii="宋体" w:hAnsi="宋体" w:cs="宋体"/>
          <w:b/>
          <w:bCs/>
          <w:color w:val="000000" w:themeColor="text1"/>
          <w:sz w:val="24"/>
        </w:rPr>
      </w:pPr>
      <w:r>
        <w:rPr>
          <w:rFonts w:hint="eastAsia" w:ascii="宋体" w:hAnsi="宋体" w:cs="宋体"/>
          <w:b/>
          <w:bCs/>
          <w:color w:val="000000" w:themeColor="text1"/>
          <w:sz w:val="24"/>
        </w:rPr>
        <w:t>表2.4-1 原料、辅助材料来源用量情况</w:t>
      </w:r>
    </w:p>
    <w:tbl>
      <w:tblPr>
        <w:tblStyle w:val="36"/>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992"/>
        <w:gridCol w:w="1417"/>
        <w:gridCol w:w="993"/>
        <w:gridCol w:w="850"/>
        <w:gridCol w:w="1134"/>
        <w:gridCol w:w="1944"/>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Ansi="宋体"/>
                <w:b/>
                <w:color w:val="auto"/>
                <w:sz w:val="21"/>
                <w:szCs w:val="21"/>
              </w:rPr>
              <w:t>序号</w:t>
            </w:r>
          </w:p>
        </w:tc>
        <w:tc>
          <w:tcPr>
            <w:tcW w:w="9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Ansi="宋体"/>
                <w:b/>
                <w:color w:val="auto"/>
                <w:sz w:val="21"/>
                <w:szCs w:val="21"/>
              </w:rPr>
              <w:t>名</w:t>
            </w:r>
            <w:r>
              <w:rPr>
                <w:rFonts w:hint="eastAsia" w:hAnsi="宋体"/>
                <w:b/>
                <w:color w:val="auto"/>
                <w:sz w:val="21"/>
                <w:szCs w:val="21"/>
              </w:rPr>
              <w:t xml:space="preserve">  </w:t>
            </w:r>
            <w:r>
              <w:rPr>
                <w:rFonts w:hAnsi="宋体"/>
                <w:b/>
                <w:color w:val="auto"/>
                <w:sz w:val="21"/>
                <w:szCs w:val="21"/>
              </w:rPr>
              <w:t>称</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int="eastAsia" w:hAnsi="宋体"/>
                <w:b/>
                <w:color w:val="auto"/>
                <w:sz w:val="21"/>
                <w:szCs w:val="21"/>
              </w:rPr>
              <w:t>规  格</w:t>
            </w:r>
          </w:p>
        </w:tc>
        <w:tc>
          <w:tcPr>
            <w:tcW w:w="99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int="eastAsia" w:hAnsi="宋体"/>
                <w:b/>
                <w:color w:val="auto"/>
                <w:sz w:val="21"/>
                <w:szCs w:val="21"/>
              </w:rPr>
              <w:t>年</w:t>
            </w:r>
            <w:r>
              <w:rPr>
                <w:rFonts w:hAnsi="宋体"/>
                <w:b/>
                <w:color w:val="auto"/>
                <w:sz w:val="21"/>
                <w:szCs w:val="21"/>
              </w:rPr>
              <w:t>用量</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int="eastAsia" w:hAnsi="宋体"/>
                <w:b/>
                <w:color w:val="auto"/>
                <w:sz w:val="21"/>
                <w:szCs w:val="21"/>
              </w:rPr>
              <w:t>最大储存量</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储存设施</w:t>
            </w:r>
          </w:p>
        </w:tc>
        <w:tc>
          <w:tcPr>
            <w:tcW w:w="19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int="eastAsia" w:hAnsi="宋体"/>
                <w:b/>
                <w:color w:val="auto"/>
                <w:sz w:val="21"/>
                <w:szCs w:val="21"/>
              </w:rPr>
              <w:t>来  源</w:t>
            </w:r>
          </w:p>
        </w:tc>
        <w:tc>
          <w:tcPr>
            <w:tcW w:w="125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rFonts w:hint="eastAsia" w:hAnsi="宋体"/>
                <w:b/>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1</w:t>
            </w:r>
          </w:p>
        </w:tc>
        <w:tc>
          <w:tcPr>
            <w:tcW w:w="9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氟硅酸</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浓度</w:t>
            </w:r>
            <w:r>
              <w:rPr>
                <w:rFonts w:hint="eastAsia" w:hAnsi="宋体"/>
                <w:color w:val="auto"/>
                <w:sz w:val="21"/>
                <w:szCs w:val="21"/>
              </w:rPr>
              <w:t>＞15%</w:t>
            </w:r>
          </w:p>
        </w:tc>
        <w:tc>
          <w:tcPr>
            <w:tcW w:w="99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宋体" w:eastAsia="宋体" w:cs="Times New Roman"/>
                <w:color w:val="auto"/>
                <w:kern w:val="2"/>
                <w:sz w:val="21"/>
                <w:szCs w:val="21"/>
                <w:lang w:val="en-US" w:eastAsia="zh-CN" w:bidi="ar-SA"/>
              </w:rPr>
            </w:pPr>
            <w:r>
              <w:rPr>
                <w:rFonts w:hint="eastAsia" w:hAnsi="宋体"/>
                <w:color w:val="auto"/>
                <w:sz w:val="21"/>
                <w:szCs w:val="21"/>
                <w:lang w:val="en-US" w:eastAsia="zh-CN"/>
              </w:rPr>
              <w:t>7843.02</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150m</w:t>
            </w:r>
            <w:r>
              <w:rPr>
                <w:rFonts w:hint="eastAsia" w:hAnsi="宋体"/>
                <w:color w:val="auto"/>
                <w:sz w:val="21"/>
                <w:szCs w:val="21"/>
                <w:vertAlign w:val="superscript"/>
              </w:rPr>
              <w:t>3</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氟硅酸池</w:t>
            </w:r>
          </w:p>
        </w:tc>
        <w:tc>
          <w:tcPr>
            <w:tcW w:w="19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天辰公司、云南常青树化工有限公司或昆明东昇冶化有限责任公司</w:t>
            </w:r>
          </w:p>
        </w:tc>
        <w:tc>
          <w:tcPr>
            <w:tcW w:w="125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管道输送或</w:t>
            </w:r>
            <w:r>
              <w:rPr>
                <w:rFonts w:hAnsi="宋体"/>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2</w:t>
            </w:r>
          </w:p>
        </w:tc>
        <w:tc>
          <w:tcPr>
            <w:tcW w:w="9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氧化镁</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MgO＞80%</w:t>
            </w:r>
          </w:p>
        </w:tc>
        <w:tc>
          <w:tcPr>
            <w:tcW w:w="99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宋体" w:eastAsia="宋体" w:cs="Times New Roman"/>
                <w:color w:val="auto"/>
                <w:kern w:val="2"/>
                <w:sz w:val="21"/>
                <w:szCs w:val="21"/>
                <w:lang w:val="en-US" w:eastAsia="zh-CN" w:bidi="ar-SA"/>
              </w:rPr>
            </w:pPr>
            <w:r>
              <w:rPr>
                <w:rFonts w:hint="eastAsia" w:hAnsi="宋体"/>
                <w:color w:val="auto"/>
                <w:sz w:val="21"/>
                <w:szCs w:val="21"/>
                <w:lang w:val="en-US" w:eastAsia="zh-CN"/>
              </w:rPr>
              <w:t>427.9</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100 t</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原料库</w:t>
            </w:r>
          </w:p>
        </w:tc>
        <w:tc>
          <w:tcPr>
            <w:tcW w:w="19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外购</w:t>
            </w:r>
          </w:p>
        </w:tc>
        <w:tc>
          <w:tcPr>
            <w:tcW w:w="125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3</w:t>
            </w:r>
          </w:p>
        </w:tc>
        <w:tc>
          <w:tcPr>
            <w:tcW w:w="9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氧化钙</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合格品</w:t>
            </w:r>
          </w:p>
        </w:tc>
        <w:tc>
          <w:tcPr>
            <w:tcW w:w="99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宋体" w:eastAsia="宋体" w:cs="Times New Roman"/>
                <w:color w:val="auto"/>
                <w:kern w:val="2"/>
                <w:sz w:val="21"/>
                <w:szCs w:val="21"/>
                <w:lang w:val="en-US" w:eastAsia="zh-CN" w:bidi="ar-SA"/>
              </w:rPr>
            </w:pPr>
            <w:r>
              <w:rPr>
                <w:rFonts w:hint="eastAsia" w:hAnsi="宋体"/>
                <w:color w:val="auto"/>
                <w:sz w:val="21"/>
                <w:szCs w:val="21"/>
                <w:lang w:val="en-US" w:eastAsia="zh-CN"/>
              </w:rPr>
              <w:t>81.5</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10 t</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石灰库</w:t>
            </w:r>
          </w:p>
        </w:tc>
        <w:tc>
          <w:tcPr>
            <w:tcW w:w="19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int="eastAsia" w:hAnsi="宋体"/>
                <w:color w:val="auto"/>
                <w:sz w:val="21"/>
                <w:szCs w:val="21"/>
              </w:rPr>
              <w:t>外购</w:t>
            </w:r>
          </w:p>
        </w:tc>
        <w:tc>
          <w:tcPr>
            <w:tcW w:w="125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Ansi="宋体"/>
                <w:color w:val="auto"/>
                <w:sz w:val="21"/>
                <w:szCs w:val="21"/>
              </w:rPr>
            </w:pPr>
            <w:r>
              <w:rPr>
                <w:rFonts w:hAnsi="宋体"/>
                <w:color w:val="auto"/>
                <w:sz w:val="21"/>
                <w:szCs w:val="21"/>
              </w:rPr>
              <w:t>汽车运输</w:t>
            </w:r>
          </w:p>
        </w:tc>
      </w:tr>
    </w:tbl>
    <w:p>
      <w:pPr>
        <w:pStyle w:val="70"/>
        <w:ind w:firstLine="0" w:firstLineChars="0"/>
        <w:rPr>
          <w:color w:val="000000" w:themeColor="text1"/>
        </w:rPr>
      </w:pPr>
      <w:bookmarkStart w:id="411" w:name="_Toc128056385"/>
      <w:bookmarkStart w:id="412" w:name="_Toc17839"/>
      <w:bookmarkStart w:id="413" w:name="_Toc11555"/>
      <w:bookmarkStart w:id="414" w:name="_Toc29846"/>
    </w:p>
    <w:p>
      <w:pPr>
        <w:pStyle w:val="12"/>
        <w:rPr>
          <w:rFonts w:ascii="宋体" w:hAnsi="宋体"/>
          <w:color w:val="auto"/>
        </w:rPr>
      </w:pPr>
      <w:r>
        <w:rPr>
          <w:rFonts w:hint="eastAsia"/>
          <w:color w:val="000000" w:themeColor="text1"/>
          <w:szCs w:val="28"/>
        </w:rPr>
        <w:t>氟化分公司生产过程中涉及的主要产品为</w:t>
      </w:r>
      <w:r>
        <w:rPr>
          <w:rFonts w:hint="eastAsia" w:ascii="宋体" w:hAnsi="宋体"/>
          <w:color w:val="auto"/>
          <w:szCs w:val="28"/>
        </w:rPr>
        <w:t>氟硅酸镁、氟硅酸钠、氟硅酸钾、氟硅酸铵、氟硅酸锌、氟化钠</w:t>
      </w:r>
      <w:r>
        <w:rPr>
          <w:rFonts w:hint="eastAsia"/>
          <w:color w:val="000000" w:themeColor="text1"/>
          <w:szCs w:val="28"/>
        </w:rPr>
        <w:t>，</w:t>
      </w:r>
      <w:r>
        <w:rPr>
          <w:rFonts w:hint="eastAsia" w:ascii="宋体" w:hAnsi="宋体"/>
          <w:color w:val="auto"/>
        </w:rPr>
        <w:t>根据《危险化学品目录》（</w:t>
      </w:r>
      <w:r>
        <w:rPr>
          <w:rFonts w:hint="eastAsia"/>
          <w:lang w:val="en-US" w:eastAsia="zh-CN"/>
        </w:rPr>
        <w:t>2022调整版</w:t>
      </w:r>
      <w:r>
        <w:rPr>
          <w:rFonts w:hint="eastAsia" w:ascii="宋体" w:hAnsi="宋体"/>
          <w:color w:val="auto"/>
        </w:rPr>
        <w:t>）、《化学品分类和标签规范》(GB30000.2-2013～GB30000.29-2013)、《国家安全监管总局办公厅关于印发危险化学品名录2015版实施指南的通知》（安监总厅管三[2015]80号)，该公司生产的危险化学品主要为氟硅酸镁、氟硅酸。</w:t>
      </w:r>
      <w:r>
        <w:rPr>
          <w:rFonts w:hint="eastAsia" w:hAnsi="宋体"/>
          <w:color w:val="auto"/>
          <w:kern w:val="0"/>
          <w:szCs w:val="28"/>
        </w:rPr>
        <w:t>本次换证生产的危险化学品具体情况见</w:t>
      </w:r>
      <w:r>
        <w:rPr>
          <w:rFonts w:hint="eastAsia" w:ascii="宋体" w:hAnsi="宋体"/>
          <w:color w:val="auto"/>
        </w:rPr>
        <w:t>表2.4-1。</w:t>
      </w:r>
    </w:p>
    <w:p>
      <w:pPr>
        <w:ind w:firstLine="0" w:firstLineChars="0"/>
        <w:jc w:val="center"/>
        <w:rPr>
          <w:rFonts w:ascii="宋体" w:hAnsi="宋体"/>
          <w:b/>
          <w:bCs/>
          <w:color w:val="auto"/>
          <w:sz w:val="24"/>
        </w:rPr>
      </w:pPr>
      <w:r>
        <w:rPr>
          <w:rFonts w:hint="eastAsia" w:ascii="宋体" w:hAnsi="宋体"/>
          <w:b/>
          <w:bCs/>
          <w:color w:val="auto"/>
          <w:sz w:val="24"/>
        </w:rPr>
        <w:t>表2.</w:t>
      </w:r>
      <w:r>
        <w:rPr>
          <w:rFonts w:ascii="宋体" w:hAnsi="宋体"/>
          <w:b/>
          <w:bCs/>
          <w:color w:val="auto"/>
          <w:sz w:val="24"/>
        </w:rPr>
        <w:t>4</w:t>
      </w:r>
      <w:r>
        <w:rPr>
          <w:rFonts w:hint="eastAsia" w:ascii="宋体" w:hAnsi="宋体"/>
          <w:b/>
          <w:bCs/>
          <w:color w:val="auto"/>
          <w:sz w:val="24"/>
        </w:rPr>
        <w:t>-1  生产危险化学品种类一览表</w:t>
      </w:r>
    </w:p>
    <w:tbl>
      <w:tblPr>
        <w:tblStyle w:val="36"/>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873"/>
        <w:gridCol w:w="1081"/>
        <w:gridCol w:w="1489"/>
        <w:gridCol w:w="1217"/>
        <w:gridCol w:w="873"/>
        <w:gridCol w:w="1394"/>
        <w:gridCol w:w="773"/>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序号</w:t>
            </w:r>
          </w:p>
        </w:tc>
        <w:tc>
          <w:tcPr>
            <w:tcW w:w="873"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危化品目录号</w:t>
            </w:r>
          </w:p>
        </w:tc>
        <w:tc>
          <w:tcPr>
            <w:tcW w:w="108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品名</w:t>
            </w:r>
          </w:p>
        </w:tc>
        <w:tc>
          <w:tcPr>
            <w:tcW w:w="1489"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危险性类别</w:t>
            </w:r>
          </w:p>
        </w:tc>
        <w:tc>
          <w:tcPr>
            <w:tcW w:w="1217"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CAS号</w:t>
            </w:r>
          </w:p>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UN号</w:t>
            </w:r>
          </w:p>
        </w:tc>
        <w:tc>
          <w:tcPr>
            <w:tcW w:w="873"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最大储存量</w:t>
            </w:r>
          </w:p>
        </w:tc>
        <w:tc>
          <w:tcPr>
            <w:tcW w:w="139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包装形式规格</w:t>
            </w:r>
          </w:p>
        </w:tc>
        <w:tc>
          <w:tcPr>
            <w:tcW w:w="773"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经营形式</w:t>
            </w:r>
          </w:p>
        </w:tc>
        <w:tc>
          <w:tcPr>
            <w:tcW w:w="1060"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74" w:type="dxa"/>
            <w:shd w:val="clear" w:color="auto" w:fill="auto"/>
            <w:vAlign w:val="center"/>
          </w:tcPr>
          <w:p>
            <w:pPr>
              <w:tabs>
                <w:tab w:val="left" w:pos="2235"/>
              </w:tabs>
              <w:spacing w:line="240" w:lineRule="auto"/>
              <w:ind w:firstLine="0" w:firstLineChars="0"/>
              <w:jc w:val="left"/>
              <w:rPr>
                <w:rFonts w:ascii="宋体" w:hAnsi="宋体"/>
                <w:color w:val="auto"/>
                <w:sz w:val="21"/>
                <w:szCs w:val="21"/>
              </w:rPr>
            </w:pPr>
            <w:r>
              <w:rPr>
                <w:rFonts w:hint="eastAsia" w:ascii="宋体" w:hAnsi="宋体"/>
                <w:color w:val="auto"/>
                <w:sz w:val="21"/>
                <w:szCs w:val="21"/>
              </w:rPr>
              <w:t>1</w:t>
            </w:r>
          </w:p>
        </w:tc>
        <w:tc>
          <w:tcPr>
            <w:tcW w:w="873"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1336</w:t>
            </w:r>
          </w:p>
        </w:tc>
        <w:tc>
          <w:tcPr>
            <w:tcW w:w="1081" w:type="dxa"/>
            <w:shd w:val="clear" w:color="auto" w:fill="auto"/>
            <w:vAlign w:val="center"/>
          </w:tcPr>
          <w:p>
            <w:pPr>
              <w:tabs>
                <w:tab w:val="left" w:pos="2235"/>
              </w:tabs>
              <w:spacing w:line="240" w:lineRule="auto"/>
              <w:ind w:firstLine="0" w:firstLineChars="0"/>
              <w:jc w:val="left"/>
              <w:rPr>
                <w:rFonts w:ascii="宋体" w:hAnsi="宋体"/>
                <w:color w:val="auto"/>
                <w:sz w:val="21"/>
                <w:szCs w:val="21"/>
              </w:rPr>
            </w:pPr>
            <w:r>
              <w:rPr>
                <w:rFonts w:hint="eastAsia"/>
                <w:color w:val="auto"/>
                <w:sz w:val="21"/>
                <w:szCs w:val="21"/>
              </w:rPr>
              <w:t>氟硅酸镁</w:t>
            </w:r>
          </w:p>
        </w:tc>
        <w:tc>
          <w:tcPr>
            <w:tcW w:w="1489" w:type="dxa"/>
            <w:shd w:val="clear" w:color="auto" w:fill="auto"/>
            <w:vAlign w:val="center"/>
          </w:tcPr>
          <w:p>
            <w:pPr>
              <w:tabs>
                <w:tab w:val="left" w:pos="2235"/>
              </w:tabs>
              <w:spacing w:line="240" w:lineRule="auto"/>
              <w:ind w:firstLine="0" w:firstLineChars="0"/>
              <w:jc w:val="left"/>
              <w:rPr>
                <w:rFonts w:ascii="宋体" w:hAnsi="宋体"/>
                <w:color w:val="auto"/>
                <w:sz w:val="21"/>
                <w:szCs w:val="21"/>
              </w:rPr>
            </w:pPr>
            <w:r>
              <w:rPr>
                <w:color w:val="auto"/>
                <w:sz w:val="21"/>
                <w:szCs w:val="21"/>
              </w:rPr>
              <w:t>急性毒性</w:t>
            </w:r>
            <w:r>
              <w:rPr>
                <w:rFonts w:hint="eastAsia"/>
                <w:color w:val="auto"/>
                <w:sz w:val="21"/>
                <w:szCs w:val="21"/>
              </w:rPr>
              <w:t>-经口，类别3</w:t>
            </w:r>
          </w:p>
        </w:tc>
        <w:tc>
          <w:tcPr>
            <w:tcW w:w="1217"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16949-65-8</w:t>
            </w:r>
          </w:p>
          <w:p>
            <w:pPr>
              <w:tabs>
                <w:tab w:val="left" w:pos="2235"/>
              </w:tabs>
              <w:spacing w:line="240" w:lineRule="auto"/>
              <w:ind w:firstLine="0" w:firstLineChars="0"/>
              <w:jc w:val="left"/>
              <w:rPr>
                <w:color w:val="auto"/>
                <w:sz w:val="21"/>
                <w:szCs w:val="21"/>
              </w:rPr>
            </w:pPr>
            <w:r>
              <w:rPr>
                <w:rFonts w:hint="eastAsia"/>
                <w:color w:val="auto"/>
                <w:sz w:val="21"/>
                <w:szCs w:val="21"/>
              </w:rPr>
              <w:t>2853</w:t>
            </w:r>
          </w:p>
        </w:tc>
        <w:tc>
          <w:tcPr>
            <w:tcW w:w="873"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100t</w:t>
            </w:r>
          </w:p>
        </w:tc>
        <w:tc>
          <w:tcPr>
            <w:tcW w:w="1394"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塑料袋外复合塑料编织袋</w:t>
            </w:r>
          </w:p>
        </w:tc>
        <w:tc>
          <w:tcPr>
            <w:tcW w:w="773"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批发零售</w:t>
            </w:r>
          </w:p>
        </w:tc>
        <w:tc>
          <w:tcPr>
            <w:tcW w:w="1060"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374" w:type="dxa"/>
            <w:shd w:val="clear" w:color="auto" w:fill="auto"/>
            <w:vAlign w:val="center"/>
          </w:tcPr>
          <w:p>
            <w:pPr>
              <w:tabs>
                <w:tab w:val="left" w:pos="2235"/>
              </w:tabs>
              <w:spacing w:line="240" w:lineRule="auto"/>
              <w:ind w:firstLine="0" w:firstLineChars="0"/>
              <w:jc w:val="left"/>
              <w:rPr>
                <w:rFonts w:ascii="宋体" w:hAnsi="宋体"/>
                <w:color w:val="auto"/>
                <w:sz w:val="21"/>
                <w:szCs w:val="21"/>
              </w:rPr>
            </w:pPr>
            <w:r>
              <w:rPr>
                <w:rFonts w:hint="eastAsia" w:ascii="宋体" w:hAnsi="宋体"/>
                <w:color w:val="auto"/>
                <w:sz w:val="21"/>
                <w:szCs w:val="21"/>
              </w:rPr>
              <w:t>2</w:t>
            </w:r>
          </w:p>
        </w:tc>
        <w:tc>
          <w:tcPr>
            <w:tcW w:w="873"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740</w:t>
            </w:r>
          </w:p>
        </w:tc>
        <w:tc>
          <w:tcPr>
            <w:tcW w:w="1081"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氟硅酸</w:t>
            </w:r>
          </w:p>
        </w:tc>
        <w:tc>
          <w:tcPr>
            <w:tcW w:w="1489"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皮肤腐蚀/刺激,类别1B</w:t>
            </w:r>
          </w:p>
          <w:p>
            <w:pPr>
              <w:tabs>
                <w:tab w:val="left" w:pos="2235"/>
              </w:tabs>
              <w:spacing w:line="240" w:lineRule="auto"/>
              <w:ind w:firstLine="0" w:firstLineChars="0"/>
              <w:jc w:val="left"/>
              <w:rPr>
                <w:color w:val="auto"/>
                <w:sz w:val="21"/>
                <w:szCs w:val="21"/>
              </w:rPr>
            </w:pPr>
            <w:r>
              <w:rPr>
                <w:rFonts w:hint="eastAsia"/>
                <w:color w:val="auto"/>
                <w:sz w:val="21"/>
                <w:szCs w:val="21"/>
              </w:rPr>
              <w:t>严重眼损伤/眼刺激,类别1</w:t>
            </w:r>
          </w:p>
        </w:tc>
        <w:tc>
          <w:tcPr>
            <w:tcW w:w="1217"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16961-83-4</w:t>
            </w:r>
          </w:p>
        </w:tc>
        <w:tc>
          <w:tcPr>
            <w:tcW w:w="873" w:type="dxa"/>
            <w:shd w:val="clear" w:color="auto" w:fill="auto"/>
            <w:vAlign w:val="center"/>
          </w:tcPr>
          <w:p>
            <w:pPr>
              <w:tabs>
                <w:tab w:val="left" w:pos="2235"/>
              </w:tabs>
              <w:spacing w:line="240" w:lineRule="auto"/>
              <w:ind w:firstLine="0" w:firstLineChars="0"/>
              <w:jc w:val="left"/>
              <w:rPr>
                <w:color w:val="auto"/>
                <w:sz w:val="21"/>
                <w:szCs w:val="21"/>
                <w:vertAlign w:val="superscript"/>
              </w:rPr>
            </w:pPr>
            <w:r>
              <w:rPr>
                <w:rFonts w:hint="eastAsia"/>
                <w:color w:val="auto"/>
                <w:sz w:val="21"/>
                <w:szCs w:val="21"/>
              </w:rPr>
              <w:t>150m</w:t>
            </w:r>
            <w:r>
              <w:rPr>
                <w:rFonts w:hint="eastAsia"/>
                <w:color w:val="auto"/>
                <w:sz w:val="21"/>
                <w:szCs w:val="21"/>
                <w:vertAlign w:val="superscript"/>
              </w:rPr>
              <w:t>3</w:t>
            </w:r>
          </w:p>
        </w:tc>
        <w:tc>
          <w:tcPr>
            <w:tcW w:w="1394"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罐车</w:t>
            </w:r>
          </w:p>
        </w:tc>
        <w:tc>
          <w:tcPr>
            <w:tcW w:w="773"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批发零售</w:t>
            </w:r>
          </w:p>
        </w:tc>
        <w:tc>
          <w:tcPr>
            <w:tcW w:w="1060"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汽车运输</w:t>
            </w:r>
          </w:p>
        </w:tc>
      </w:tr>
    </w:tbl>
    <w:p>
      <w:pPr>
        <w:pStyle w:val="70"/>
        <w:ind w:firstLine="560"/>
        <w:rPr>
          <w:color w:val="000000" w:themeColor="text1"/>
          <w:szCs w:val="28"/>
        </w:rPr>
      </w:pPr>
    </w:p>
    <w:p>
      <w:pPr>
        <w:pStyle w:val="4"/>
        <w:ind w:firstLine="562"/>
        <w:rPr>
          <w:color w:val="000000" w:themeColor="text1"/>
        </w:rPr>
      </w:pPr>
      <w:bookmarkStart w:id="415" w:name="_Toc11294"/>
      <w:bookmarkStart w:id="416" w:name="_Toc20990"/>
      <w:bookmarkStart w:id="417" w:name="_Toc10248"/>
      <w:bookmarkStart w:id="418" w:name="_Toc20197"/>
      <w:bookmarkStart w:id="419" w:name="_Toc25999"/>
      <w:bookmarkStart w:id="420" w:name="_Toc10902"/>
      <w:bookmarkStart w:id="421" w:name="_Toc18613"/>
      <w:bookmarkStart w:id="422" w:name="_Toc16205"/>
      <w:bookmarkStart w:id="423" w:name="_Toc9554"/>
      <w:bookmarkStart w:id="424" w:name="_Toc32659"/>
      <w:bookmarkStart w:id="425" w:name="_Toc9078"/>
      <w:bookmarkStart w:id="426" w:name="_Toc20584"/>
      <w:bookmarkStart w:id="427" w:name="_Toc5775"/>
      <w:bookmarkStart w:id="428" w:name="_Toc7027"/>
      <w:bookmarkStart w:id="429" w:name="_Toc18767"/>
      <w:bookmarkStart w:id="430" w:name="_Toc5094"/>
      <w:bookmarkStart w:id="431" w:name="_Toc20614"/>
      <w:bookmarkStart w:id="432" w:name="_Toc23257"/>
      <w:bookmarkStart w:id="433" w:name="_Toc5792"/>
      <w:bookmarkStart w:id="434" w:name="_Toc30106"/>
      <w:r>
        <w:rPr>
          <w:rFonts w:hint="eastAsia"/>
          <w:color w:val="000000" w:themeColor="text1"/>
        </w:rPr>
        <w:t>2.5 生产工艺</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pPr>
        <w:ind w:firstLine="560"/>
        <w:rPr>
          <w:rFonts w:hAnsi="宋体"/>
          <w:color w:val="000000" w:themeColor="text1"/>
          <w:szCs w:val="28"/>
        </w:rPr>
      </w:pPr>
      <w:r>
        <w:rPr>
          <w:rFonts w:hint="eastAsia" w:hAnsi="宋体"/>
          <w:color w:val="000000" w:themeColor="text1"/>
          <w:szCs w:val="28"/>
        </w:rPr>
        <w:t>生产工艺流程描述如下：</w:t>
      </w:r>
    </w:p>
    <w:p>
      <w:pPr>
        <w:pStyle w:val="6"/>
        <w:keepNext w:val="0"/>
        <w:ind w:firstLine="562"/>
        <w:rPr>
          <w:szCs w:val="20"/>
        </w:rPr>
      </w:pPr>
      <w:bookmarkStart w:id="435" w:name="_Toc30423"/>
      <w:bookmarkStart w:id="436" w:name="_Toc2003"/>
      <w:bookmarkStart w:id="437" w:name="_Toc10599"/>
      <w:bookmarkStart w:id="438" w:name="_Toc3072"/>
      <w:bookmarkStart w:id="439" w:name="_Toc31496"/>
      <w:bookmarkStart w:id="440" w:name="_Toc17187"/>
      <w:bookmarkStart w:id="441" w:name="_Toc32654"/>
      <w:bookmarkStart w:id="442" w:name="_Toc23427"/>
      <w:bookmarkStart w:id="443" w:name="_Toc16599"/>
      <w:bookmarkStart w:id="444" w:name="_Toc28531"/>
      <w:bookmarkStart w:id="445" w:name="_Toc14383"/>
      <w:bookmarkStart w:id="446" w:name="_Toc32493"/>
      <w:bookmarkStart w:id="447" w:name="_Toc21420"/>
      <w:bookmarkStart w:id="448" w:name="_Toc6185"/>
      <w:bookmarkStart w:id="449" w:name="_Toc5334"/>
      <w:bookmarkStart w:id="450" w:name="_Toc20019"/>
      <w:r>
        <w:rPr>
          <w:szCs w:val="20"/>
        </w:rPr>
        <w:t xml:space="preserve"> </w:t>
      </w:r>
      <w:r>
        <w:rPr>
          <w:rFonts w:hint="eastAsia"/>
          <w:szCs w:val="20"/>
        </w:rPr>
        <w:t xml:space="preserve">2.5.1 </w:t>
      </w:r>
      <w:r>
        <w:rPr>
          <w:szCs w:val="20"/>
        </w:rPr>
        <w:t>氟硅酸镁生产工艺</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1）中和</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自</w:t>
      </w:r>
      <w:r>
        <w:rPr>
          <w:rFonts w:hint="eastAsia" w:ascii="宋体" w:hAnsi="宋体" w:eastAsia="宋体" w:cs="宋体"/>
          <w:color w:val="auto"/>
          <w:szCs w:val="28"/>
          <w:u w:color="000000"/>
        </w:rPr>
        <w:t>天辰公司</w:t>
      </w:r>
      <w:r>
        <w:rPr>
          <w:rFonts w:hint="eastAsia" w:ascii="宋体" w:hAnsi="宋体" w:eastAsia="宋体" w:cs="宋体"/>
          <w:color w:val="auto"/>
          <w:szCs w:val="28"/>
          <w:u w:color="000000"/>
          <w:lang w:val="en-US" w:eastAsia="zh-CN"/>
        </w:rPr>
        <w:t>或外购来</w:t>
      </w:r>
      <w:r>
        <w:rPr>
          <w:rFonts w:hint="eastAsia" w:ascii="宋体" w:hAnsi="宋体" w:eastAsia="宋体" w:cs="宋体"/>
          <w:color w:val="auto"/>
          <w:kern w:val="0"/>
          <w:szCs w:val="28"/>
        </w:rPr>
        <w:t>的氟硅酸溶液进入氟硅酸池待用，通过泵将氟硅酸溶液加入中和槽内，再加入适量氧化镁进行中和反应，不断搅拌，调节PH值至3～4，取样分析合格后，送板框压滤机进行液固分离；滤液即氟硅酸镁溶液送清液池</w:t>
      </w:r>
      <w:r>
        <w:rPr>
          <w:rFonts w:hint="eastAsia" w:ascii="宋体" w:hAnsi="宋体" w:eastAsia="宋体" w:cs="宋体"/>
          <w:color w:val="auto"/>
          <w:kern w:val="0"/>
          <w:szCs w:val="28"/>
          <w:lang w:eastAsia="zh-CN"/>
        </w:rPr>
        <w:t>，</w:t>
      </w:r>
      <w:r>
        <w:rPr>
          <w:rFonts w:hint="eastAsia" w:ascii="宋体" w:hAnsi="宋体" w:eastAsia="宋体" w:cs="宋体"/>
          <w:color w:val="auto"/>
          <w:kern w:val="0"/>
          <w:szCs w:val="28"/>
        </w:rPr>
        <w:t>滤渣用循环水清洗</w:t>
      </w:r>
      <w:r>
        <w:rPr>
          <w:rFonts w:hint="eastAsia" w:ascii="宋体" w:hAnsi="宋体" w:eastAsia="宋体" w:cs="宋体"/>
          <w:color w:val="auto"/>
          <w:kern w:val="0"/>
          <w:szCs w:val="28"/>
          <w:lang w:eastAsia="zh-CN"/>
        </w:rPr>
        <w:t>，</w:t>
      </w:r>
      <w:r>
        <w:rPr>
          <w:rFonts w:hint="eastAsia" w:ascii="宋体" w:hAnsi="宋体" w:eastAsia="宋体" w:cs="宋体"/>
          <w:color w:val="auto"/>
          <w:kern w:val="0"/>
          <w:szCs w:val="28"/>
        </w:rPr>
        <w:t>清洗后的循环水内含有少量氟硅酸，加入氧化钙，除酸，通过压滤机压滤出的清水回清液池待用，滤渣重复上述操作一次后经收集到定量后，集中送至</w:t>
      </w:r>
      <w:r>
        <w:rPr>
          <w:rFonts w:hint="eastAsia" w:ascii="宋体" w:hAnsi="宋体" w:eastAsia="宋体" w:cs="宋体"/>
          <w:color w:val="auto"/>
          <w:szCs w:val="28"/>
          <w:u w:color="000000"/>
        </w:rPr>
        <w:t>天辰公司</w:t>
      </w:r>
      <w:r>
        <w:rPr>
          <w:rFonts w:hint="eastAsia" w:ascii="宋体" w:hAnsi="宋体" w:eastAsia="宋体" w:cs="宋体"/>
          <w:color w:val="auto"/>
          <w:kern w:val="0"/>
          <w:szCs w:val="28"/>
        </w:rPr>
        <w:t>磷石膏渣场统一堆存。</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2）浓缩结晶</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将清液池中氟硅酸镁溶液用泵送至蒸发器，向蒸发器通入蒸汽进行蒸发浓缩（蒸汽压力不得超过0.3MPa），经测量密度达到规定值(39Be)后放入结</w:t>
      </w:r>
      <w:r>
        <w:rPr>
          <w:rFonts w:hint="eastAsia" w:ascii="宋体" w:hAnsi="宋体" w:eastAsia="宋体" w:cs="宋体"/>
          <w:color w:val="auto"/>
          <w:kern w:val="0"/>
          <w:szCs w:val="28"/>
          <w:lang w:val="en-US" w:eastAsia="zh-CN"/>
        </w:rPr>
        <w:t>晶</w:t>
      </w:r>
      <w:r>
        <w:rPr>
          <w:rFonts w:hint="eastAsia" w:ascii="宋体" w:hAnsi="宋体" w:eastAsia="宋体" w:cs="宋体"/>
          <w:color w:val="auto"/>
          <w:kern w:val="0"/>
          <w:szCs w:val="28"/>
        </w:rPr>
        <w:t>槽，搅拌冷却结晶；在槽内冷却至常温并慢慢析出结晶，自流进入</w:t>
      </w:r>
      <w:r>
        <w:rPr>
          <w:rFonts w:hint="eastAsia" w:ascii="宋体" w:hAnsi="宋体" w:eastAsia="宋体" w:cs="宋体"/>
          <w:color w:val="auto"/>
          <w:kern w:val="0"/>
          <w:szCs w:val="28"/>
          <w:lang w:val="en-US" w:eastAsia="zh-CN"/>
        </w:rPr>
        <w:t>品</w:t>
      </w:r>
      <w:r>
        <w:rPr>
          <w:rFonts w:hint="eastAsia" w:ascii="宋体" w:hAnsi="宋体" w:eastAsia="宋体" w:cs="宋体"/>
          <w:color w:val="auto"/>
          <w:kern w:val="0"/>
          <w:szCs w:val="28"/>
        </w:rPr>
        <w:t>浆槽，送离心机分离，母液返回氟硅酸池循环使用，晶体送气流干燥器。浓缩过程氟硅酸镁受热会分解出少量的氟化氢和四氟化硅气体，经尾气回收系统处理后排放。</w:t>
      </w:r>
      <w:commentRangeStart w:id="2"/>
      <w:r>
        <w:rPr>
          <w:rFonts w:hint="eastAsia"/>
          <w:color w:val="FF0000"/>
          <w:u w:val="none" w:color="auto"/>
          <w:lang w:val="en-US" w:eastAsia="zh-CN"/>
        </w:rPr>
        <w:t>尾气回收干燥工段使用两级旋风+布袋+水膜的除尘系统进行处置；浓缩工段使用冷却+水洗的废气处置设施进行处置。</w:t>
      </w:r>
      <w:commentRangeEnd w:id="2"/>
      <w:r>
        <w:commentReference w:id="2"/>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3）干燥包装</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Cs w:val="28"/>
        </w:rPr>
      </w:pPr>
      <w:r>
        <w:rPr>
          <w:rFonts w:hint="eastAsia" w:ascii="宋体" w:hAnsi="宋体" w:eastAsia="宋体" w:cs="宋体"/>
          <w:color w:val="auto"/>
          <w:kern w:val="0"/>
          <w:szCs w:val="28"/>
        </w:rPr>
        <w:t>来自离心机的晶体送气流干燥器，在一定温度条件（60-80℃）进行干燥，氟硅酸镁合格品经计量、包装，入库</w:t>
      </w:r>
      <w:r>
        <w:rPr>
          <w:rFonts w:hint="eastAsia" w:ascii="宋体" w:hAnsi="宋体" w:cs="宋体"/>
          <w:color w:val="auto"/>
          <w:kern w:val="0"/>
          <w:szCs w:val="28"/>
          <w:lang w:val="en-US" w:eastAsia="zh-CN"/>
        </w:rPr>
        <w:t>待</w:t>
      </w:r>
      <w:r>
        <w:rPr>
          <w:rFonts w:hint="eastAsia" w:ascii="宋体" w:hAnsi="宋体" w:eastAsia="宋体" w:cs="宋体"/>
          <w:color w:val="auto"/>
          <w:kern w:val="0"/>
          <w:szCs w:val="28"/>
        </w:rPr>
        <w:t>售；少量不合格品返回氟硅酸池循环使用。</w:t>
      </w:r>
    </w:p>
    <w:p>
      <w:pPr>
        <w:topLinePunct/>
        <w:adjustRightInd/>
        <w:ind w:firstLine="560"/>
        <w:rPr>
          <w:rFonts w:ascii="宋体" w:hAnsi="宋体"/>
          <w:color w:val="auto"/>
          <w:kern w:val="0"/>
          <w:szCs w:val="28"/>
        </w:rPr>
      </w:pPr>
      <w:r>
        <w:rPr>
          <w:rFonts w:hint="eastAsia" w:ascii="宋体" w:hAnsi="宋体"/>
          <w:color w:val="auto"/>
          <w:kern w:val="0"/>
          <w:szCs w:val="28"/>
        </w:rPr>
        <w:t>其方框流程图见下图2.5-1。</w:t>
      </w:r>
    </w:p>
    <w:p>
      <w:pPr>
        <w:adjustRightInd/>
        <w:snapToGrid/>
        <w:ind w:firstLine="280" w:firstLineChars="100"/>
        <w:rPr>
          <w:rFonts w:ascii="Tahoma" w:hAnsi="Tahoma" w:cs="Tahoma"/>
          <w:color w:val="auto"/>
        </w:rPr>
      </w:pPr>
      <w:r>
        <w:rPr>
          <w:rFonts w:ascii="Tahoma" w:hAnsi="Tahoma" w:cs="Tahoma"/>
          <w:color w:val="auto"/>
        </w:rPr>
        <w:drawing>
          <wp:inline distT="0" distB="0" distL="0" distR="0">
            <wp:extent cx="5400675" cy="33045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0" cstate="print"/>
                    <a:srcRect l="3994" t="6163" r="4317" b="6448"/>
                    <a:stretch>
                      <a:fillRect/>
                    </a:stretch>
                  </pic:blipFill>
                  <pic:spPr>
                    <a:xfrm>
                      <a:off x="0" y="0"/>
                      <a:ext cx="5400675" cy="3304540"/>
                    </a:xfrm>
                    <a:prstGeom prst="rect">
                      <a:avLst/>
                    </a:prstGeom>
                    <a:ln>
                      <a:noFill/>
                    </a:ln>
                  </pic:spPr>
                </pic:pic>
              </a:graphicData>
            </a:graphic>
          </wp:inline>
        </w:drawing>
      </w:r>
    </w:p>
    <w:p>
      <w:pPr>
        <w:adjustRightInd/>
        <w:ind w:firstLine="0" w:firstLineChars="0"/>
        <w:jc w:val="center"/>
        <w:rPr>
          <w:rFonts w:ascii="宋体" w:hAnsi="宋体"/>
          <w:b/>
          <w:bCs/>
          <w:color w:val="auto"/>
          <w:sz w:val="24"/>
        </w:rPr>
      </w:pPr>
      <w:r>
        <w:rPr>
          <w:rFonts w:hint="eastAsia" w:ascii="宋体" w:hAnsi="宋体"/>
          <w:b/>
          <w:bCs/>
          <w:color w:val="auto"/>
          <w:sz w:val="24"/>
        </w:rPr>
        <w:t>图2.5-1  氟硅酸镁生产工艺流程图</w:t>
      </w:r>
    </w:p>
    <w:p>
      <w:pPr>
        <w:pStyle w:val="6"/>
        <w:keepNext w:val="0"/>
        <w:ind w:firstLine="562"/>
        <w:rPr>
          <w:szCs w:val="20"/>
        </w:rPr>
      </w:pPr>
      <w:r>
        <w:rPr>
          <w:rFonts w:hint="eastAsia"/>
          <w:szCs w:val="20"/>
        </w:rPr>
        <w:t>2.5.2</w:t>
      </w:r>
      <w:r>
        <w:rPr>
          <w:szCs w:val="20"/>
        </w:rPr>
        <w:t xml:space="preserve"> 氟硅酸生产工艺</w:t>
      </w:r>
    </w:p>
    <w:p>
      <w:pPr>
        <w:topLinePunct/>
        <w:adjustRightInd/>
        <w:ind w:firstLine="560"/>
        <w:rPr>
          <w:rFonts w:ascii="宋体" w:hAnsi="宋体"/>
          <w:color w:val="auto"/>
          <w:kern w:val="0"/>
          <w:szCs w:val="28"/>
        </w:rPr>
      </w:pPr>
      <w:r>
        <w:rPr>
          <w:rFonts w:hint="eastAsia" w:hAnsi="宋体"/>
          <w:color w:val="auto"/>
          <w:kern w:val="0"/>
          <w:szCs w:val="28"/>
        </w:rPr>
        <w:t>氟硅酸的生产与氟硅酸镁使用同一套装置，两者不能同时生产，但生产装置能满足两者生产能力。首先，将一定量的(浓度10%左右)氟硅酸用泵加入(氟硅酸镁)中和槽内，送板框压滤机进行液固分离；滤渣经收集到一定量后集中送天辰公司磷石膏渣场统一堆存。滤液送清液池，经泵送入蒸发器，通入蒸汽进行蒸发浓缩(蒸汽压力不得超过0.3MPa)，经测量密度达到规定值后放入(氟硅酸镁)结晶槽，搅拌冷却后，送离心机分离，清液即为产品氟硅酸，装槽车外运或作为氟硅酸镁生产原料使用。滤渣送天辰公司渣场。生产过程中氟硅酸受热会分解出少量的氟化氢和四氟化硅气体经吸收达标后排入大气。</w:t>
      </w:r>
      <w:r>
        <w:rPr>
          <w:rFonts w:hint="eastAsia" w:ascii="宋体" w:hAnsi="宋体"/>
          <w:color w:val="auto"/>
          <w:kern w:val="0"/>
          <w:szCs w:val="28"/>
        </w:rPr>
        <w:t>其流程方框图见下图2.5-2。</w:t>
      </w:r>
    </w:p>
    <w:p>
      <w:pPr>
        <w:ind w:firstLine="560"/>
        <w:rPr>
          <w:rFonts w:hAnsi="宋体"/>
          <w:color w:val="auto"/>
          <w:kern w:val="0"/>
          <w:szCs w:val="28"/>
        </w:rPr>
      </w:pPr>
    </w:p>
    <w:p>
      <w:pPr>
        <w:ind w:firstLine="198" w:firstLineChars="71"/>
        <w:rPr>
          <w:rFonts w:hAnsi="宋体"/>
          <w:color w:val="auto"/>
          <w:kern w:val="0"/>
          <w:szCs w:val="28"/>
        </w:rPr>
      </w:pPr>
      <w:r>
        <w:rPr>
          <w:rFonts w:hAnsi="宋体"/>
          <w:color w:val="auto"/>
          <w:kern w:val="0"/>
          <w:szCs w:val="28"/>
        </w:rPr>
        <w:drawing>
          <wp:inline distT="0" distB="0" distL="0" distR="0">
            <wp:extent cx="5341620" cy="311086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1" cstate="print"/>
                    <a:srcRect t="9308" r="1346" b="8384"/>
                    <a:stretch>
                      <a:fillRect/>
                    </a:stretch>
                  </pic:blipFill>
                  <pic:spPr>
                    <a:xfrm>
                      <a:off x="0" y="0"/>
                      <a:ext cx="5341820" cy="3110865"/>
                    </a:xfrm>
                    <a:prstGeom prst="rect">
                      <a:avLst/>
                    </a:prstGeom>
                    <a:ln>
                      <a:noFill/>
                    </a:ln>
                  </pic:spPr>
                </pic:pic>
              </a:graphicData>
            </a:graphic>
          </wp:inline>
        </w:drawing>
      </w:r>
    </w:p>
    <w:p>
      <w:pPr>
        <w:adjustRightInd/>
        <w:ind w:firstLine="0" w:firstLineChars="0"/>
        <w:jc w:val="center"/>
        <w:rPr>
          <w:rFonts w:hAnsi="宋体"/>
          <w:b/>
          <w:bCs/>
          <w:color w:val="auto"/>
          <w:kern w:val="0"/>
          <w:sz w:val="24"/>
        </w:rPr>
      </w:pPr>
      <w:r>
        <w:rPr>
          <w:rFonts w:hint="eastAsia" w:ascii="宋体" w:hAnsi="宋体"/>
          <w:b/>
          <w:bCs/>
          <w:color w:val="auto"/>
          <w:sz w:val="24"/>
        </w:rPr>
        <w:t>图2.5-2  氟硅酸生产工艺流程图</w:t>
      </w:r>
    </w:p>
    <w:p>
      <w:pPr>
        <w:pStyle w:val="4"/>
        <w:ind w:firstLine="562"/>
      </w:pPr>
      <w:bookmarkStart w:id="451" w:name="_Toc16081"/>
      <w:bookmarkStart w:id="452" w:name="_Toc18283"/>
      <w:bookmarkStart w:id="453" w:name="_Toc3639"/>
      <w:bookmarkStart w:id="454" w:name="_Toc22069"/>
      <w:r>
        <w:rPr>
          <w:rFonts w:hint="eastAsia"/>
        </w:rPr>
        <w:t>2.6 生产过程控制</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pPr>
        <w:pStyle w:val="76"/>
        <w:ind w:firstLine="640"/>
        <w:rPr>
          <w:rFonts w:hAnsi="宋体"/>
          <w:color w:val="000000" w:themeColor="text1"/>
          <w:spacing w:val="0"/>
          <w:sz w:val="28"/>
          <w:szCs w:val="28"/>
        </w:rPr>
      </w:pPr>
      <w:r>
        <w:rPr>
          <w:rFonts w:hint="eastAsia" w:hAnsi="宋体"/>
          <w:color w:val="000000" w:themeColor="text1"/>
          <w:sz w:val="28"/>
          <w:szCs w:val="28"/>
        </w:rPr>
        <w:t>氟化分公司</w:t>
      </w:r>
      <w:r>
        <w:rPr>
          <w:rFonts w:hint="eastAsia" w:hAnsi="宋体"/>
          <w:color w:val="000000" w:themeColor="text1"/>
          <w:spacing w:val="0"/>
          <w:sz w:val="28"/>
          <w:szCs w:val="28"/>
        </w:rPr>
        <w:t>生产装置属于连续化生产装置，生产过程中的介质具有有毒有害等性质，生产装置的自动控制采用就地检测</w:t>
      </w:r>
      <w:r>
        <w:rPr>
          <w:rFonts w:hint="eastAsia" w:hAnsi="宋体"/>
          <w:color w:val="000000" w:themeColor="text1"/>
          <w:spacing w:val="0"/>
          <w:sz w:val="28"/>
          <w:szCs w:val="28"/>
          <w:lang w:val="en-US" w:eastAsia="zh-CN"/>
        </w:rPr>
        <w:t>和</w:t>
      </w:r>
      <w:r>
        <w:rPr>
          <w:rFonts w:hint="eastAsia" w:hAnsi="宋体"/>
          <w:color w:val="000000" w:themeColor="text1"/>
          <w:spacing w:val="0"/>
          <w:sz w:val="28"/>
          <w:szCs w:val="28"/>
        </w:rPr>
        <w:t>集中检测相结合。</w:t>
      </w:r>
    </w:p>
    <w:p>
      <w:pPr>
        <w:pStyle w:val="4"/>
        <w:ind w:firstLine="562"/>
      </w:pPr>
      <w:bookmarkStart w:id="455" w:name="_Toc7145"/>
      <w:bookmarkStart w:id="456" w:name="_Toc8722"/>
      <w:bookmarkStart w:id="457" w:name="_Toc13886"/>
      <w:bookmarkStart w:id="458" w:name="_Toc6863"/>
      <w:bookmarkStart w:id="459" w:name="_Toc30316"/>
      <w:bookmarkStart w:id="460" w:name="_Toc13941"/>
      <w:bookmarkStart w:id="461" w:name="_Toc20545"/>
      <w:bookmarkStart w:id="462" w:name="_Toc21313"/>
      <w:bookmarkStart w:id="463" w:name="_Toc1784"/>
      <w:bookmarkStart w:id="464" w:name="_Toc5858"/>
      <w:bookmarkStart w:id="465" w:name="_Toc22736"/>
      <w:bookmarkStart w:id="466" w:name="_Toc27580"/>
      <w:bookmarkStart w:id="467" w:name="_Toc30465"/>
      <w:bookmarkStart w:id="468" w:name="_Toc32737"/>
      <w:bookmarkStart w:id="469" w:name="_Toc5667"/>
      <w:bookmarkStart w:id="470" w:name="_Toc118297907"/>
      <w:bookmarkStart w:id="471" w:name="_Toc13901"/>
      <w:bookmarkStart w:id="472" w:name="_Toc23240"/>
      <w:bookmarkStart w:id="473" w:name="_Toc18686"/>
      <w:bookmarkStart w:id="474" w:name="_Toc9580"/>
      <w:bookmarkStart w:id="475" w:name="_Toc8206"/>
      <w:r>
        <w:rPr>
          <w:rFonts w:hint="eastAsia"/>
        </w:rPr>
        <w:t>2.7 主要建构筑物及设施设备</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pPr>
        <w:pStyle w:val="5"/>
        <w:ind w:firstLine="562"/>
      </w:pPr>
      <w:bookmarkStart w:id="476" w:name="_Toc11534"/>
      <w:bookmarkStart w:id="477" w:name="_Toc5709"/>
      <w:bookmarkStart w:id="478" w:name="_Toc3368"/>
      <w:bookmarkStart w:id="479" w:name="_Toc118297908"/>
      <w:bookmarkStart w:id="480" w:name="_Toc19904"/>
      <w:bookmarkStart w:id="481" w:name="_Toc10745"/>
      <w:bookmarkStart w:id="482" w:name="_Toc13217"/>
      <w:bookmarkStart w:id="483" w:name="_Toc19013"/>
      <w:bookmarkStart w:id="484" w:name="_Toc31636"/>
      <w:bookmarkStart w:id="485" w:name="_Toc15430"/>
      <w:bookmarkStart w:id="486" w:name="_Toc8155"/>
      <w:r>
        <w:rPr>
          <w:rFonts w:hint="eastAsia"/>
        </w:rPr>
        <w:t>2.7.1 主要建构筑物</w:t>
      </w:r>
      <w:bookmarkEnd w:id="476"/>
      <w:bookmarkEnd w:id="477"/>
      <w:bookmarkEnd w:id="478"/>
      <w:bookmarkEnd w:id="479"/>
      <w:bookmarkEnd w:id="480"/>
      <w:bookmarkEnd w:id="481"/>
      <w:bookmarkEnd w:id="482"/>
      <w:bookmarkEnd w:id="483"/>
      <w:bookmarkEnd w:id="484"/>
      <w:bookmarkEnd w:id="485"/>
      <w:bookmarkEnd w:id="486"/>
    </w:p>
    <w:bookmarkEnd w:id="394"/>
    <w:bookmarkEnd w:id="395"/>
    <w:bookmarkEnd w:id="396"/>
    <w:bookmarkEnd w:id="397"/>
    <w:p>
      <w:pPr>
        <w:spacing w:before="50" w:after="50"/>
        <w:ind w:firstLine="574" w:firstLineChars="205"/>
        <w:rPr>
          <w:color w:val="000000" w:themeColor="text1"/>
          <w:szCs w:val="28"/>
        </w:rPr>
      </w:pPr>
      <w:r>
        <w:rPr>
          <w:rFonts w:hint="eastAsia"/>
          <w:color w:val="000000" w:themeColor="text1"/>
          <w:szCs w:val="28"/>
        </w:rPr>
        <w:t>氟化分公司的主要建、构筑物情况见表2.7-1</w:t>
      </w:r>
    </w:p>
    <w:p>
      <w:pPr>
        <w:ind w:firstLine="0" w:firstLineChars="0"/>
        <w:jc w:val="center"/>
        <w:rPr>
          <w:rFonts w:ascii="宋体" w:hAnsi="宋体"/>
          <w:b/>
          <w:bCs/>
          <w:color w:val="auto"/>
          <w:sz w:val="24"/>
        </w:rPr>
      </w:pPr>
      <w:bookmarkStart w:id="487" w:name="_Toc27380"/>
      <w:bookmarkStart w:id="488" w:name="_Toc31435"/>
      <w:bookmarkStart w:id="489" w:name="_Toc12115"/>
      <w:bookmarkStart w:id="490" w:name="_Toc20534"/>
      <w:bookmarkStart w:id="491" w:name="_Toc16815"/>
      <w:bookmarkStart w:id="492" w:name="_Toc28609"/>
      <w:bookmarkStart w:id="493" w:name="_Toc128056388"/>
      <w:bookmarkStart w:id="494" w:name="_Toc14995"/>
      <w:bookmarkStart w:id="495" w:name="_Toc11311"/>
      <w:bookmarkStart w:id="496" w:name="_Toc17290"/>
      <w:r>
        <w:rPr>
          <w:rFonts w:hint="eastAsia" w:ascii="宋体" w:hAnsi="宋体"/>
          <w:b/>
          <w:bCs/>
          <w:color w:val="auto"/>
          <w:sz w:val="24"/>
        </w:rPr>
        <w:t>表2.7-1</w:t>
      </w:r>
      <w:r>
        <w:rPr>
          <w:rFonts w:ascii="宋体" w:hAnsi="宋体"/>
          <w:b/>
          <w:bCs/>
          <w:color w:val="auto"/>
          <w:sz w:val="24"/>
        </w:rPr>
        <w:t xml:space="preserve"> </w:t>
      </w:r>
      <w:r>
        <w:rPr>
          <w:rFonts w:hint="eastAsia" w:ascii="宋体" w:hAnsi="宋体"/>
          <w:b/>
          <w:bCs/>
          <w:color w:val="auto"/>
          <w:sz w:val="24"/>
        </w:rPr>
        <w:t xml:space="preserve"> 主要建构筑物一览表</w:t>
      </w:r>
    </w:p>
    <w:tbl>
      <w:tblPr>
        <w:tblStyle w:val="36"/>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159"/>
        <w:gridCol w:w="910"/>
        <w:gridCol w:w="1296"/>
        <w:gridCol w:w="1296"/>
        <w:gridCol w:w="1296"/>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819"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建筑物名称</w:t>
            </w:r>
          </w:p>
        </w:tc>
        <w:tc>
          <w:tcPr>
            <w:tcW w:w="1159"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建筑结构</w:t>
            </w:r>
          </w:p>
        </w:tc>
        <w:tc>
          <w:tcPr>
            <w:tcW w:w="910"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层数</w:t>
            </w:r>
          </w:p>
        </w:tc>
        <w:tc>
          <w:tcPr>
            <w:tcW w:w="1296"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建筑面积/m</w:t>
            </w:r>
            <w:r>
              <w:rPr>
                <w:rFonts w:hint="eastAsia" w:ascii="宋体" w:hAnsi="宋体"/>
                <w:b/>
                <w:color w:val="auto"/>
                <w:kern w:val="0"/>
                <w:sz w:val="21"/>
                <w:szCs w:val="21"/>
                <w:vertAlign w:val="superscript"/>
              </w:rPr>
              <w:t>2</w:t>
            </w:r>
          </w:p>
        </w:tc>
        <w:tc>
          <w:tcPr>
            <w:tcW w:w="1296" w:type="dxa"/>
            <w:vAlign w:val="center"/>
          </w:tcPr>
          <w:p>
            <w:pPr>
              <w:spacing w:line="240" w:lineRule="auto"/>
              <w:ind w:firstLine="0" w:firstLineChars="0"/>
              <w:jc w:val="center"/>
              <w:rPr>
                <w:rFonts w:ascii="宋体" w:hAnsi="宋体"/>
                <w:b/>
                <w:color w:val="auto"/>
                <w:kern w:val="0"/>
                <w:sz w:val="21"/>
                <w:szCs w:val="21"/>
              </w:rPr>
            </w:pPr>
            <w:r>
              <w:rPr>
                <w:rFonts w:ascii="宋体" w:hAnsi="宋体"/>
                <w:b/>
                <w:color w:val="auto"/>
                <w:kern w:val="0"/>
                <w:sz w:val="21"/>
                <w:szCs w:val="21"/>
              </w:rPr>
              <w:t>建筑物高度</w:t>
            </w:r>
            <w:r>
              <w:rPr>
                <w:rFonts w:hint="eastAsia" w:ascii="宋体" w:hAnsi="宋体"/>
                <w:b/>
                <w:color w:val="auto"/>
                <w:kern w:val="0"/>
                <w:sz w:val="21"/>
                <w:szCs w:val="21"/>
              </w:rPr>
              <w:t>（m）</w:t>
            </w:r>
          </w:p>
        </w:tc>
        <w:tc>
          <w:tcPr>
            <w:tcW w:w="1296"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火灾危险性类别</w:t>
            </w:r>
          </w:p>
        </w:tc>
        <w:tc>
          <w:tcPr>
            <w:tcW w:w="1439" w:type="dxa"/>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耐火等级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生产厂房</w:t>
            </w:r>
          </w:p>
        </w:tc>
        <w:tc>
          <w:tcPr>
            <w:tcW w:w="115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9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p>
        </w:tc>
        <w:tc>
          <w:tcPr>
            <w:tcW w:w="1296"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2078</w:t>
            </w:r>
          </w:p>
        </w:tc>
        <w:tc>
          <w:tcPr>
            <w:tcW w:w="1296" w:type="dxa"/>
            <w:vAlign w:val="center"/>
          </w:tcPr>
          <w:p>
            <w:pPr>
              <w:spacing w:line="240" w:lineRule="auto"/>
              <w:ind w:firstLine="0" w:firstLineChars="0"/>
              <w:jc w:val="center"/>
              <w:rPr>
                <w:rFonts w:ascii="宋体" w:hAnsi="宋体"/>
                <w:color w:val="auto"/>
                <w:kern w:val="0"/>
                <w:sz w:val="21"/>
                <w:szCs w:val="21"/>
              </w:rPr>
            </w:pPr>
          </w:p>
        </w:tc>
        <w:tc>
          <w:tcPr>
            <w:tcW w:w="1296"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143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lang w:val="en-US" w:eastAsia="zh-CN"/>
              </w:rPr>
              <w:t>备件间</w:t>
            </w:r>
            <w:r>
              <w:rPr>
                <w:rFonts w:hint="eastAsia" w:ascii="宋体" w:hAnsi="宋体"/>
                <w:color w:val="auto"/>
                <w:kern w:val="0"/>
                <w:sz w:val="21"/>
                <w:szCs w:val="21"/>
              </w:rPr>
              <w:t>、缓冲库、成品仓库、材料室</w:t>
            </w:r>
          </w:p>
        </w:tc>
        <w:tc>
          <w:tcPr>
            <w:tcW w:w="115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9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一</w:t>
            </w:r>
          </w:p>
        </w:tc>
        <w:tc>
          <w:tcPr>
            <w:tcW w:w="1296" w:type="dxa"/>
            <w:vAlign w:val="center"/>
          </w:tcPr>
          <w:p>
            <w:pPr>
              <w:spacing w:line="240" w:lineRule="auto"/>
              <w:ind w:firstLine="0" w:firstLineChars="0"/>
              <w:jc w:val="center"/>
              <w:rPr>
                <w:rFonts w:ascii="宋体" w:hAnsi="宋体"/>
                <w:color w:val="auto"/>
                <w:sz w:val="21"/>
                <w:szCs w:val="21"/>
              </w:rPr>
            </w:pPr>
            <w:r>
              <w:rPr>
                <w:rFonts w:hint="eastAsia" w:ascii="宋体" w:hAnsi="宋体"/>
                <w:color w:val="auto"/>
                <w:sz w:val="21"/>
                <w:szCs w:val="21"/>
              </w:rPr>
              <w:t>360</w:t>
            </w:r>
          </w:p>
        </w:tc>
        <w:tc>
          <w:tcPr>
            <w:tcW w:w="1296" w:type="dxa"/>
            <w:vAlign w:val="center"/>
          </w:tcPr>
          <w:p>
            <w:pPr>
              <w:spacing w:line="240" w:lineRule="auto"/>
              <w:ind w:firstLine="0" w:firstLineChars="0"/>
              <w:jc w:val="center"/>
              <w:rPr>
                <w:rFonts w:ascii="宋体" w:hAnsi="宋体"/>
                <w:color w:val="auto"/>
                <w:sz w:val="21"/>
                <w:szCs w:val="21"/>
              </w:rPr>
            </w:pPr>
            <w:r>
              <w:rPr>
                <w:rFonts w:hint="eastAsia" w:ascii="宋体" w:hAnsi="宋体"/>
                <w:color w:val="auto"/>
                <w:sz w:val="21"/>
                <w:szCs w:val="21"/>
              </w:rPr>
              <w:t>4.5</w:t>
            </w:r>
          </w:p>
        </w:tc>
        <w:tc>
          <w:tcPr>
            <w:tcW w:w="1296"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143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监控室、实验室、</w:t>
            </w:r>
            <w:r>
              <w:rPr>
                <w:rFonts w:hint="eastAsia"/>
                <w:sz w:val="21"/>
                <w:szCs w:val="21"/>
                <w:lang w:val="en-US" w:eastAsia="zh-CN"/>
              </w:rPr>
              <w:t>巡检</w:t>
            </w:r>
            <w:r>
              <w:rPr>
                <w:rFonts w:hint="eastAsia" w:ascii="宋体" w:hAnsi="宋体"/>
                <w:color w:val="auto"/>
                <w:kern w:val="0"/>
                <w:sz w:val="21"/>
                <w:szCs w:val="21"/>
              </w:rPr>
              <w:t>室、化验室</w:t>
            </w:r>
          </w:p>
        </w:tc>
        <w:tc>
          <w:tcPr>
            <w:tcW w:w="115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9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一</w:t>
            </w:r>
          </w:p>
        </w:tc>
        <w:tc>
          <w:tcPr>
            <w:tcW w:w="1296"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144</w:t>
            </w:r>
          </w:p>
        </w:tc>
        <w:tc>
          <w:tcPr>
            <w:tcW w:w="1296"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3.3</w:t>
            </w:r>
          </w:p>
        </w:tc>
        <w:tc>
          <w:tcPr>
            <w:tcW w:w="1296"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w:t>
            </w:r>
          </w:p>
        </w:tc>
        <w:tc>
          <w:tcPr>
            <w:tcW w:w="1439"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二类</w:t>
            </w:r>
          </w:p>
        </w:tc>
      </w:tr>
    </w:tbl>
    <w:p>
      <w:pPr>
        <w:pStyle w:val="2"/>
        <w:ind w:firstLine="560"/>
      </w:pPr>
    </w:p>
    <w:p>
      <w:pPr>
        <w:pStyle w:val="5"/>
        <w:ind w:firstLine="562"/>
      </w:pPr>
      <w:bookmarkStart w:id="497" w:name="_Toc23279"/>
      <w:bookmarkStart w:id="498" w:name="_Toc4630"/>
      <w:bookmarkStart w:id="499" w:name="_Toc12676"/>
      <w:bookmarkStart w:id="500" w:name="_Toc13256"/>
      <w:r>
        <w:rPr>
          <w:rFonts w:hint="eastAsia"/>
        </w:rPr>
        <w:t>2.7.2 主要生产设备</w:t>
      </w:r>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pPr>
        <w:pStyle w:val="73"/>
        <w:ind w:firstLine="562" w:firstLineChars="200"/>
        <w:jc w:val="both"/>
        <w:rPr>
          <w:color w:val="000000" w:themeColor="text1"/>
        </w:rPr>
      </w:pPr>
      <w:r>
        <w:rPr>
          <w:rFonts w:hint="eastAsia"/>
          <w:color w:val="000000" w:themeColor="text1"/>
          <w:lang w:val="en-GB"/>
        </w:rPr>
        <w:t>氟化分公司</w:t>
      </w:r>
      <w:r>
        <w:rPr>
          <w:rFonts w:hint="eastAsia"/>
          <w:color w:val="000000" w:themeColor="text1"/>
        </w:rPr>
        <w:t>涉及的主要设备见表2.7-2。</w:t>
      </w:r>
    </w:p>
    <w:p>
      <w:pPr>
        <w:spacing w:line="240" w:lineRule="atLeast"/>
        <w:ind w:firstLine="482"/>
        <w:jc w:val="center"/>
        <w:rPr>
          <w:rFonts w:hint="eastAsia" w:ascii="宋体" w:hAnsi="宋体" w:cs="宋体"/>
          <w:b/>
          <w:color w:val="000000" w:themeColor="text1"/>
          <w:sz w:val="24"/>
        </w:rPr>
      </w:pPr>
    </w:p>
    <w:p>
      <w:pPr>
        <w:spacing w:line="240" w:lineRule="atLeast"/>
        <w:ind w:firstLine="482"/>
        <w:jc w:val="center"/>
        <w:rPr>
          <w:rFonts w:hint="eastAsia" w:ascii="宋体" w:hAnsi="宋体" w:cs="宋体"/>
          <w:b/>
          <w:color w:val="000000" w:themeColor="text1"/>
          <w:sz w:val="24"/>
        </w:rPr>
      </w:pPr>
    </w:p>
    <w:p>
      <w:pPr>
        <w:spacing w:line="240" w:lineRule="atLeast"/>
        <w:ind w:firstLine="482"/>
        <w:jc w:val="center"/>
        <w:rPr>
          <w:rFonts w:ascii="宋体" w:hAnsi="宋体" w:cs="宋体"/>
          <w:b/>
          <w:kern w:val="0"/>
          <w:sz w:val="24"/>
        </w:rPr>
      </w:pPr>
      <w:r>
        <w:rPr>
          <w:rFonts w:hint="eastAsia" w:ascii="宋体" w:hAnsi="宋体" w:cs="宋体"/>
          <w:b/>
          <w:color w:val="000000" w:themeColor="text1"/>
          <w:sz w:val="24"/>
        </w:rPr>
        <w:t>表2.7-2</w:t>
      </w:r>
      <w:r>
        <w:rPr>
          <w:rFonts w:hint="eastAsia" w:ascii="宋体" w:hAnsi="宋体" w:cs="宋体"/>
          <w:b/>
          <w:kern w:val="0"/>
          <w:sz w:val="24"/>
        </w:rPr>
        <w:t>主要设备设施清单</w:t>
      </w:r>
    </w:p>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342"/>
        <w:gridCol w:w="2767"/>
        <w:gridCol w:w="1289"/>
        <w:gridCol w:w="587"/>
        <w:gridCol w:w="1913"/>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94" w:type="pct"/>
            <w:vAlign w:val="center"/>
          </w:tcPr>
          <w:p>
            <w:pPr>
              <w:spacing w:line="240" w:lineRule="auto"/>
              <w:ind w:firstLine="0" w:firstLineChars="0"/>
              <w:jc w:val="center"/>
              <w:rPr>
                <w:rFonts w:ascii="宋体" w:hAnsi="宋体" w:cs="宋体"/>
                <w:b/>
                <w:bCs/>
                <w:sz w:val="21"/>
                <w:szCs w:val="21"/>
              </w:rPr>
            </w:pPr>
            <w:bookmarkStart w:id="501" w:name="_Hlk114753983"/>
            <w:r>
              <w:rPr>
                <w:rFonts w:hint="eastAsia" w:ascii="宋体" w:hAnsi="宋体" w:cs="宋体"/>
                <w:b/>
                <w:bCs/>
                <w:sz w:val="21"/>
                <w:szCs w:val="21"/>
              </w:rPr>
              <w:t>序号</w:t>
            </w:r>
          </w:p>
        </w:tc>
        <w:tc>
          <w:tcPr>
            <w:tcW w:w="723"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设备名称</w:t>
            </w:r>
          </w:p>
        </w:tc>
        <w:tc>
          <w:tcPr>
            <w:tcW w:w="1490"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规</w:t>
            </w:r>
            <w:r>
              <w:rPr>
                <w:rFonts w:hint="eastAsia" w:ascii="宋体" w:hAnsi="宋体" w:cs="宋体"/>
                <w:b/>
                <w:bCs/>
                <w:sz w:val="21"/>
                <w:szCs w:val="21"/>
                <w:lang w:val="en-US" w:eastAsia="zh-CN"/>
              </w:rPr>
              <w:t xml:space="preserve">  </w:t>
            </w:r>
            <w:r>
              <w:rPr>
                <w:rFonts w:hint="eastAsia" w:ascii="宋体" w:hAnsi="宋体" w:cs="宋体"/>
                <w:b/>
                <w:bCs/>
                <w:sz w:val="21"/>
                <w:szCs w:val="21"/>
              </w:rPr>
              <w:t>格</w:t>
            </w:r>
            <w:r>
              <w:rPr>
                <w:rFonts w:hint="eastAsia" w:ascii="宋体" w:hAnsi="宋体" w:cs="宋体"/>
                <w:b/>
                <w:bCs/>
                <w:sz w:val="21"/>
                <w:szCs w:val="21"/>
                <w:lang w:val="en-US" w:eastAsia="zh-CN"/>
              </w:rPr>
              <w:t xml:space="preserve">  </w:t>
            </w:r>
            <w:r>
              <w:rPr>
                <w:rFonts w:hint="eastAsia" w:ascii="宋体" w:hAnsi="宋体" w:cs="宋体"/>
                <w:b/>
                <w:bCs/>
                <w:sz w:val="21"/>
                <w:szCs w:val="21"/>
              </w:rPr>
              <w:t>型</w:t>
            </w:r>
            <w:r>
              <w:rPr>
                <w:rFonts w:hint="eastAsia" w:ascii="宋体" w:hAnsi="宋体" w:cs="宋体"/>
                <w:b/>
                <w:bCs/>
                <w:sz w:val="21"/>
                <w:szCs w:val="21"/>
                <w:lang w:val="en-US" w:eastAsia="zh-CN"/>
              </w:rPr>
              <w:t xml:space="preserve">  </w:t>
            </w:r>
            <w:r>
              <w:rPr>
                <w:rFonts w:hint="eastAsia" w:ascii="宋体" w:hAnsi="宋体" w:cs="宋体"/>
                <w:b/>
                <w:bCs/>
                <w:sz w:val="21"/>
                <w:szCs w:val="21"/>
              </w:rPr>
              <w:t>号</w:t>
            </w:r>
          </w:p>
        </w:tc>
        <w:tc>
          <w:tcPr>
            <w:tcW w:w="694"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材</w:t>
            </w:r>
            <w:r>
              <w:rPr>
                <w:rFonts w:hint="eastAsia" w:ascii="宋体" w:hAnsi="宋体" w:cs="宋体"/>
                <w:b/>
                <w:bCs/>
                <w:sz w:val="21"/>
                <w:szCs w:val="21"/>
                <w:lang w:val="en-US" w:eastAsia="zh-CN"/>
              </w:rPr>
              <w:t xml:space="preserve">  </w:t>
            </w:r>
            <w:r>
              <w:rPr>
                <w:rFonts w:hint="eastAsia" w:ascii="宋体" w:hAnsi="宋体" w:cs="宋体"/>
                <w:b/>
                <w:bCs/>
                <w:sz w:val="21"/>
                <w:szCs w:val="21"/>
              </w:rPr>
              <w:t>质</w:t>
            </w:r>
          </w:p>
        </w:tc>
        <w:tc>
          <w:tcPr>
            <w:tcW w:w="316"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数量</w:t>
            </w:r>
          </w:p>
        </w:tc>
        <w:tc>
          <w:tcPr>
            <w:tcW w:w="1030"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所在岗位</w:t>
            </w:r>
          </w:p>
        </w:tc>
        <w:tc>
          <w:tcPr>
            <w:tcW w:w="351"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中和槽</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3500×3800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SS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cs="宋体"/>
                <w:sz w:val="21"/>
                <w:szCs w:val="21"/>
              </w:rPr>
              <w:t>带搅拌，中和岗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bookmarkEnd w:id="5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蒸发器</w:t>
            </w:r>
          </w:p>
        </w:tc>
        <w:tc>
          <w:tcPr>
            <w:tcW w:w="1490" w:type="pct"/>
            <w:vAlign w:val="center"/>
          </w:tcPr>
          <w:p>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cs="宋体"/>
                <w:sz w:val="21"/>
                <w:szCs w:val="21"/>
              </w:rPr>
              <w:t>1400×2400,V=2.3m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CS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带夹套，浓缩岗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冷却结晶器</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1400×2400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SS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带搅拌，干燥岗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加热器</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1000×2000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CS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抽风机</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9-26,NO4.5A,N=11KW</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CS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旋风分离器</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1000×2500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PVC</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圆锥形，干燥岗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旋风分离器</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500×2500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PVC</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干燥管</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150-300  H=17m</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SS/PP</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9</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离心机</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800mm立式</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SS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干燥岗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离心泵</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F50-25A耐腐蚀</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SS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中和、浓缩岗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11</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中和液池</w:t>
            </w:r>
          </w:p>
        </w:tc>
        <w:tc>
          <w:tcPr>
            <w:tcW w:w="1490" w:type="pct"/>
            <w:vAlign w:val="center"/>
          </w:tcPr>
          <w:p>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cs="宋体"/>
                <w:sz w:val="21"/>
                <w:szCs w:val="21"/>
              </w:rPr>
              <w:t>3000×1500×1500，V=6m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p>
        </w:tc>
        <w:tc>
          <w:tcPr>
            <w:tcW w:w="316" w:type="pct"/>
            <w:vAlign w:val="center"/>
          </w:tcPr>
          <w:p>
            <w:pPr>
              <w:spacing w:line="240" w:lineRule="auto"/>
              <w:ind w:firstLine="0" w:firstLineChars="0"/>
              <w:jc w:val="center"/>
              <w:rPr>
                <w:rFonts w:ascii="宋体" w:hAnsi="宋体" w:cs="宋体"/>
                <w:sz w:val="21"/>
                <w:szCs w:val="21"/>
              </w:rPr>
            </w:pP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12</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板框压滤机</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1000×1000×2500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增强FPP</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13</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高位槽</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2m</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PP</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浓缩岗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14</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氟硅酸池</w:t>
            </w:r>
          </w:p>
        </w:tc>
        <w:tc>
          <w:tcPr>
            <w:tcW w:w="1490" w:type="pct"/>
            <w:vAlign w:val="center"/>
          </w:tcPr>
          <w:p>
            <w:pPr>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cs="宋体"/>
                <w:sz w:val="21"/>
                <w:szCs w:val="21"/>
              </w:rPr>
              <w:t>8000×7300×2500,V=150m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砼内防腐壁</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储槽</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15</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清液池</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5000×2700×2500,V=34m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砼内防腐壁</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储槽，中和岗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16</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清液池</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3000×2700×2500,V=20m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砼内防腐壁</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储槽，中和岗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17</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母液池</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3000×2700×2500,V=20m</w:t>
            </w:r>
            <w:r>
              <w:rPr>
                <w:rFonts w:hint="eastAsia" w:ascii="宋体" w:hAnsi="宋体" w:cs="宋体"/>
                <w:sz w:val="21"/>
                <w:szCs w:val="21"/>
                <w:vertAlign w:val="superscript"/>
                <w:lang w:val="en-US" w:eastAsia="zh-CN"/>
              </w:rPr>
              <w:t>3</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砼内防腐壁</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储槽，中和岗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18</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吸收塔</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1000×6000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PVC</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浓缩岗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19</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抽风机</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9-19,NO9D,N=22kw</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CS</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浓缩岗</w:t>
            </w:r>
            <w:r>
              <w:rPr>
                <w:rFonts w:hint="eastAsia" w:ascii="宋体" w:hAnsi="宋体" w:cs="宋体"/>
                <w:sz w:val="21"/>
                <w:szCs w:val="21"/>
                <w:lang w:val="en-US" w:eastAsia="zh-CN"/>
              </w:rPr>
              <w:t>位</w:t>
            </w:r>
          </w:p>
        </w:tc>
        <w:tc>
          <w:tcPr>
            <w:tcW w:w="351" w:type="pct"/>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20</w:t>
            </w:r>
          </w:p>
        </w:tc>
        <w:tc>
          <w:tcPr>
            <w:tcW w:w="72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配电柜</w:t>
            </w:r>
          </w:p>
        </w:tc>
        <w:tc>
          <w:tcPr>
            <w:tcW w:w="149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800×400×1700</w:t>
            </w:r>
          </w:p>
        </w:tc>
        <w:tc>
          <w:tcPr>
            <w:tcW w:w="694"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冷扎板</w:t>
            </w:r>
          </w:p>
        </w:tc>
        <w:tc>
          <w:tcPr>
            <w:tcW w:w="31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03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配电室</w:t>
            </w:r>
          </w:p>
        </w:tc>
        <w:tc>
          <w:tcPr>
            <w:tcW w:w="351" w:type="pct"/>
          </w:tcPr>
          <w:p>
            <w:pPr>
              <w:spacing w:line="240" w:lineRule="auto"/>
              <w:ind w:firstLine="0" w:firstLineChars="0"/>
              <w:jc w:val="center"/>
              <w:rPr>
                <w:rFonts w:ascii="宋体" w:hAnsi="宋体" w:cs="宋体"/>
                <w:sz w:val="21"/>
                <w:szCs w:val="21"/>
              </w:rPr>
            </w:pPr>
          </w:p>
        </w:tc>
      </w:tr>
    </w:tbl>
    <w:p>
      <w:pPr>
        <w:ind w:firstLine="0" w:firstLineChars="0"/>
      </w:pPr>
    </w:p>
    <w:p>
      <w:pPr>
        <w:pStyle w:val="5"/>
        <w:ind w:firstLine="562"/>
      </w:pPr>
      <w:bookmarkStart w:id="502" w:name="_Toc5389"/>
      <w:bookmarkStart w:id="503" w:name="_Toc12103"/>
      <w:bookmarkStart w:id="504" w:name="_Toc23394"/>
      <w:bookmarkStart w:id="505" w:name="_Toc17196"/>
      <w:bookmarkStart w:id="506" w:name="_Toc6308"/>
      <w:bookmarkStart w:id="507" w:name="_Toc828"/>
      <w:bookmarkStart w:id="508" w:name="_Toc19587"/>
      <w:bookmarkStart w:id="509" w:name="_Toc31412"/>
      <w:bookmarkStart w:id="510" w:name="_Toc42724620"/>
      <w:bookmarkStart w:id="511" w:name="_Toc2434"/>
      <w:bookmarkStart w:id="512" w:name="_Toc3648"/>
      <w:bookmarkStart w:id="513" w:name="_Toc25061"/>
      <w:bookmarkStart w:id="514" w:name="_Toc9642"/>
      <w:bookmarkStart w:id="515" w:name="_Toc19404"/>
      <w:bookmarkStart w:id="516" w:name="_Toc128056393"/>
      <w:bookmarkStart w:id="517" w:name="_Toc128056384"/>
      <w:bookmarkStart w:id="518" w:name="_Toc16589"/>
      <w:bookmarkStart w:id="519" w:name="_Toc22971"/>
      <w:bookmarkStart w:id="520" w:name="_Toc17368"/>
      <w:r>
        <w:rPr>
          <w:rFonts w:hint="eastAsia"/>
        </w:rPr>
        <w:t>2.7.3 特种设备与强制检测设施</w:t>
      </w:r>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氟化分公司特种设备有：叉车（厂内运输用）一台。叉车于2023年3月7日进行了检验，有效期至2025年3月。压力表九块，于2023年6月20日进行了校验，有效期至2023年12月19日。</w:t>
      </w:r>
      <w:r>
        <w:rPr>
          <w:rFonts w:hint="eastAsia" w:ascii="宋体" w:hAnsi="宋体"/>
          <w:color w:val="auto"/>
          <w:szCs w:val="28"/>
          <w:lang w:val="en-US" w:eastAsia="zh-CN"/>
        </w:rPr>
        <w:t>安全阀一只，于2022年12月30日</w:t>
      </w:r>
      <w:r>
        <w:rPr>
          <w:rFonts w:hint="eastAsia" w:ascii="宋体" w:hAnsi="宋体"/>
          <w:color w:val="auto"/>
          <w:szCs w:val="28"/>
        </w:rPr>
        <w:t>进行了校验</w:t>
      </w:r>
      <w:r>
        <w:rPr>
          <w:rFonts w:hint="eastAsia" w:ascii="宋体" w:hAnsi="宋体"/>
          <w:color w:val="auto"/>
          <w:szCs w:val="28"/>
          <w:lang w:eastAsia="zh-CN"/>
        </w:rPr>
        <w:t>，</w:t>
      </w:r>
      <w:r>
        <w:rPr>
          <w:rFonts w:hint="eastAsia" w:ascii="宋体" w:hAnsi="宋体"/>
          <w:color w:val="auto"/>
          <w:szCs w:val="28"/>
        </w:rPr>
        <w:t>有效期至2023年12月</w:t>
      </w:r>
      <w:r>
        <w:rPr>
          <w:rFonts w:hint="eastAsia" w:ascii="宋体" w:hAnsi="宋体"/>
          <w:color w:val="auto"/>
          <w:szCs w:val="28"/>
          <w:lang w:val="en-US" w:eastAsia="zh-CN"/>
        </w:rPr>
        <w:t>29</w:t>
      </w:r>
      <w:r>
        <w:rPr>
          <w:rFonts w:hint="eastAsia" w:ascii="宋体" w:hAnsi="宋体"/>
          <w:color w:val="auto"/>
          <w:szCs w:val="28"/>
        </w:rPr>
        <w:t>日。详见下表及</w:t>
      </w:r>
      <w:r>
        <w:rPr>
          <w:rFonts w:hint="eastAsia"/>
          <w:szCs w:val="28"/>
        </w:rPr>
        <w:t>企业原始资料</w:t>
      </w:r>
      <w:r>
        <w:rPr>
          <w:rFonts w:hint="eastAsia"/>
          <w:szCs w:val="28"/>
          <w:lang w:val="en-US" w:eastAsia="zh-CN"/>
        </w:rPr>
        <w:t>附件</w:t>
      </w:r>
      <w:r>
        <w:rPr>
          <w:rFonts w:hint="eastAsia" w:ascii="宋体" w:hAnsi="宋体"/>
          <w:color w:val="auto"/>
          <w:szCs w:val="28"/>
        </w:rPr>
        <w:t>6.2</w:t>
      </w:r>
      <w:r>
        <w:rPr>
          <w:rFonts w:hint="eastAsia" w:ascii="宋体" w:hAnsi="宋体"/>
          <w:color w:val="auto"/>
          <w:szCs w:val="28"/>
          <w:lang w:val="en-US" w:eastAsia="zh-CN"/>
        </w:rPr>
        <w:t>6</w:t>
      </w:r>
      <w:r>
        <w:rPr>
          <w:rFonts w:hint="eastAsia" w:ascii="宋体" w:hAnsi="宋体"/>
          <w:color w:val="auto"/>
          <w:szCs w:val="28"/>
        </w:rPr>
        <w:t>、6.21</w:t>
      </w:r>
      <w:r>
        <w:rPr>
          <w:rFonts w:hint="eastAsia" w:ascii="宋体" w:hAnsi="宋体"/>
          <w:color w:val="auto"/>
          <w:szCs w:val="28"/>
          <w:lang w:eastAsia="zh-CN"/>
        </w:rPr>
        <w:t>、</w:t>
      </w:r>
      <w:r>
        <w:rPr>
          <w:rFonts w:hint="eastAsia" w:ascii="宋体" w:hAnsi="宋体"/>
          <w:color w:val="auto"/>
          <w:szCs w:val="28"/>
          <w:lang w:val="en-US" w:eastAsia="zh-CN"/>
        </w:rPr>
        <w:t>6.20</w:t>
      </w:r>
      <w:r>
        <w:rPr>
          <w:rFonts w:hint="eastAsia" w:ascii="宋体" w:hAnsi="宋体"/>
          <w:color w:val="auto"/>
          <w:szCs w:val="28"/>
        </w:rPr>
        <w:t>。</w:t>
      </w:r>
      <w:commentRangeStart w:id="3"/>
      <w:commentRangeStart w:id="4"/>
      <w:r>
        <w:commentReference w:id="3"/>
      </w:r>
      <w:commentRangeEnd w:id="3"/>
      <w:commentRangeEnd w:id="4"/>
      <w:r>
        <w:commentReference w:id="4"/>
      </w:r>
    </w:p>
    <w:p>
      <w:pPr>
        <w:widowControl/>
        <w:tabs>
          <w:tab w:val="left" w:pos="7755"/>
        </w:tabs>
        <w:ind w:firstLine="0" w:firstLineChars="0"/>
        <w:jc w:val="center"/>
        <w:rPr>
          <w:rFonts w:ascii="宋体" w:hAnsi="宋体"/>
          <w:b/>
          <w:bCs/>
          <w:color w:val="auto"/>
          <w:sz w:val="24"/>
        </w:rPr>
      </w:pPr>
      <w:r>
        <w:rPr>
          <w:rFonts w:hint="eastAsia" w:ascii="宋体" w:hAnsi="宋体"/>
          <w:b/>
          <w:bCs/>
          <w:color w:val="auto"/>
          <w:sz w:val="24"/>
        </w:rPr>
        <w:t>表2.7-3 特种设备、强检设备和定检设备一览表</w:t>
      </w:r>
    </w:p>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2089"/>
        <w:gridCol w:w="1682"/>
        <w:gridCol w:w="774"/>
        <w:gridCol w:w="1568"/>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名  称</w:t>
            </w:r>
          </w:p>
        </w:tc>
        <w:tc>
          <w:tcPr>
            <w:tcW w:w="1125"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使用（登记证）编号</w:t>
            </w:r>
          </w:p>
        </w:tc>
        <w:tc>
          <w:tcPr>
            <w:tcW w:w="905"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使 用 位 置</w:t>
            </w:r>
          </w:p>
        </w:tc>
        <w:tc>
          <w:tcPr>
            <w:tcW w:w="417"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检验结论</w:t>
            </w:r>
          </w:p>
        </w:tc>
        <w:tc>
          <w:tcPr>
            <w:tcW w:w="844"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检验有效期至</w:t>
            </w:r>
          </w:p>
        </w:tc>
        <w:tc>
          <w:tcPr>
            <w:tcW w:w="1181"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 验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叉车</w:t>
            </w:r>
          </w:p>
        </w:tc>
        <w:tc>
          <w:tcPr>
            <w:tcW w:w="1125"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车11滇C000842（22）</w:t>
            </w:r>
          </w:p>
        </w:tc>
        <w:tc>
          <w:tcPr>
            <w:tcW w:w="905"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厂内运输</w:t>
            </w:r>
          </w:p>
        </w:tc>
        <w:tc>
          <w:tcPr>
            <w:tcW w:w="417"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2025.3</w:t>
            </w:r>
          </w:p>
        </w:tc>
        <w:tc>
          <w:tcPr>
            <w:tcW w:w="1181"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玉溪市质量技术监督综合检测中心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923083381</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widowControl/>
              <w:tabs>
                <w:tab w:val="left" w:pos="7755"/>
              </w:tabs>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923083383</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923083384</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923083385</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bookmarkStart w:id="521" w:name="_Toc14209"/>
            <w:bookmarkStart w:id="522" w:name="_Toc16595"/>
            <w:bookmarkStart w:id="523" w:name="_Toc118297910"/>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923083386</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923083388</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923083389</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923083393</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干燥岗位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2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25"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923083394</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2023.12.19</w:t>
            </w:r>
          </w:p>
        </w:tc>
        <w:tc>
          <w:tcPr>
            <w:tcW w:w="118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云南省计量测试技术研究院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pct"/>
            <w:vAlign w:val="center"/>
          </w:tcPr>
          <w:p>
            <w:pPr>
              <w:widowControl/>
              <w:tabs>
                <w:tab w:val="left" w:pos="7755"/>
              </w:tabs>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安全阀</w:t>
            </w:r>
          </w:p>
        </w:tc>
        <w:tc>
          <w:tcPr>
            <w:tcW w:w="1125" w:type="pct"/>
            <w:vAlign w:val="center"/>
          </w:tcPr>
          <w:p>
            <w:pPr>
              <w:widowControl/>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15053</w:t>
            </w:r>
          </w:p>
        </w:tc>
        <w:tc>
          <w:tcPr>
            <w:tcW w:w="905"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浓缩岗位</w:t>
            </w:r>
          </w:p>
        </w:tc>
        <w:tc>
          <w:tcPr>
            <w:tcW w:w="417" w:type="pct"/>
            <w:vAlign w:val="center"/>
          </w:tcPr>
          <w:p>
            <w:pPr>
              <w:widowControl/>
              <w:tabs>
                <w:tab w:val="left" w:pos="7755"/>
              </w:tabs>
              <w:spacing w:line="240" w:lineRule="auto"/>
              <w:ind w:firstLine="0" w:firstLineChars="0"/>
              <w:jc w:val="center"/>
              <w:rPr>
                <w:rFonts w:hint="eastAsia"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44" w:type="pct"/>
            <w:vAlign w:val="center"/>
          </w:tcPr>
          <w:p>
            <w:pPr>
              <w:widowControl/>
              <w:tabs>
                <w:tab w:val="left" w:pos="7755"/>
              </w:tabs>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2023.12.29</w:t>
            </w:r>
          </w:p>
        </w:tc>
        <w:tc>
          <w:tcPr>
            <w:tcW w:w="1181" w:type="pct"/>
            <w:vAlign w:val="center"/>
          </w:tcPr>
          <w:p>
            <w:pPr>
              <w:widowControl/>
              <w:tabs>
                <w:tab w:val="left" w:pos="7755"/>
              </w:tabs>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云南省特种设备安全检测研究所</w:t>
            </w:r>
          </w:p>
        </w:tc>
      </w:tr>
    </w:tbl>
    <w:p>
      <w:pPr>
        <w:ind w:firstLine="560"/>
      </w:pPr>
    </w:p>
    <w:p>
      <w:pPr>
        <w:pStyle w:val="4"/>
        <w:ind w:firstLine="562"/>
      </w:pPr>
      <w:bookmarkStart w:id="524" w:name="_Toc2589"/>
      <w:bookmarkStart w:id="525" w:name="_Toc9312"/>
      <w:bookmarkStart w:id="526" w:name="_Toc22732"/>
      <w:bookmarkStart w:id="527" w:name="_Toc2969"/>
      <w:bookmarkStart w:id="528" w:name="_Toc23575"/>
      <w:bookmarkStart w:id="529" w:name="_Toc30340"/>
      <w:bookmarkStart w:id="530" w:name="_Toc4811"/>
      <w:bookmarkStart w:id="531" w:name="_Toc14427"/>
      <w:bookmarkStart w:id="532" w:name="_Toc1382"/>
      <w:bookmarkStart w:id="533" w:name="_Toc25715"/>
      <w:bookmarkStart w:id="534" w:name="_Toc27561"/>
      <w:bookmarkStart w:id="535" w:name="_Toc7580"/>
      <w:bookmarkStart w:id="536" w:name="_Toc1928"/>
      <w:bookmarkStart w:id="537" w:name="_Toc24144"/>
      <w:bookmarkStart w:id="538" w:name="_Toc3685"/>
      <w:bookmarkStart w:id="539" w:name="_Toc1966"/>
      <w:bookmarkStart w:id="540" w:name="_Toc23488"/>
      <w:bookmarkStart w:id="541" w:name="_Toc3156"/>
      <w:r>
        <w:rPr>
          <w:rFonts w:hint="eastAsia"/>
        </w:rPr>
        <w:t>2.8 公用工程和辅助设施</w:t>
      </w:r>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p>
    <w:p>
      <w:pPr>
        <w:pStyle w:val="5"/>
        <w:ind w:firstLine="562"/>
      </w:pPr>
      <w:bookmarkStart w:id="542" w:name="_Toc19316"/>
      <w:bookmarkStart w:id="543" w:name="_Toc7104"/>
      <w:bookmarkStart w:id="544" w:name="_Toc11975"/>
      <w:bookmarkStart w:id="545" w:name="_Toc30727"/>
      <w:bookmarkStart w:id="546" w:name="_Toc29259"/>
      <w:bookmarkStart w:id="547" w:name="_Toc23484"/>
      <w:bookmarkStart w:id="548" w:name="_Toc19937"/>
      <w:bookmarkStart w:id="549" w:name="_Toc18324"/>
      <w:bookmarkStart w:id="550" w:name="_Toc20729"/>
      <w:bookmarkStart w:id="551" w:name="_Toc3662"/>
      <w:r>
        <w:rPr>
          <w:rFonts w:hint="eastAsia"/>
        </w:rPr>
        <w:t>2.8</w:t>
      </w:r>
      <w:r>
        <w:t>.</w:t>
      </w:r>
      <w:r>
        <w:rPr>
          <w:rFonts w:hint="eastAsia"/>
        </w:rPr>
        <w:t xml:space="preserve">1 </w:t>
      </w:r>
      <w:r>
        <w:t>供配电</w:t>
      </w:r>
      <w:bookmarkEnd w:id="542"/>
      <w:bookmarkEnd w:id="543"/>
      <w:bookmarkEnd w:id="544"/>
      <w:bookmarkEnd w:id="545"/>
      <w:bookmarkEnd w:id="546"/>
      <w:bookmarkEnd w:id="547"/>
      <w:bookmarkEnd w:id="548"/>
      <w:bookmarkEnd w:id="549"/>
      <w:bookmarkEnd w:id="550"/>
      <w:bookmarkEnd w:id="551"/>
    </w:p>
    <w:p>
      <w:pPr>
        <w:topLinePunct/>
        <w:ind w:firstLine="560"/>
        <w:rPr>
          <w:rFonts w:hint="eastAsia"/>
          <w:color w:val="000000" w:themeColor="text1"/>
        </w:rPr>
      </w:pPr>
      <w:r>
        <w:rPr>
          <w:rFonts w:hint="eastAsia"/>
          <w:color w:val="000000" w:themeColor="text1"/>
        </w:rPr>
        <w:t>氟化分公司供电负荷等级三级，项目内不设置变压器，用电由天辰公司配电系统引入</w:t>
      </w:r>
      <w:r>
        <w:rPr>
          <w:rFonts w:hint="eastAsia"/>
          <w:color w:val="000000" w:themeColor="text1"/>
          <w:lang w:val="en-US" w:eastAsia="zh-CN"/>
        </w:rPr>
        <w:t>公司</w:t>
      </w:r>
      <w:r>
        <w:rPr>
          <w:rFonts w:hint="eastAsia"/>
          <w:color w:val="000000" w:themeColor="text1"/>
        </w:rPr>
        <w:t>配电室，再由配电室引至各用电设备，供电电压220/380V，能够满足用电要求。厂内采用三相四线制供电，接地线与厂区接地网连接共地，接地电阻不大于10Ω。配电室内配电柜前设置了绝缘胶垫、绝缘手套、绝缘鞋。</w:t>
      </w:r>
    </w:p>
    <w:p>
      <w:pPr>
        <w:topLinePunct/>
        <w:ind w:firstLine="560"/>
      </w:pPr>
      <w:commentRangeStart w:id="5"/>
      <w:r>
        <w:rPr>
          <w:rFonts w:hint="eastAsia"/>
        </w:rPr>
        <w:t>在</w:t>
      </w:r>
      <w:r>
        <w:rPr>
          <w:rFonts w:hint="eastAsia"/>
          <w:lang w:val="en-US" w:eastAsia="zh-CN"/>
        </w:rPr>
        <w:t>线</w:t>
      </w:r>
      <w:r>
        <w:rPr>
          <w:rFonts w:hint="eastAsia"/>
          <w:u w:val="none" w:color="auto"/>
          <w:lang w:val="en-US" w:eastAsia="zh-CN"/>
        </w:rPr>
        <w:t>视频监控6个，分布在：大门、氟硅酸池外、厂区院坝、应急通道、氟硅酸池内、中和工段。存储时间为30天，</w:t>
      </w:r>
      <w:r>
        <w:rPr>
          <w:rFonts w:hint="eastAsia"/>
        </w:rPr>
        <w:t>信号图像传至值班室，以便实时监控厂区动态，在厂区发生异常现象或事件时能够快速应对。</w:t>
      </w:r>
      <w:commentRangeEnd w:id="5"/>
      <w:r>
        <w:commentReference w:id="5"/>
      </w:r>
    </w:p>
    <w:p>
      <w:pPr>
        <w:ind w:firstLine="560"/>
        <w:rPr>
          <w:color w:val="000000" w:themeColor="text1"/>
        </w:rPr>
      </w:pPr>
    </w:p>
    <w:p>
      <w:pPr>
        <w:pStyle w:val="5"/>
        <w:ind w:firstLine="562"/>
      </w:pPr>
      <w:bookmarkStart w:id="552" w:name="_Toc24993"/>
      <w:bookmarkStart w:id="553" w:name="_Toc26338"/>
      <w:bookmarkStart w:id="554" w:name="_Toc11659"/>
      <w:bookmarkStart w:id="555" w:name="_Toc16805"/>
      <w:bookmarkStart w:id="556" w:name="_Toc3987"/>
      <w:bookmarkStart w:id="557" w:name="_Toc215"/>
      <w:bookmarkStart w:id="558" w:name="_Toc22529"/>
      <w:bookmarkStart w:id="559" w:name="_Toc30061"/>
      <w:bookmarkStart w:id="560" w:name="_Toc14327"/>
      <w:bookmarkStart w:id="561" w:name="_Toc2640"/>
      <w:r>
        <w:rPr>
          <w:rFonts w:hint="eastAsia"/>
        </w:rPr>
        <w:t xml:space="preserve">2.8.2 </w:t>
      </w:r>
      <w:r>
        <w:t>给排水</w:t>
      </w:r>
      <w:bookmarkEnd w:id="552"/>
      <w:bookmarkEnd w:id="553"/>
      <w:bookmarkEnd w:id="554"/>
      <w:bookmarkEnd w:id="555"/>
      <w:bookmarkEnd w:id="556"/>
      <w:bookmarkEnd w:id="557"/>
      <w:bookmarkEnd w:id="558"/>
      <w:bookmarkEnd w:id="559"/>
      <w:bookmarkEnd w:id="560"/>
      <w:bookmarkEnd w:id="561"/>
    </w:p>
    <w:p>
      <w:pPr>
        <w:topLinePunct/>
        <w:ind w:firstLine="560"/>
        <w:rPr>
          <w:rFonts w:ascii="宋体" w:hAnsi="宋体"/>
          <w:color w:val="auto"/>
        </w:rPr>
      </w:pPr>
      <w:bookmarkStart w:id="562" w:name="_Toc23472"/>
      <w:bookmarkStart w:id="563" w:name="_Toc659"/>
      <w:bookmarkStart w:id="564" w:name="_Toc7783"/>
      <w:bookmarkStart w:id="565" w:name="_Toc29558"/>
      <w:bookmarkStart w:id="566" w:name="_Toc21547"/>
      <w:bookmarkStart w:id="567" w:name="_Toc18054"/>
      <w:bookmarkStart w:id="568" w:name="_Toc7640"/>
      <w:bookmarkStart w:id="569" w:name="_Toc128056398"/>
      <w:bookmarkStart w:id="570" w:name="_Toc15278"/>
      <w:bookmarkStart w:id="571" w:name="_Toc3031"/>
      <w:r>
        <w:rPr>
          <w:rFonts w:hint="eastAsia" w:ascii="宋体" w:hAnsi="宋体"/>
          <w:color w:val="auto"/>
        </w:rPr>
        <w:t>1）给水系统</w:t>
      </w:r>
    </w:p>
    <w:p>
      <w:pPr>
        <w:topLinePunct/>
        <w:ind w:firstLine="560"/>
        <w:rPr>
          <w:rFonts w:ascii="宋体" w:hAnsi="宋体"/>
          <w:color w:val="auto"/>
        </w:rPr>
      </w:pPr>
      <w:r>
        <w:rPr>
          <w:rFonts w:hint="eastAsia" w:ascii="宋体" w:hAnsi="宋体"/>
          <w:color w:val="auto"/>
        </w:rPr>
        <w:t>项目涉及生活用水、生产用水、消防用水。氟化分公司生活及生产水源自</w:t>
      </w:r>
      <w:r>
        <w:rPr>
          <w:rFonts w:hint="eastAsia" w:ascii="宋体" w:hAnsi="宋体"/>
          <w:color w:val="auto"/>
          <w:szCs w:val="28"/>
          <w:u w:color="000000"/>
        </w:rPr>
        <w:t>天辰公司</w:t>
      </w:r>
      <w:r>
        <w:rPr>
          <w:rFonts w:hint="eastAsia" w:ascii="宋体" w:hAnsi="宋体"/>
          <w:color w:val="auto"/>
        </w:rPr>
        <w:t>用水管线接入，供水压力不小于0.5MPa，水量满足项目生产、生活需要。</w:t>
      </w:r>
    </w:p>
    <w:p>
      <w:pPr>
        <w:numPr>
          <w:ilvl w:val="0"/>
          <w:numId w:val="0"/>
        </w:numPr>
        <w:topLinePunct/>
        <w:ind w:firstLine="560" w:firstLineChars="0"/>
        <w:rPr>
          <w:color w:val="auto"/>
        </w:rPr>
      </w:pPr>
      <w:r>
        <w:rPr>
          <w:rFonts w:ascii="Times New Roman" w:hAnsi="Times New Roman" w:eastAsia="宋体" w:cs="Times New Roman"/>
          <w:color w:val="auto"/>
          <w:kern w:val="2"/>
          <w:sz w:val="28"/>
          <w:szCs w:val="24"/>
          <w:lang w:val="en-US" w:eastAsia="zh-CN" w:bidi="ar-SA"/>
        </w:rPr>
        <w:t>（1）</w:t>
      </w:r>
      <w:r>
        <w:rPr>
          <w:rFonts w:hint="eastAsia" w:ascii="宋体" w:hAnsi="宋体"/>
          <w:color w:val="auto"/>
        </w:rPr>
        <w:t>生产用水</w:t>
      </w:r>
      <w:r>
        <w:rPr>
          <w:rFonts w:hint="eastAsia"/>
          <w:color w:val="auto"/>
        </w:rPr>
        <w:t>：生产过程中滤渣经洗涤除酸后压滤出的清液回清液池和浓缩产生的</w:t>
      </w:r>
      <w:r>
        <w:rPr>
          <w:rFonts w:hint="eastAsia"/>
          <w:color w:val="auto"/>
          <w:kern w:val="0"/>
          <w:szCs w:val="28"/>
        </w:rPr>
        <w:t>母液返回氟硅酸池循供生产循环使用。</w:t>
      </w:r>
    </w:p>
    <w:p>
      <w:pPr>
        <w:numPr>
          <w:ilvl w:val="0"/>
          <w:numId w:val="0"/>
        </w:numPr>
        <w:topLinePunct/>
        <w:ind w:firstLine="560" w:firstLineChars="0"/>
        <w:rPr>
          <w:rFonts w:hint="eastAsia"/>
          <w:color w:val="auto"/>
        </w:rPr>
      </w:pPr>
      <w:r>
        <w:rPr>
          <w:rFonts w:hint="eastAsia"/>
          <w:color w:val="auto"/>
          <w:lang w:eastAsia="zh-CN"/>
        </w:rPr>
        <w:t>（</w:t>
      </w:r>
      <w:r>
        <w:rPr>
          <w:rFonts w:hint="eastAsia"/>
          <w:color w:val="auto"/>
        </w:rPr>
        <w:t>2）生活用水：本项目定员21人，卫生间等公用设施用水定额按100L/人•d计，每天用水量为2.1m³。能满足用水要求。</w:t>
      </w:r>
    </w:p>
    <w:p>
      <w:pPr>
        <w:numPr>
          <w:ilvl w:val="0"/>
          <w:numId w:val="0"/>
        </w:numPr>
        <w:topLinePunct/>
        <w:ind w:firstLine="560" w:firstLineChars="0"/>
        <w:rPr>
          <w:color w:val="auto"/>
        </w:rPr>
      </w:pPr>
      <w:r>
        <w:rPr>
          <w:rFonts w:hint="eastAsia"/>
          <w:color w:val="auto"/>
          <w:lang w:eastAsia="zh-CN"/>
        </w:rPr>
        <w:t>（</w:t>
      </w:r>
      <w:r>
        <w:rPr>
          <w:rFonts w:hint="eastAsia"/>
          <w:color w:val="auto"/>
        </w:rPr>
        <w:t>3）消防用水：本项目消防用水和室外消防栓依托</w:t>
      </w:r>
      <w:r>
        <w:rPr>
          <w:rFonts w:hint="eastAsia" w:ascii="宋体" w:hAnsi="宋体"/>
          <w:color w:val="auto"/>
          <w:szCs w:val="28"/>
          <w:u w:color="000000"/>
        </w:rPr>
        <w:t>天辰公司原有，天辰公司设有3000m</w:t>
      </w:r>
      <w:r>
        <w:rPr>
          <w:rFonts w:hint="eastAsia" w:ascii="宋体" w:hAnsi="宋体"/>
          <w:color w:val="auto"/>
          <w:szCs w:val="28"/>
          <w:u w:color="000000"/>
          <w:vertAlign w:val="superscript"/>
        </w:rPr>
        <w:t>3</w:t>
      </w:r>
      <w:r>
        <w:rPr>
          <w:rFonts w:hint="eastAsia" w:ascii="宋体" w:hAnsi="宋体"/>
          <w:color w:val="auto"/>
          <w:szCs w:val="28"/>
          <w:u w:color="000000"/>
        </w:rPr>
        <w:t>消防水池，供水水压为2M</w:t>
      </w:r>
      <w:r>
        <w:rPr>
          <w:rFonts w:hint="eastAsia" w:ascii="宋体" w:hAnsi="宋体"/>
          <w:color w:val="auto"/>
          <w:szCs w:val="28"/>
          <w:u w:color="000000"/>
          <w:lang w:val="en-US" w:eastAsia="zh-CN"/>
        </w:rPr>
        <w:t>P</w:t>
      </w:r>
      <w:r>
        <w:rPr>
          <w:rFonts w:hint="eastAsia" w:ascii="宋体" w:hAnsi="宋体"/>
          <w:color w:val="auto"/>
          <w:szCs w:val="28"/>
          <w:u w:color="000000"/>
        </w:rPr>
        <w:t>a，能满足消防要求。</w:t>
      </w:r>
    </w:p>
    <w:p>
      <w:pPr>
        <w:topLinePunct/>
        <w:ind w:firstLine="560"/>
        <w:rPr>
          <w:rFonts w:ascii="宋体" w:hAnsi="宋体"/>
          <w:color w:val="auto"/>
        </w:rPr>
      </w:pPr>
      <w:r>
        <w:rPr>
          <w:rFonts w:hint="eastAsia" w:ascii="宋体" w:hAnsi="宋体"/>
          <w:color w:val="auto"/>
        </w:rPr>
        <w:t>2）排水系统</w:t>
      </w:r>
    </w:p>
    <w:p>
      <w:pPr>
        <w:topLinePunct/>
        <w:ind w:firstLine="560"/>
        <w:rPr>
          <w:rFonts w:ascii="宋体" w:hAnsi="宋体"/>
          <w:color w:val="auto"/>
        </w:rPr>
      </w:pPr>
      <w:r>
        <w:rPr>
          <w:rFonts w:hint="eastAsia" w:hAnsi="宋体"/>
          <w:color w:val="auto"/>
          <w:kern w:val="0"/>
          <w:szCs w:val="28"/>
        </w:rPr>
        <w:t>地坪冲洗水、化验废水、事故废水、生活废水纳入</w:t>
      </w:r>
      <w:r>
        <w:rPr>
          <w:rFonts w:hint="eastAsia" w:ascii="宋体" w:hAnsi="宋体"/>
          <w:color w:val="auto"/>
          <w:szCs w:val="28"/>
          <w:u w:color="000000"/>
        </w:rPr>
        <w:t>天辰公司</w:t>
      </w:r>
      <w:r>
        <w:rPr>
          <w:rFonts w:hint="eastAsia" w:ascii="宋体" w:hAnsi="宋体"/>
          <w:color w:val="auto"/>
        </w:rPr>
        <w:t>污水处理系统进行处理，不直接对外排放。</w:t>
      </w:r>
      <w:r>
        <w:rPr>
          <w:rFonts w:ascii="宋体" w:hAnsi="宋体"/>
          <w:color w:val="auto"/>
        </w:rPr>
        <w:t xml:space="preserve"> </w:t>
      </w:r>
    </w:p>
    <w:p>
      <w:pPr>
        <w:pStyle w:val="5"/>
        <w:ind w:firstLine="562"/>
      </w:pPr>
      <w:bookmarkStart w:id="572" w:name="_Toc5430"/>
      <w:bookmarkStart w:id="573" w:name="_Toc32558"/>
      <w:bookmarkStart w:id="574" w:name="_Toc22714"/>
      <w:bookmarkStart w:id="575" w:name="_Toc11960"/>
      <w:r>
        <w:rPr>
          <w:rFonts w:hint="eastAsia"/>
        </w:rPr>
        <w:t>2.8</w:t>
      </w:r>
      <w:r>
        <w:t>.</w:t>
      </w:r>
      <w:r>
        <w:rPr>
          <w:rFonts w:hint="eastAsia"/>
        </w:rPr>
        <w:t xml:space="preserve">3 </w:t>
      </w:r>
      <w:r>
        <w:t>防雷</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pPr>
        <w:spacing w:before="50" w:after="50"/>
        <w:ind w:firstLine="520" w:firstLineChars="186"/>
        <w:rPr>
          <w:rFonts w:ascii="宋体" w:hAnsi="宋体"/>
          <w:color w:val="000000" w:themeColor="text1"/>
          <w:szCs w:val="28"/>
        </w:rPr>
      </w:pPr>
      <w:r>
        <w:rPr>
          <w:rFonts w:hint="eastAsia" w:ascii="宋体" w:hAnsi="宋体"/>
          <w:color w:val="auto"/>
          <w:szCs w:val="28"/>
        </w:rPr>
        <w:t>氟化分公司生产厂房、仓库等均设置了防雷装置。</w:t>
      </w:r>
      <w:r>
        <w:rPr>
          <w:rFonts w:hint="eastAsia" w:ascii="宋体" w:hAnsi="宋体"/>
          <w:color w:val="000000" w:themeColor="text1"/>
          <w:szCs w:val="28"/>
        </w:rPr>
        <w:t>氟化分公司防雷装置已于</w:t>
      </w:r>
      <w:r>
        <w:rPr>
          <w:rFonts w:ascii="宋体" w:hAnsi="宋体"/>
          <w:color w:val="000000" w:themeColor="text1"/>
          <w:szCs w:val="28"/>
        </w:rPr>
        <w:t>20</w:t>
      </w:r>
      <w:r>
        <w:rPr>
          <w:rFonts w:hint="eastAsia" w:ascii="宋体" w:hAnsi="宋体"/>
          <w:color w:val="000000" w:themeColor="text1"/>
          <w:szCs w:val="28"/>
        </w:rPr>
        <w:t>23年3月21日经云南省气象灾害防御技术中心检测，并出具了“符合”的雷电防护装置检测报告（云雷检字[2023]YXCJ第0025号），有效期至2024年3月21日。详见</w:t>
      </w:r>
      <w:r>
        <w:rPr>
          <w:rFonts w:hint="eastAsia"/>
          <w:szCs w:val="28"/>
        </w:rPr>
        <w:t>企业原始资料</w:t>
      </w:r>
      <w:r>
        <w:rPr>
          <w:rFonts w:hint="eastAsia"/>
          <w:szCs w:val="28"/>
          <w:lang w:val="en-US" w:eastAsia="zh-CN"/>
        </w:rPr>
        <w:t>附件</w:t>
      </w:r>
      <w:r>
        <w:rPr>
          <w:rFonts w:hint="eastAsia" w:ascii="宋体" w:hAnsi="宋体"/>
          <w:color w:val="000000" w:themeColor="text1"/>
          <w:szCs w:val="28"/>
        </w:rPr>
        <w:t>6.28。</w:t>
      </w:r>
    </w:p>
    <w:p>
      <w:pPr>
        <w:pStyle w:val="5"/>
        <w:ind w:firstLine="562"/>
      </w:pPr>
      <w:bookmarkStart w:id="576" w:name="_Toc23899"/>
      <w:bookmarkStart w:id="577" w:name="_Toc23558"/>
      <w:bookmarkStart w:id="578" w:name="_Toc21103"/>
      <w:bookmarkStart w:id="579" w:name="_Toc10646"/>
      <w:bookmarkStart w:id="580" w:name="_Toc23991"/>
      <w:bookmarkStart w:id="581" w:name="_Toc7824"/>
      <w:bookmarkStart w:id="582" w:name="_Toc23460"/>
      <w:bookmarkStart w:id="583" w:name="_Toc25411"/>
      <w:bookmarkStart w:id="584" w:name="_Toc3694"/>
      <w:bookmarkStart w:id="585" w:name="_Toc118297914"/>
      <w:bookmarkStart w:id="586" w:name="_Toc19993"/>
      <w:r>
        <w:rPr>
          <w:rFonts w:hint="eastAsia"/>
        </w:rPr>
        <w:t>2.8.4 消防</w:t>
      </w:r>
      <w:bookmarkEnd w:id="576"/>
      <w:bookmarkEnd w:id="577"/>
      <w:bookmarkEnd w:id="578"/>
      <w:bookmarkEnd w:id="579"/>
      <w:bookmarkEnd w:id="580"/>
      <w:bookmarkEnd w:id="581"/>
      <w:bookmarkEnd w:id="582"/>
      <w:bookmarkEnd w:id="583"/>
      <w:bookmarkEnd w:id="584"/>
      <w:bookmarkEnd w:id="585"/>
      <w:bookmarkEnd w:id="586"/>
    </w:p>
    <w:p>
      <w:pPr>
        <w:topLinePunct/>
        <w:ind w:firstLine="560"/>
      </w:pPr>
      <w:r>
        <w:rPr>
          <w:rFonts w:hint="eastAsia" w:ascii="宋体" w:hAnsi="宋体"/>
          <w:color w:val="auto"/>
          <w:szCs w:val="28"/>
        </w:rPr>
        <w:t>氟化分公司建设工程消防设计于2</w:t>
      </w:r>
      <w:r>
        <w:rPr>
          <w:rFonts w:ascii="宋体" w:hAnsi="宋体"/>
          <w:color w:val="auto"/>
          <w:szCs w:val="28"/>
        </w:rPr>
        <w:t>0</w:t>
      </w:r>
      <w:r>
        <w:rPr>
          <w:rFonts w:hint="eastAsia" w:ascii="宋体" w:hAnsi="宋体"/>
          <w:color w:val="auto"/>
          <w:szCs w:val="28"/>
        </w:rPr>
        <w:t>08年06月12日经原澄江县公安消防大队监督审查，符合消防安全要求，并出具了《澄江县公安消防大队复查意见书》，详见</w:t>
      </w:r>
      <w:r>
        <w:rPr>
          <w:rFonts w:hint="eastAsia"/>
          <w:szCs w:val="28"/>
        </w:rPr>
        <w:t>企业原始资料</w:t>
      </w:r>
      <w:r>
        <w:rPr>
          <w:rFonts w:hint="eastAsia"/>
          <w:szCs w:val="28"/>
          <w:lang w:val="en-US" w:eastAsia="zh-CN"/>
        </w:rPr>
        <w:t>附件6.</w:t>
      </w:r>
      <w:r>
        <w:rPr>
          <w:rFonts w:hint="eastAsia" w:ascii="宋体" w:hAnsi="宋体"/>
          <w:color w:val="auto"/>
          <w:szCs w:val="28"/>
          <w:lang w:val="en-US" w:eastAsia="zh-CN"/>
        </w:rPr>
        <w:t>7</w:t>
      </w:r>
      <w:r>
        <w:rPr>
          <w:rFonts w:hint="eastAsia" w:ascii="宋体" w:hAnsi="宋体"/>
          <w:color w:val="auto"/>
          <w:szCs w:val="28"/>
        </w:rPr>
        <w:t>。整个厂区设置了20具灭火器，1个室外消防栓，一个应急器材柜。</w:t>
      </w:r>
    </w:p>
    <w:p>
      <w:pPr>
        <w:pStyle w:val="5"/>
        <w:keepNext w:val="0"/>
        <w:keepLines w:val="0"/>
        <w:ind w:firstLine="562"/>
        <w:rPr>
          <w:color w:val="auto"/>
        </w:rPr>
      </w:pPr>
      <w:bookmarkStart w:id="587" w:name="_Toc11066"/>
      <w:bookmarkStart w:id="588" w:name="_Toc14051"/>
      <w:bookmarkStart w:id="589" w:name="_Toc5026"/>
      <w:bookmarkStart w:id="590" w:name="_Toc14813"/>
      <w:bookmarkStart w:id="591" w:name="_Toc31946"/>
      <w:r>
        <w:rPr>
          <w:rFonts w:hint="eastAsia"/>
        </w:rPr>
        <w:t xml:space="preserve">2.8.5 </w:t>
      </w:r>
      <w:bookmarkEnd w:id="587"/>
      <w:r>
        <w:rPr>
          <w:rFonts w:hint="eastAsia"/>
          <w:color w:val="auto"/>
        </w:rPr>
        <w:t>供热</w:t>
      </w:r>
      <w:bookmarkEnd w:id="588"/>
      <w:bookmarkEnd w:id="589"/>
      <w:bookmarkEnd w:id="590"/>
      <w:bookmarkEnd w:id="591"/>
    </w:p>
    <w:p>
      <w:pPr>
        <w:topLinePunct/>
        <w:ind w:firstLine="560"/>
      </w:pPr>
      <w:r>
        <w:rPr>
          <w:rFonts w:hint="eastAsia" w:ascii="宋体" w:hAnsi="宋体"/>
          <w:color w:val="auto"/>
          <w:szCs w:val="28"/>
        </w:rPr>
        <w:t>氟硅酸镁、氟硅酸生产使用蒸汽加热，供汽压力0.5MPa，每</w:t>
      </w:r>
      <w:r>
        <w:rPr>
          <w:rFonts w:hint="eastAsia" w:ascii="宋体" w:hAnsi="宋体"/>
          <w:color w:val="auto"/>
          <w:szCs w:val="28"/>
          <w:lang w:val="en-US" w:eastAsia="zh-CN"/>
        </w:rPr>
        <w:t>吨</w:t>
      </w:r>
      <w:r>
        <w:rPr>
          <w:rFonts w:hint="eastAsia" w:ascii="宋体" w:hAnsi="宋体"/>
          <w:color w:val="auto"/>
          <w:szCs w:val="28"/>
        </w:rPr>
        <w:t>产品单耗5t蒸汽，年需蒸汽5000t，由天辰公司</w:t>
      </w:r>
      <w:r>
        <w:rPr>
          <w:rFonts w:hint="eastAsia" w:ascii="宋体" w:hAnsi="宋体"/>
          <w:color w:val="auto"/>
          <w:szCs w:val="28"/>
          <w:lang w:eastAsia="zh-CN"/>
        </w:rPr>
        <w:t>、</w:t>
      </w:r>
      <w:r>
        <w:rPr>
          <w:rFonts w:hint="eastAsia" w:ascii="宋体" w:hAnsi="宋体" w:cs="宋体"/>
          <w:sz w:val="28"/>
          <w:szCs w:val="28"/>
        </w:rPr>
        <w:t>云南澄江华业磷化工有限责任公司</w:t>
      </w:r>
      <w:r>
        <w:rPr>
          <w:rFonts w:hint="eastAsia" w:ascii="宋体" w:hAnsi="宋体"/>
          <w:color w:val="auto"/>
          <w:szCs w:val="28"/>
        </w:rPr>
        <w:t>提供，企业不单独配备锅炉。</w:t>
      </w:r>
    </w:p>
    <w:p>
      <w:pPr>
        <w:pStyle w:val="4"/>
        <w:ind w:firstLine="562"/>
      </w:pPr>
      <w:bookmarkStart w:id="592" w:name="_Toc5554"/>
      <w:bookmarkStart w:id="593" w:name="_Toc16555"/>
      <w:bookmarkStart w:id="594" w:name="_Toc14897"/>
      <w:bookmarkStart w:id="595" w:name="_Toc27952"/>
      <w:bookmarkStart w:id="596" w:name="_Toc118297917"/>
      <w:bookmarkStart w:id="597" w:name="_Toc2736"/>
      <w:bookmarkStart w:id="598" w:name="_Toc7092"/>
      <w:bookmarkStart w:id="599" w:name="_Toc19492"/>
      <w:bookmarkStart w:id="600" w:name="_Toc22105"/>
      <w:bookmarkStart w:id="601" w:name="_Toc30211"/>
      <w:bookmarkStart w:id="602" w:name="_Toc26075"/>
      <w:bookmarkStart w:id="603" w:name="_Toc7196"/>
      <w:bookmarkStart w:id="604" w:name="_Toc8328"/>
      <w:bookmarkStart w:id="605" w:name="_Toc1121"/>
      <w:bookmarkStart w:id="606" w:name="_Toc8701"/>
      <w:bookmarkStart w:id="607" w:name="_Toc18483"/>
      <w:bookmarkStart w:id="608" w:name="_Toc709"/>
      <w:bookmarkStart w:id="609" w:name="_Toc7288"/>
      <w:bookmarkStart w:id="610" w:name="_Toc32471"/>
      <w:bookmarkStart w:id="611" w:name="_Toc9324"/>
      <w:bookmarkStart w:id="612" w:name="_Toc11715"/>
      <w:r>
        <w:rPr>
          <w:rFonts w:hint="eastAsia"/>
        </w:rPr>
        <w:t>2.9 主要安全设施</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pPr>
        <w:topLinePunct/>
        <w:ind w:firstLine="560"/>
        <w:rPr>
          <w:color w:val="auto"/>
        </w:rPr>
      </w:pPr>
      <w:r>
        <w:rPr>
          <w:rFonts w:hint="eastAsia"/>
          <w:color w:val="auto"/>
        </w:rPr>
        <w:t>项目安全设施设置情况见下表所示：</w:t>
      </w:r>
    </w:p>
    <w:p>
      <w:pPr>
        <w:adjustRightInd/>
        <w:snapToGrid/>
        <w:spacing w:line="500" w:lineRule="exact"/>
        <w:ind w:firstLineChars="0"/>
        <w:jc w:val="center"/>
        <w:rPr>
          <w:rFonts w:ascii="宋体" w:hAnsi="宋体" w:cs="宋体"/>
          <w:b/>
          <w:bCs/>
          <w:color w:val="auto"/>
          <w:sz w:val="24"/>
        </w:rPr>
      </w:pPr>
      <w:r>
        <w:rPr>
          <w:rFonts w:hint="eastAsia" w:ascii="宋体" w:hAnsi="宋体" w:cs="宋体"/>
          <w:b/>
          <w:bCs/>
          <w:color w:val="auto"/>
          <w:sz w:val="24"/>
        </w:rPr>
        <w:t>表2.9-1  安全设施设置情况一览表</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911"/>
        <w:gridCol w:w="1523"/>
        <w:gridCol w:w="5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40" w:type="dxa"/>
            <w:vAlign w:val="center"/>
          </w:tcPr>
          <w:p>
            <w:pPr>
              <w:pStyle w:val="68"/>
              <w:spacing w:before="0" w:after="0" w:line="300" w:lineRule="exact"/>
              <w:ind w:firstLine="0" w:firstLineChars="0"/>
              <w:rPr>
                <w:b/>
                <w:bCs/>
                <w:szCs w:val="21"/>
              </w:rPr>
            </w:pPr>
            <w:r>
              <w:rPr>
                <w:b/>
                <w:bCs/>
                <w:szCs w:val="21"/>
              </w:rPr>
              <w:t>序号</w:t>
            </w:r>
          </w:p>
        </w:tc>
        <w:tc>
          <w:tcPr>
            <w:tcW w:w="2434" w:type="dxa"/>
            <w:gridSpan w:val="2"/>
            <w:vAlign w:val="center"/>
          </w:tcPr>
          <w:p>
            <w:pPr>
              <w:pStyle w:val="68"/>
              <w:spacing w:before="0" w:after="0" w:line="300" w:lineRule="exact"/>
              <w:ind w:firstLine="0" w:firstLineChars="0"/>
              <w:rPr>
                <w:b/>
                <w:bCs/>
                <w:szCs w:val="21"/>
              </w:rPr>
            </w:pPr>
            <w:r>
              <w:rPr>
                <w:b/>
                <w:bCs/>
                <w:szCs w:val="21"/>
              </w:rPr>
              <w:t>安</w:t>
            </w:r>
            <w:r>
              <w:rPr>
                <w:rFonts w:hint="eastAsia"/>
                <w:b/>
                <w:bCs/>
                <w:szCs w:val="21"/>
              </w:rPr>
              <w:t xml:space="preserve"> </w:t>
            </w:r>
            <w:r>
              <w:rPr>
                <w:b/>
                <w:bCs/>
                <w:szCs w:val="21"/>
              </w:rPr>
              <w:t>全</w:t>
            </w:r>
            <w:r>
              <w:rPr>
                <w:rFonts w:hint="eastAsia"/>
                <w:b/>
                <w:bCs/>
                <w:szCs w:val="21"/>
              </w:rPr>
              <w:t xml:space="preserve"> </w:t>
            </w:r>
            <w:r>
              <w:rPr>
                <w:b/>
                <w:bCs/>
                <w:szCs w:val="21"/>
              </w:rPr>
              <w:t>设</w:t>
            </w:r>
            <w:r>
              <w:rPr>
                <w:rFonts w:hint="eastAsia"/>
                <w:b/>
                <w:bCs/>
                <w:szCs w:val="21"/>
              </w:rPr>
              <w:t xml:space="preserve"> </w:t>
            </w:r>
            <w:r>
              <w:rPr>
                <w:b/>
                <w:bCs/>
                <w:szCs w:val="21"/>
              </w:rPr>
              <w:t>施</w:t>
            </w:r>
            <w:r>
              <w:rPr>
                <w:rFonts w:hint="eastAsia"/>
                <w:b/>
                <w:bCs/>
                <w:szCs w:val="21"/>
              </w:rPr>
              <w:t xml:space="preserve"> </w:t>
            </w:r>
            <w:r>
              <w:rPr>
                <w:b/>
                <w:bCs/>
                <w:szCs w:val="21"/>
              </w:rPr>
              <w:t>名</w:t>
            </w:r>
            <w:r>
              <w:rPr>
                <w:rFonts w:hint="eastAsia"/>
                <w:b/>
                <w:bCs/>
                <w:szCs w:val="21"/>
              </w:rPr>
              <w:t xml:space="preserve"> </w:t>
            </w:r>
            <w:r>
              <w:rPr>
                <w:b/>
                <w:bCs/>
                <w:szCs w:val="21"/>
              </w:rPr>
              <w:t>称</w:t>
            </w:r>
          </w:p>
        </w:tc>
        <w:tc>
          <w:tcPr>
            <w:tcW w:w="5898" w:type="dxa"/>
            <w:vAlign w:val="center"/>
          </w:tcPr>
          <w:p>
            <w:pPr>
              <w:pStyle w:val="68"/>
              <w:spacing w:before="0" w:after="0" w:line="300" w:lineRule="exact"/>
              <w:ind w:firstLine="0" w:firstLineChars="0"/>
              <w:rPr>
                <w:b/>
                <w:bCs/>
                <w:szCs w:val="21"/>
              </w:rPr>
            </w:pPr>
            <w:r>
              <w:rPr>
                <w:b/>
                <w:bCs/>
                <w:szCs w:val="21"/>
              </w:rPr>
              <w:t>设</w:t>
            </w:r>
            <w:r>
              <w:rPr>
                <w:rFonts w:hint="eastAsia"/>
                <w:b/>
                <w:bCs/>
                <w:szCs w:val="21"/>
              </w:rPr>
              <w:t xml:space="preserve">  </w:t>
            </w:r>
            <w:r>
              <w:rPr>
                <w:b/>
                <w:bCs/>
                <w:szCs w:val="21"/>
              </w:rPr>
              <w:t>置</w:t>
            </w:r>
            <w:r>
              <w:rPr>
                <w:rFonts w:hint="eastAsia"/>
                <w:b/>
                <w:bCs/>
                <w:szCs w:val="21"/>
              </w:rPr>
              <w:t xml:space="preserve">  </w:t>
            </w:r>
            <w:r>
              <w:rPr>
                <w:b/>
                <w:bCs/>
                <w:szCs w:val="21"/>
              </w:rPr>
              <w:t>情</w:t>
            </w:r>
            <w:r>
              <w:rPr>
                <w:rFonts w:hint="eastAsia"/>
                <w:b/>
                <w:bCs/>
                <w:szCs w:val="21"/>
              </w:rPr>
              <w:t xml:space="preserve">  </w:t>
            </w:r>
            <w:r>
              <w:rPr>
                <w:b/>
                <w:bCs/>
                <w:szCs w:val="21"/>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vAlign w:val="center"/>
          </w:tcPr>
          <w:p>
            <w:pPr>
              <w:pStyle w:val="68"/>
              <w:spacing w:before="0" w:after="0" w:line="300" w:lineRule="exact"/>
              <w:ind w:firstLine="0" w:firstLineChars="0"/>
              <w:rPr>
                <w:szCs w:val="21"/>
              </w:rPr>
            </w:pPr>
            <w:r>
              <w:rPr>
                <w:szCs w:val="21"/>
              </w:rPr>
              <w:t>1</w:t>
            </w:r>
          </w:p>
        </w:tc>
        <w:tc>
          <w:tcPr>
            <w:tcW w:w="911" w:type="dxa"/>
            <w:vMerge w:val="restart"/>
            <w:vAlign w:val="center"/>
          </w:tcPr>
          <w:p>
            <w:pPr>
              <w:pStyle w:val="68"/>
              <w:spacing w:before="0" w:after="0" w:line="300" w:lineRule="exact"/>
              <w:ind w:firstLine="0" w:firstLineChars="0"/>
              <w:rPr>
                <w:szCs w:val="21"/>
              </w:rPr>
            </w:pPr>
            <w:r>
              <w:rPr>
                <w:szCs w:val="21"/>
              </w:rPr>
              <w:t>预防事故措施</w:t>
            </w:r>
          </w:p>
        </w:tc>
        <w:tc>
          <w:tcPr>
            <w:tcW w:w="1523" w:type="dxa"/>
            <w:vAlign w:val="center"/>
          </w:tcPr>
          <w:p>
            <w:pPr>
              <w:pStyle w:val="68"/>
              <w:spacing w:before="0" w:after="0" w:line="300" w:lineRule="exact"/>
              <w:ind w:firstLine="0" w:firstLineChars="0"/>
              <w:rPr>
                <w:szCs w:val="21"/>
              </w:rPr>
            </w:pPr>
            <w:r>
              <w:rPr>
                <w:szCs w:val="21"/>
              </w:rPr>
              <w:t>设备安全防护设施</w:t>
            </w:r>
          </w:p>
        </w:tc>
        <w:tc>
          <w:tcPr>
            <w:tcW w:w="5898" w:type="dxa"/>
            <w:vAlign w:val="center"/>
          </w:tcPr>
          <w:p>
            <w:pPr>
              <w:pStyle w:val="68"/>
              <w:spacing w:before="0" w:after="0" w:line="300" w:lineRule="exact"/>
              <w:ind w:firstLine="0" w:firstLineChars="0"/>
              <w:jc w:val="both"/>
              <w:rPr>
                <w:szCs w:val="21"/>
              </w:rPr>
            </w:pPr>
            <w:r>
              <w:rPr>
                <w:rFonts w:hint="eastAsia"/>
                <w:szCs w:val="21"/>
              </w:rPr>
              <w:t>①机械等转动部分安装了防护罩、过载保护等设施。</w:t>
            </w:r>
          </w:p>
          <w:p>
            <w:pPr>
              <w:pStyle w:val="68"/>
              <w:spacing w:before="0" w:after="0" w:line="300" w:lineRule="exact"/>
              <w:ind w:firstLine="0" w:firstLineChars="0"/>
              <w:jc w:val="both"/>
              <w:rPr>
                <w:szCs w:val="21"/>
              </w:rPr>
            </w:pPr>
            <w:r>
              <w:rPr>
                <w:rFonts w:hint="eastAsia"/>
                <w:szCs w:val="21"/>
              </w:rPr>
              <w:t>②氟硅酸池、清液池、母液池采用玻璃钢涂环氧树脂防腐，生产使用设备及管道的材料选择防腐材料。</w:t>
            </w:r>
          </w:p>
          <w:p>
            <w:pPr>
              <w:pStyle w:val="68"/>
              <w:spacing w:before="0" w:after="0" w:line="300" w:lineRule="exact"/>
              <w:ind w:firstLine="0" w:firstLineChars="0"/>
              <w:jc w:val="both"/>
              <w:rPr>
                <w:szCs w:val="21"/>
              </w:rPr>
            </w:pPr>
            <w:r>
              <w:rPr>
                <w:rFonts w:hint="eastAsia"/>
                <w:szCs w:val="21"/>
              </w:rPr>
              <w:t>③设置了尾气吸收装置。</w:t>
            </w:r>
          </w:p>
          <w:p>
            <w:pPr>
              <w:pStyle w:val="68"/>
              <w:spacing w:before="0" w:after="0" w:line="300" w:lineRule="exact"/>
              <w:ind w:firstLine="0" w:firstLineChars="0"/>
              <w:jc w:val="both"/>
              <w:rPr>
                <w:szCs w:val="21"/>
              </w:rPr>
            </w:pPr>
            <w:r>
              <w:rPr>
                <w:rFonts w:hint="eastAsia"/>
                <w:szCs w:val="21"/>
              </w:rPr>
              <w:t>④</w:t>
            </w:r>
            <w:r>
              <w:rPr>
                <w:szCs w:val="21"/>
              </w:rPr>
              <w:t>在重要部位设置了压力表</w:t>
            </w:r>
            <w:r>
              <w:rPr>
                <w:rFonts w:hint="eastAsia"/>
                <w:szCs w:val="21"/>
              </w:rPr>
              <w:t>，</w:t>
            </w:r>
            <w:r>
              <w:rPr>
                <w:szCs w:val="21"/>
              </w:rPr>
              <w:t>安全阀</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40" w:type="dxa"/>
            <w:vMerge w:val="continue"/>
            <w:vAlign w:val="center"/>
          </w:tcPr>
          <w:p>
            <w:pPr>
              <w:pStyle w:val="68"/>
              <w:spacing w:before="0" w:after="0" w:line="300" w:lineRule="exact"/>
              <w:ind w:firstLine="0" w:firstLineChars="0"/>
              <w:rPr>
                <w:szCs w:val="21"/>
              </w:rPr>
            </w:pPr>
          </w:p>
        </w:tc>
        <w:tc>
          <w:tcPr>
            <w:tcW w:w="911" w:type="dxa"/>
            <w:vMerge w:val="continue"/>
            <w:vAlign w:val="center"/>
          </w:tcPr>
          <w:p>
            <w:pPr>
              <w:pStyle w:val="68"/>
              <w:spacing w:before="0" w:after="0" w:line="300" w:lineRule="exact"/>
              <w:ind w:firstLine="0" w:firstLineChars="0"/>
              <w:rPr>
                <w:szCs w:val="21"/>
              </w:rPr>
            </w:pPr>
          </w:p>
        </w:tc>
        <w:tc>
          <w:tcPr>
            <w:tcW w:w="1523" w:type="dxa"/>
            <w:vAlign w:val="center"/>
          </w:tcPr>
          <w:p>
            <w:pPr>
              <w:pStyle w:val="68"/>
              <w:spacing w:before="0" w:after="0" w:line="300" w:lineRule="exact"/>
              <w:ind w:firstLine="0" w:firstLineChars="0"/>
              <w:rPr>
                <w:szCs w:val="21"/>
              </w:rPr>
            </w:pPr>
            <w:r>
              <w:rPr>
                <w:szCs w:val="21"/>
              </w:rPr>
              <w:t>作业场所防护设施</w:t>
            </w:r>
          </w:p>
        </w:tc>
        <w:tc>
          <w:tcPr>
            <w:tcW w:w="5898" w:type="dxa"/>
          </w:tcPr>
          <w:p>
            <w:pPr>
              <w:pStyle w:val="68"/>
              <w:spacing w:before="0" w:after="0" w:line="300" w:lineRule="exact"/>
              <w:ind w:firstLine="0" w:firstLineChars="0"/>
              <w:jc w:val="both"/>
              <w:rPr>
                <w:szCs w:val="21"/>
              </w:rPr>
            </w:pPr>
            <w:r>
              <w:rPr>
                <w:rFonts w:hint="eastAsia"/>
                <w:szCs w:val="21"/>
              </w:rPr>
              <w:t>①厂房内各操作平台、楼梯安装防护栏、地面划定了分区界限，车间内做到定置管理；</w:t>
            </w:r>
          </w:p>
          <w:p>
            <w:pPr>
              <w:pStyle w:val="68"/>
              <w:spacing w:before="0" w:after="0" w:line="300" w:lineRule="exact"/>
              <w:ind w:firstLine="0" w:firstLineChars="0"/>
              <w:jc w:val="both"/>
              <w:rPr>
                <w:szCs w:val="21"/>
              </w:rPr>
            </w:pPr>
            <w:r>
              <w:rPr>
                <w:rFonts w:hint="eastAsia"/>
                <w:szCs w:val="21"/>
              </w:rPr>
              <w:t>②厂房屋顶设置了防雷设施；</w:t>
            </w:r>
          </w:p>
          <w:p>
            <w:pPr>
              <w:pStyle w:val="68"/>
              <w:spacing w:before="0" w:after="0" w:line="300" w:lineRule="exact"/>
              <w:ind w:firstLine="0" w:firstLineChars="0"/>
              <w:jc w:val="both"/>
              <w:rPr>
                <w:szCs w:val="21"/>
              </w:rPr>
            </w:pPr>
            <w:r>
              <w:rPr>
                <w:rFonts w:hint="eastAsia"/>
                <w:szCs w:val="21"/>
              </w:rPr>
              <w:t>③</w:t>
            </w:r>
            <w:r>
              <w:rPr>
                <w:szCs w:val="21"/>
              </w:rPr>
              <w:t>在各操作点处设置了操作规程</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40" w:type="dxa"/>
            <w:vMerge w:val="continue"/>
            <w:vAlign w:val="center"/>
          </w:tcPr>
          <w:p>
            <w:pPr>
              <w:pStyle w:val="68"/>
              <w:spacing w:before="0" w:after="0" w:line="300" w:lineRule="exact"/>
              <w:ind w:firstLine="0" w:firstLineChars="0"/>
              <w:rPr>
                <w:szCs w:val="21"/>
              </w:rPr>
            </w:pPr>
          </w:p>
        </w:tc>
        <w:tc>
          <w:tcPr>
            <w:tcW w:w="911" w:type="dxa"/>
            <w:vMerge w:val="continue"/>
            <w:vAlign w:val="center"/>
          </w:tcPr>
          <w:p>
            <w:pPr>
              <w:pStyle w:val="68"/>
              <w:spacing w:before="0" w:after="0" w:line="300" w:lineRule="exact"/>
              <w:ind w:firstLine="0" w:firstLineChars="0"/>
              <w:rPr>
                <w:szCs w:val="21"/>
              </w:rPr>
            </w:pPr>
          </w:p>
        </w:tc>
        <w:tc>
          <w:tcPr>
            <w:tcW w:w="1523" w:type="dxa"/>
            <w:vAlign w:val="center"/>
          </w:tcPr>
          <w:p>
            <w:pPr>
              <w:pStyle w:val="68"/>
              <w:spacing w:before="0" w:after="0" w:line="300" w:lineRule="exact"/>
              <w:ind w:firstLine="0" w:firstLineChars="0"/>
              <w:rPr>
                <w:szCs w:val="21"/>
              </w:rPr>
            </w:pPr>
            <w:r>
              <w:rPr>
                <w:szCs w:val="21"/>
              </w:rPr>
              <w:t>安全警示标志</w:t>
            </w:r>
          </w:p>
        </w:tc>
        <w:tc>
          <w:tcPr>
            <w:tcW w:w="5898" w:type="dxa"/>
          </w:tcPr>
          <w:p>
            <w:pPr>
              <w:pStyle w:val="68"/>
              <w:spacing w:before="0" w:after="0" w:line="300" w:lineRule="exact"/>
              <w:ind w:firstLine="0" w:firstLineChars="0"/>
              <w:jc w:val="both"/>
              <w:rPr>
                <w:szCs w:val="21"/>
              </w:rPr>
            </w:pPr>
            <w:r>
              <w:rPr>
                <w:rFonts w:hint="eastAsia"/>
                <w:szCs w:val="21"/>
              </w:rPr>
              <w:t>厂房内设置有严禁烟火、必须穿防护服、必须带防尘口罩、必须带防护手套等安全警示标志。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740" w:type="dxa"/>
            <w:vAlign w:val="center"/>
          </w:tcPr>
          <w:p>
            <w:pPr>
              <w:pStyle w:val="68"/>
              <w:spacing w:before="0" w:after="0" w:line="300" w:lineRule="exact"/>
              <w:ind w:firstLine="0" w:firstLineChars="0"/>
              <w:rPr>
                <w:szCs w:val="21"/>
              </w:rPr>
            </w:pPr>
            <w:r>
              <w:rPr>
                <w:szCs w:val="21"/>
              </w:rPr>
              <w:t>2</w:t>
            </w:r>
          </w:p>
        </w:tc>
        <w:tc>
          <w:tcPr>
            <w:tcW w:w="911" w:type="dxa"/>
            <w:vAlign w:val="center"/>
          </w:tcPr>
          <w:p>
            <w:pPr>
              <w:pStyle w:val="68"/>
              <w:spacing w:before="0" w:after="0" w:line="300" w:lineRule="exact"/>
              <w:ind w:firstLine="0" w:firstLineChars="0"/>
              <w:rPr>
                <w:szCs w:val="21"/>
              </w:rPr>
            </w:pPr>
            <w:r>
              <w:rPr>
                <w:szCs w:val="21"/>
              </w:rPr>
              <w:t>控制事故措施</w:t>
            </w:r>
          </w:p>
        </w:tc>
        <w:tc>
          <w:tcPr>
            <w:tcW w:w="1523" w:type="dxa"/>
            <w:vAlign w:val="center"/>
          </w:tcPr>
          <w:p>
            <w:pPr>
              <w:pStyle w:val="68"/>
              <w:spacing w:before="0" w:after="0" w:line="300" w:lineRule="exact"/>
              <w:ind w:firstLine="0" w:firstLineChars="0"/>
              <w:jc w:val="both"/>
              <w:rPr>
                <w:szCs w:val="21"/>
              </w:rPr>
            </w:pPr>
            <w:r>
              <w:rPr>
                <w:szCs w:val="21"/>
              </w:rPr>
              <w:t>紧急处理设施</w:t>
            </w:r>
          </w:p>
        </w:tc>
        <w:tc>
          <w:tcPr>
            <w:tcW w:w="5898" w:type="dxa"/>
          </w:tcPr>
          <w:p>
            <w:pPr>
              <w:pStyle w:val="68"/>
              <w:spacing w:before="0" w:after="0" w:line="300" w:lineRule="exact"/>
              <w:ind w:firstLine="0" w:firstLineChars="0"/>
              <w:jc w:val="both"/>
              <w:rPr>
                <w:szCs w:val="21"/>
              </w:rPr>
            </w:pPr>
            <w:r>
              <w:rPr>
                <w:rFonts w:hint="eastAsia"/>
                <w:szCs w:val="21"/>
              </w:rPr>
              <w:t>①机械控制柜设置紧急停车按钮，事故状态下能迅速切断电源，停止设备运转。</w:t>
            </w:r>
          </w:p>
          <w:p>
            <w:pPr>
              <w:pStyle w:val="68"/>
              <w:spacing w:before="0" w:after="0" w:line="300" w:lineRule="exact"/>
              <w:ind w:firstLine="0" w:firstLineChars="0"/>
              <w:jc w:val="both"/>
              <w:rPr>
                <w:szCs w:val="21"/>
              </w:rPr>
            </w:pPr>
            <w:r>
              <w:rPr>
                <w:rFonts w:hint="eastAsia"/>
                <w:szCs w:val="21"/>
              </w:rPr>
              <w:t>②在生产区设置了3台复合喷淋洗眼器。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740" w:type="dxa"/>
            <w:vMerge w:val="restart"/>
            <w:vAlign w:val="center"/>
          </w:tcPr>
          <w:p>
            <w:pPr>
              <w:pStyle w:val="68"/>
              <w:spacing w:before="0" w:after="0" w:line="300" w:lineRule="exact"/>
              <w:ind w:firstLine="0" w:firstLineChars="0"/>
              <w:rPr>
                <w:szCs w:val="21"/>
              </w:rPr>
            </w:pPr>
            <w:r>
              <w:rPr>
                <w:szCs w:val="21"/>
              </w:rPr>
              <w:t>3</w:t>
            </w:r>
          </w:p>
        </w:tc>
        <w:tc>
          <w:tcPr>
            <w:tcW w:w="911" w:type="dxa"/>
            <w:vMerge w:val="restart"/>
            <w:vAlign w:val="center"/>
          </w:tcPr>
          <w:p>
            <w:pPr>
              <w:pStyle w:val="68"/>
              <w:spacing w:before="0" w:after="0" w:line="300" w:lineRule="exact"/>
              <w:ind w:firstLine="0" w:firstLineChars="0"/>
              <w:rPr>
                <w:szCs w:val="21"/>
              </w:rPr>
            </w:pPr>
            <w:r>
              <w:rPr>
                <w:szCs w:val="21"/>
              </w:rPr>
              <w:t>减少与消除事故影响措施</w:t>
            </w:r>
          </w:p>
        </w:tc>
        <w:tc>
          <w:tcPr>
            <w:tcW w:w="1523" w:type="dxa"/>
            <w:vAlign w:val="center"/>
          </w:tcPr>
          <w:p>
            <w:pPr>
              <w:pStyle w:val="68"/>
              <w:spacing w:before="0" w:after="0" w:line="300" w:lineRule="exact"/>
              <w:ind w:firstLine="0" w:firstLineChars="0"/>
              <w:rPr>
                <w:szCs w:val="21"/>
              </w:rPr>
            </w:pPr>
            <w:r>
              <w:rPr>
                <w:szCs w:val="21"/>
              </w:rPr>
              <w:t>防止事故蔓延设施</w:t>
            </w:r>
          </w:p>
        </w:tc>
        <w:tc>
          <w:tcPr>
            <w:tcW w:w="5898" w:type="dxa"/>
            <w:vAlign w:val="center"/>
          </w:tcPr>
          <w:p>
            <w:pPr>
              <w:pStyle w:val="68"/>
              <w:spacing w:before="0" w:after="0" w:line="300" w:lineRule="exact"/>
              <w:ind w:firstLine="0" w:firstLineChars="0"/>
              <w:jc w:val="both"/>
              <w:rPr>
                <w:szCs w:val="21"/>
              </w:rPr>
            </w:pPr>
            <w:r>
              <w:rPr>
                <w:rFonts w:hint="eastAsia"/>
                <w:szCs w:val="21"/>
              </w:rPr>
              <w:t>该公司在厂区设有安全通道，并设置了事故应急救援疏散标志。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vAlign w:val="center"/>
          </w:tcPr>
          <w:p>
            <w:pPr>
              <w:pStyle w:val="68"/>
              <w:spacing w:before="0" w:after="0" w:line="300" w:lineRule="exact"/>
              <w:ind w:firstLine="0" w:firstLineChars="0"/>
              <w:rPr>
                <w:szCs w:val="21"/>
              </w:rPr>
            </w:pPr>
          </w:p>
        </w:tc>
        <w:tc>
          <w:tcPr>
            <w:tcW w:w="911" w:type="dxa"/>
            <w:vMerge w:val="continue"/>
            <w:vAlign w:val="center"/>
          </w:tcPr>
          <w:p>
            <w:pPr>
              <w:pStyle w:val="68"/>
              <w:spacing w:before="0" w:after="0" w:line="300" w:lineRule="exact"/>
              <w:ind w:firstLine="0" w:firstLineChars="0"/>
              <w:rPr>
                <w:szCs w:val="21"/>
              </w:rPr>
            </w:pPr>
          </w:p>
        </w:tc>
        <w:tc>
          <w:tcPr>
            <w:tcW w:w="1523" w:type="dxa"/>
            <w:vAlign w:val="center"/>
          </w:tcPr>
          <w:p>
            <w:pPr>
              <w:pStyle w:val="68"/>
              <w:spacing w:before="0" w:after="0" w:line="300" w:lineRule="exact"/>
              <w:ind w:firstLine="0" w:firstLineChars="0"/>
              <w:rPr>
                <w:szCs w:val="21"/>
              </w:rPr>
            </w:pPr>
            <w:r>
              <w:rPr>
                <w:szCs w:val="21"/>
              </w:rPr>
              <w:t>灭火设施</w:t>
            </w:r>
          </w:p>
        </w:tc>
        <w:tc>
          <w:tcPr>
            <w:tcW w:w="5898" w:type="dxa"/>
            <w:vAlign w:val="center"/>
          </w:tcPr>
          <w:p>
            <w:pPr>
              <w:pStyle w:val="68"/>
              <w:spacing w:before="0" w:after="0" w:line="300" w:lineRule="exact"/>
              <w:ind w:firstLine="0" w:firstLineChars="0"/>
              <w:jc w:val="both"/>
              <w:rPr>
                <w:szCs w:val="21"/>
              </w:rPr>
            </w:pPr>
            <w:r>
              <w:rPr>
                <w:rFonts w:hint="eastAsia"/>
                <w:szCs w:val="21"/>
              </w:rPr>
              <w:t>公司设置有20具灭火器、1个室外消防栓。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40" w:type="dxa"/>
            <w:vMerge w:val="continue"/>
            <w:vAlign w:val="center"/>
          </w:tcPr>
          <w:p>
            <w:pPr>
              <w:pStyle w:val="68"/>
              <w:spacing w:before="0" w:after="0" w:line="300" w:lineRule="exact"/>
              <w:ind w:firstLine="0" w:firstLineChars="0"/>
              <w:rPr>
                <w:szCs w:val="21"/>
              </w:rPr>
            </w:pPr>
          </w:p>
        </w:tc>
        <w:tc>
          <w:tcPr>
            <w:tcW w:w="911" w:type="dxa"/>
            <w:vMerge w:val="continue"/>
            <w:vAlign w:val="center"/>
          </w:tcPr>
          <w:p>
            <w:pPr>
              <w:pStyle w:val="68"/>
              <w:spacing w:before="0" w:after="0" w:line="300" w:lineRule="exact"/>
              <w:ind w:firstLine="0" w:firstLineChars="0"/>
              <w:rPr>
                <w:szCs w:val="21"/>
              </w:rPr>
            </w:pPr>
          </w:p>
        </w:tc>
        <w:tc>
          <w:tcPr>
            <w:tcW w:w="1523" w:type="dxa"/>
            <w:vAlign w:val="center"/>
          </w:tcPr>
          <w:p>
            <w:pPr>
              <w:pStyle w:val="68"/>
              <w:spacing w:before="0" w:after="0" w:line="300" w:lineRule="exact"/>
              <w:ind w:firstLine="0" w:firstLineChars="0"/>
              <w:rPr>
                <w:szCs w:val="21"/>
              </w:rPr>
            </w:pPr>
            <w:r>
              <w:rPr>
                <w:szCs w:val="21"/>
              </w:rPr>
              <w:t>劳动防护用品和装备</w:t>
            </w:r>
          </w:p>
        </w:tc>
        <w:tc>
          <w:tcPr>
            <w:tcW w:w="5898" w:type="dxa"/>
            <w:vAlign w:val="center"/>
          </w:tcPr>
          <w:p>
            <w:pPr>
              <w:pStyle w:val="68"/>
              <w:spacing w:before="0" w:after="0" w:line="300" w:lineRule="exact"/>
              <w:ind w:firstLine="0" w:firstLineChars="0"/>
              <w:jc w:val="both"/>
              <w:rPr>
                <w:szCs w:val="21"/>
              </w:rPr>
            </w:pPr>
            <w:r>
              <w:rPr>
                <w:szCs w:val="21"/>
              </w:rPr>
              <w:t>为从业人员发放了</w:t>
            </w:r>
            <w:r>
              <w:rPr>
                <w:rFonts w:hint="eastAsia"/>
                <w:szCs w:val="21"/>
              </w:rPr>
              <w:t>防毒物渗透工作服、防尘口罩</w:t>
            </w:r>
            <w:r>
              <w:rPr>
                <w:szCs w:val="21"/>
              </w:rPr>
              <w:t>、橡胶耐酸碱手套</w:t>
            </w:r>
            <w:r>
              <w:rPr>
                <w:rFonts w:hint="eastAsia"/>
                <w:szCs w:val="21"/>
              </w:rPr>
              <w:t>、耐酸碱鞋</w:t>
            </w:r>
            <w:r>
              <w:rPr>
                <w:szCs w:val="21"/>
              </w:rPr>
              <w:t>等劳动防护用品并配备</w:t>
            </w:r>
            <w:r>
              <w:rPr>
                <w:rFonts w:hint="eastAsia"/>
                <w:szCs w:val="21"/>
              </w:rPr>
              <w:t>1个应急器材柜</w:t>
            </w:r>
            <w:r>
              <w:rPr>
                <w:szCs w:val="21"/>
              </w:rPr>
              <w:t>。</w:t>
            </w:r>
          </w:p>
        </w:tc>
      </w:tr>
    </w:tbl>
    <w:p>
      <w:pPr>
        <w:keepNext/>
        <w:keepLines/>
        <w:ind w:firstLine="560"/>
      </w:pPr>
      <w:bookmarkStart w:id="613" w:name="_Toc22300"/>
      <w:bookmarkStart w:id="614" w:name="_Toc1702"/>
      <w:bookmarkStart w:id="615" w:name="_Toc18469"/>
      <w:bookmarkStart w:id="616" w:name="_Toc13987"/>
      <w:bookmarkStart w:id="617" w:name="_Toc26180"/>
      <w:bookmarkStart w:id="618" w:name="_Toc6790"/>
      <w:bookmarkStart w:id="619" w:name="_Toc4316"/>
      <w:bookmarkStart w:id="620" w:name="_Toc822"/>
      <w:bookmarkStart w:id="621" w:name="_Toc31761"/>
      <w:bookmarkStart w:id="622" w:name="_Toc118297918"/>
      <w:bookmarkStart w:id="623" w:name="_Toc14946"/>
      <w:bookmarkStart w:id="624" w:name="_Toc22624"/>
      <w:bookmarkStart w:id="625" w:name="_Toc25841"/>
      <w:bookmarkStart w:id="626" w:name="_Toc17743"/>
      <w:bookmarkStart w:id="627" w:name="_Toc8660"/>
      <w:bookmarkStart w:id="628" w:name="_Toc18745"/>
      <w:bookmarkStart w:id="629" w:name="_Toc28772"/>
    </w:p>
    <w:p>
      <w:pPr>
        <w:pStyle w:val="4"/>
        <w:ind w:firstLine="562"/>
      </w:pPr>
      <w:bookmarkStart w:id="630" w:name="_Toc7474"/>
      <w:bookmarkStart w:id="631" w:name="_Toc6946"/>
      <w:bookmarkStart w:id="632" w:name="_Toc10634"/>
      <w:bookmarkStart w:id="633" w:name="_Toc17789"/>
      <w:r>
        <w:rPr>
          <w:rFonts w:hint="eastAsia"/>
        </w:rPr>
        <w:t>2.10 安全管理</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p>
    <w:p>
      <w:pPr>
        <w:keepNext w:val="0"/>
        <w:keepLines w:val="0"/>
        <w:pageBreakBefore w:val="0"/>
        <w:widowControl w:val="0"/>
        <w:kinsoku/>
        <w:wordWrap/>
        <w:overflowPunct/>
        <w:topLinePunct w:val="0"/>
        <w:autoSpaceDE/>
        <w:autoSpaceDN/>
        <w:bidi w:val="0"/>
        <w:adjustRightInd w:val="0"/>
        <w:snapToGrid w:val="0"/>
        <w:ind w:firstLine="560"/>
        <w:textAlignment w:val="auto"/>
        <w:outlineLvl w:val="2"/>
        <w:rPr>
          <w:b/>
          <w:bCs/>
        </w:rPr>
      </w:pPr>
      <w:bookmarkStart w:id="634" w:name="_Toc5412"/>
      <w:bookmarkStart w:id="635" w:name="_Toc21336"/>
      <w:bookmarkStart w:id="636" w:name="_Toc19637"/>
      <w:bookmarkStart w:id="637" w:name="_Toc8686"/>
      <w:bookmarkStart w:id="638" w:name="_Toc14508"/>
      <w:bookmarkStart w:id="639" w:name="_Toc3328"/>
      <w:bookmarkStart w:id="640" w:name="_Toc27138"/>
      <w:bookmarkStart w:id="641" w:name="_Toc8118"/>
      <w:bookmarkStart w:id="642" w:name="_Toc118297919"/>
      <w:bookmarkStart w:id="643" w:name="_Toc13799"/>
      <w:r>
        <w:rPr>
          <w:rFonts w:hint="eastAsia"/>
          <w:b/>
          <w:bCs/>
        </w:rPr>
        <w:t>2.10.1 安全管理机构</w:t>
      </w:r>
      <w:bookmarkEnd w:id="517"/>
      <w:bookmarkEnd w:id="518"/>
      <w:bookmarkEnd w:id="519"/>
      <w:bookmarkEnd w:id="520"/>
      <w:bookmarkEnd w:id="634"/>
      <w:bookmarkEnd w:id="635"/>
      <w:bookmarkEnd w:id="636"/>
      <w:bookmarkEnd w:id="637"/>
      <w:bookmarkEnd w:id="638"/>
      <w:bookmarkEnd w:id="639"/>
      <w:bookmarkEnd w:id="640"/>
      <w:bookmarkEnd w:id="641"/>
      <w:bookmarkEnd w:id="642"/>
      <w:bookmarkEnd w:id="643"/>
    </w:p>
    <w:p>
      <w:pPr>
        <w:ind w:firstLine="560"/>
      </w:pPr>
      <w:commentRangeStart w:id="6"/>
      <w:r>
        <w:rPr>
          <w:rFonts w:hint="eastAsia"/>
          <w:lang w:eastAsia="zh-CN"/>
        </w:rPr>
        <w:t>昆明合起工贸有限公司澄江氟化分公</w:t>
      </w:r>
      <w:r>
        <w:rPr>
          <w:rFonts w:hint="eastAsia"/>
          <w:u w:val="none" w:color="auto"/>
          <w:lang w:val="en-US" w:eastAsia="zh-CN"/>
        </w:rPr>
        <w:t>司现有职工21人，工作制度为年工作300天，两班制、每天工作8小时。管理人员2人（管安全与技术各一人），班组长4人。</w:t>
      </w:r>
      <w:r>
        <w:rPr>
          <w:rFonts w:hint="eastAsia"/>
          <w:color w:val="000000" w:themeColor="text1"/>
        </w:rPr>
        <w:t>公司</w:t>
      </w:r>
      <w:r>
        <w:rPr>
          <w:rFonts w:hint="eastAsia"/>
        </w:rPr>
        <w:t>成</w:t>
      </w:r>
      <w:commentRangeEnd w:id="6"/>
      <w:r>
        <w:commentReference w:id="6"/>
      </w:r>
      <w:r>
        <w:rPr>
          <w:rFonts w:hint="eastAsia"/>
        </w:rPr>
        <w:t>立了安全生产</w:t>
      </w:r>
      <w:r>
        <w:rPr>
          <w:rFonts w:hint="eastAsia"/>
          <w:lang w:val="en-US" w:eastAsia="zh-CN"/>
        </w:rPr>
        <w:t>领导小组</w:t>
      </w:r>
      <w:r>
        <w:rPr>
          <w:rFonts w:hint="eastAsia"/>
        </w:rPr>
        <w:t>，主要负责人任组长，主要职责是负责厂内安全生产领导工作，对厂内的安全管理工作负责，是安全生产的第一责任人。公司安全管理网络图如下所示。</w:t>
      </w:r>
      <w:r>
        <w:rPr>
          <w:rFonts w:hint="eastAsia"/>
          <w:color w:val="000000" w:themeColor="text1"/>
        </w:rPr>
        <w:t>关于成立</w:t>
      </w:r>
      <w:r>
        <w:rPr>
          <w:color w:val="000000" w:themeColor="text1"/>
        </w:rPr>
        <w:t>安全</w:t>
      </w:r>
      <w:r>
        <w:rPr>
          <w:rFonts w:hint="eastAsia"/>
          <w:color w:val="000000" w:themeColor="text1"/>
        </w:rPr>
        <w:t>生产</w:t>
      </w:r>
      <w:r>
        <w:rPr>
          <w:rFonts w:hint="eastAsia"/>
          <w:color w:val="000000" w:themeColor="text1"/>
          <w:lang w:val="en-US" w:eastAsia="zh-CN"/>
        </w:rPr>
        <w:t>领导小组</w:t>
      </w:r>
      <w:r>
        <w:rPr>
          <w:rFonts w:hint="eastAsia"/>
          <w:color w:val="000000" w:themeColor="text1"/>
        </w:rPr>
        <w:t>及任命专职安全员的通知详见</w:t>
      </w:r>
      <w:r>
        <w:rPr>
          <w:rFonts w:hint="eastAsia"/>
          <w:szCs w:val="28"/>
        </w:rPr>
        <w:t>企业原始资料</w:t>
      </w:r>
      <w:r>
        <w:rPr>
          <w:rFonts w:hint="eastAsia"/>
          <w:szCs w:val="28"/>
          <w:lang w:val="en-US" w:eastAsia="zh-CN"/>
        </w:rPr>
        <w:t>附件</w:t>
      </w:r>
      <w:r>
        <w:rPr>
          <w:rFonts w:hint="eastAsia"/>
          <w:color w:val="000000" w:themeColor="text1"/>
        </w:rPr>
        <w:t>6.11。</w:t>
      </w:r>
    </w:p>
    <w:p>
      <w:pPr>
        <w:ind w:firstLine="0" w:firstLineChars="0"/>
        <w:jc w:val="center"/>
        <w:rPr>
          <w:rFonts w:hint="eastAsia" w:ascii="宋体" w:hAnsi="宋体" w:eastAsia="宋体" w:cs="宋体"/>
          <w:b/>
          <w:bCs/>
          <w:sz w:val="24"/>
          <w:lang w:eastAsia="zh-CN"/>
        </w:rPr>
      </w:pPr>
      <w:bookmarkStart w:id="644" w:name="_Toc25524"/>
      <w:bookmarkStart w:id="645" w:name="_Toc90"/>
      <w:bookmarkStart w:id="646" w:name="_Toc12686"/>
      <w:bookmarkStart w:id="647" w:name="_Toc128056410"/>
      <w:r>
        <w:rPr>
          <w:rFonts w:hint="eastAsia" w:ascii="宋体" w:hAnsi="宋体" w:eastAsia="宋体" w:cs="宋体"/>
          <w:b/>
          <w:bCs/>
          <w:sz w:val="24"/>
          <w:lang w:eastAsia="zh-CN"/>
        </w:rPr>
        <w:drawing>
          <wp:inline distT="0" distB="0" distL="114300" distR="114300">
            <wp:extent cx="3860165" cy="2934970"/>
            <wp:effectExtent l="0" t="0" r="6985" b="17780"/>
            <wp:docPr id="19" name="图片 19" descr="16971656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97165697(1)"/>
                    <pic:cNvPicPr>
                      <a:picLocks noChangeAspect="1"/>
                    </pic:cNvPicPr>
                  </pic:nvPicPr>
                  <pic:blipFill>
                    <a:blip r:embed="rId32"/>
                    <a:stretch>
                      <a:fillRect/>
                    </a:stretch>
                  </pic:blipFill>
                  <pic:spPr>
                    <a:xfrm>
                      <a:off x="0" y="0"/>
                      <a:ext cx="3860165" cy="2934970"/>
                    </a:xfrm>
                    <a:prstGeom prst="rect">
                      <a:avLst/>
                    </a:prstGeom>
                  </pic:spPr>
                </pic:pic>
              </a:graphicData>
            </a:graphic>
          </wp:inline>
        </w:drawing>
      </w:r>
    </w:p>
    <w:p>
      <w:pPr>
        <w:ind w:firstLine="0" w:firstLineChars="0"/>
        <w:jc w:val="center"/>
        <w:rPr>
          <w:rFonts w:ascii="宋体" w:hAnsi="宋体" w:cs="宋体"/>
          <w:b/>
          <w:bCs/>
          <w:sz w:val="24"/>
        </w:rPr>
      </w:pPr>
      <w:r>
        <w:rPr>
          <w:rFonts w:hint="eastAsia" w:ascii="宋体" w:hAnsi="宋体" w:cs="宋体"/>
          <w:b/>
          <w:bCs/>
          <w:sz w:val="24"/>
        </w:rPr>
        <w:t>图2.10-1 安全管理网络图</w:t>
      </w:r>
    </w:p>
    <w:p>
      <w:pPr>
        <w:pStyle w:val="5"/>
        <w:keepNext w:val="0"/>
        <w:keepLines w:val="0"/>
        <w:ind w:firstLine="562"/>
      </w:pPr>
      <w:bookmarkStart w:id="648" w:name="_Toc10561"/>
      <w:bookmarkStart w:id="649" w:name="_Toc20191"/>
      <w:bookmarkStart w:id="650" w:name="_Toc24677"/>
      <w:bookmarkStart w:id="651" w:name="_Toc26151"/>
      <w:bookmarkStart w:id="652" w:name="_Toc3924"/>
      <w:bookmarkStart w:id="653" w:name="_Toc6540"/>
      <w:bookmarkStart w:id="654" w:name="_Toc868"/>
      <w:bookmarkStart w:id="655" w:name="_Toc4560"/>
      <w:bookmarkStart w:id="656" w:name="_Toc15334"/>
      <w:bookmarkStart w:id="657" w:name="_Toc22363"/>
      <w:r>
        <w:rPr>
          <w:rFonts w:hint="eastAsia"/>
        </w:rPr>
        <w:t>2.10.2 安全生产管理制度</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p>
    <w:p>
      <w:pPr>
        <w:ind w:firstLine="560"/>
        <w:jc w:val="left"/>
        <w:rPr>
          <w:rFonts w:ascii="宋体" w:hAnsi="宋体" w:cs="宋体"/>
          <w:color w:val="000000" w:themeColor="text1"/>
          <w:szCs w:val="28"/>
        </w:rPr>
      </w:pPr>
      <w:r>
        <w:rPr>
          <w:rFonts w:hint="eastAsia"/>
          <w:color w:val="000000" w:themeColor="text1"/>
        </w:rPr>
        <w:t>1）制度制定情况：</w:t>
      </w:r>
      <w:r>
        <w:rPr>
          <w:rFonts w:hint="eastAsia"/>
          <w:color w:val="000000" w:themeColor="text1"/>
          <w:lang w:eastAsia="zh-CN"/>
        </w:rPr>
        <w:t>昆明合起工贸有限公司澄江氟化分公司</w:t>
      </w:r>
      <w:r>
        <w:rPr>
          <w:rFonts w:hint="eastAsia"/>
          <w:color w:val="000000" w:themeColor="text1"/>
        </w:rPr>
        <w:t>按国家相关法律、法规的要求，规范了企业的安全行为。按照安全标准化管理体系要求建立有74项安全生产管理制度和19项</w:t>
      </w:r>
      <w:r>
        <w:rPr>
          <w:rFonts w:hint="eastAsia" w:ascii="宋体" w:hAnsi="宋体" w:cs="宋体"/>
          <w:color w:val="000000" w:themeColor="text1"/>
          <w:szCs w:val="28"/>
        </w:rPr>
        <w:t>岗位安全操作规程</w:t>
      </w:r>
      <w:r>
        <w:rPr>
          <w:rFonts w:hint="eastAsia"/>
          <w:color w:val="000000" w:themeColor="text1"/>
        </w:rPr>
        <w:t>。</w:t>
      </w:r>
      <w:r>
        <w:rPr>
          <w:rFonts w:hint="eastAsia"/>
          <w:color w:val="000000" w:themeColor="text1"/>
          <w:lang w:val="en-US" w:eastAsia="zh-CN"/>
        </w:rPr>
        <w:t>详见</w:t>
      </w:r>
      <w:r>
        <w:rPr>
          <w:rFonts w:hint="eastAsia"/>
          <w:szCs w:val="28"/>
        </w:rPr>
        <w:t>企业原始资料</w:t>
      </w:r>
      <w:r>
        <w:rPr>
          <w:rFonts w:hint="eastAsia"/>
          <w:szCs w:val="28"/>
          <w:lang w:val="en-US" w:eastAsia="zh-CN"/>
        </w:rPr>
        <w:t>附件</w:t>
      </w:r>
      <w:r>
        <w:rPr>
          <w:rFonts w:hint="eastAsia"/>
          <w:color w:val="000000" w:themeColor="text1"/>
          <w:lang w:val="en-US" w:eastAsia="zh-CN"/>
        </w:rPr>
        <w:t>6.19。</w:t>
      </w:r>
    </w:p>
    <w:p>
      <w:pPr>
        <w:ind w:firstLine="560"/>
        <w:rPr>
          <w:color w:val="000000" w:themeColor="text1"/>
        </w:rPr>
      </w:pPr>
      <w:r>
        <w:rPr>
          <w:rFonts w:hint="eastAsia"/>
          <w:color w:val="000000" w:themeColor="text1"/>
        </w:rPr>
        <w:t>2）制度落实情况</w:t>
      </w:r>
    </w:p>
    <w:p>
      <w:pPr>
        <w:ind w:firstLine="560"/>
        <w:rPr>
          <w:color w:val="000000" w:themeColor="text1"/>
        </w:rPr>
      </w:pPr>
      <w:r>
        <w:rPr>
          <w:rFonts w:hint="eastAsia"/>
          <w:color w:val="000000" w:themeColor="text1"/>
        </w:rPr>
        <w:t>公司生产过程中，制定的各项安全生产管理制度及岗位安全操作规程执行较好，操作人员严格按岗位安全操作规程进行操作，各级各类人员及部门熟悉各自安全生产职责。</w:t>
      </w:r>
    </w:p>
    <w:p>
      <w:pPr>
        <w:pStyle w:val="5"/>
        <w:ind w:firstLine="562"/>
      </w:pPr>
      <w:bookmarkStart w:id="658" w:name="_Toc14612"/>
      <w:bookmarkStart w:id="659" w:name="_Toc18920"/>
      <w:bookmarkStart w:id="660" w:name="_Toc118297921"/>
      <w:bookmarkStart w:id="661" w:name="_Toc23195"/>
      <w:bookmarkStart w:id="662" w:name="_Toc6026"/>
      <w:bookmarkStart w:id="663" w:name="_Toc16486"/>
      <w:bookmarkStart w:id="664" w:name="_Toc12394"/>
      <w:bookmarkStart w:id="665" w:name="_Toc31586"/>
      <w:bookmarkStart w:id="666" w:name="_Toc5955"/>
      <w:bookmarkStart w:id="667" w:name="_Toc20633"/>
      <w:bookmarkStart w:id="668" w:name="_Toc23561"/>
      <w:bookmarkStart w:id="669" w:name="_Toc14450"/>
      <w:bookmarkStart w:id="670" w:name="_Toc27885"/>
      <w:bookmarkStart w:id="671" w:name="_Toc3620"/>
      <w:bookmarkStart w:id="672" w:name="_Toc128056411"/>
      <w:r>
        <w:rPr>
          <w:rFonts w:hint="eastAsia"/>
        </w:rPr>
        <w:t>2.10.3 安全生产教育</w:t>
      </w:r>
      <w:bookmarkEnd w:id="658"/>
      <w:bookmarkEnd w:id="659"/>
      <w:bookmarkEnd w:id="660"/>
      <w:bookmarkEnd w:id="661"/>
      <w:bookmarkEnd w:id="662"/>
      <w:bookmarkEnd w:id="663"/>
      <w:bookmarkEnd w:id="664"/>
      <w:bookmarkEnd w:id="665"/>
      <w:bookmarkEnd w:id="666"/>
      <w:bookmarkEnd w:id="667"/>
      <w:bookmarkEnd w:id="668"/>
    </w:p>
    <w:p>
      <w:pPr>
        <w:ind w:firstLine="560"/>
      </w:pPr>
      <w:r>
        <w:rPr>
          <w:rFonts w:hint="eastAsia"/>
        </w:rPr>
        <w:t>氟化分公司制定了安全教育培训管理制度，规定了各部门安全教育职责，各级部门按照公司制度对员工进行相应培训，包括公司各级领导对员工进行经常性教育、坚持三级（公司、车间、班组）安全教育、定期教育、入司新员工教育、安全技术考核等内容。并规定新进人员及转岗人员均应进行相应的培训，并对培训人员进行考核，经考核合格后方能上岗作业</w:t>
      </w:r>
      <w:r>
        <w:rPr>
          <w:rFonts w:hint="eastAsia" w:ascii="宋体" w:hAnsi="宋体" w:cs="宋体"/>
          <w:color w:val="000000" w:themeColor="text1"/>
          <w:szCs w:val="28"/>
        </w:rPr>
        <w:t>，</w:t>
      </w:r>
      <w:r>
        <w:rPr>
          <w:rFonts w:hint="eastAsia"/>
          <w:color w:val="000000" w:themeColor="text1"/>
        </w:rPr>
        <w:t>详见</w:t>
      </w:r>
      <w:r>
        <w:rPr>
          <w:rFonts w:hint="eastAsia"/>
          <w:szCs w:val="28"/>
        </w:rPr>
        <w:t>企业原始资料</w:t>
      </w:r>
      <w:r>
        <w:rPr>
          <w:rFonts w:hint="eastAsia"/>
          <w:szCs w:val="28"/>
          <w:lang w:val="en-US" w:eastAsia="zh-CN"/>
        </w:rPr>
        <w:t>附件</w:t>
      </w:r>
      <w:r>
        <w:rPr>
          <w:rFonts w:hint="eastAsia"/>
          <w:color w:val="000000" w:themeColor="text1"/>
        </w:rPr>
        <w:t>6.32</w:t>
      </w:r>
      <w:r>
        <w:rPr>
          <w:rFonts w:hint="eastAsia"/>
        </w:rPr>
        <w:t>。</w:t>
      </w:r>
    </w:p>
    <w:bookmarkEnd w:id="669"/>
    <w:bookmarkEnd w:id="670"/>
    <w:bookmarkEnd w:id="671"/>
    <w:bookmarkEnd w:id="672"/>
    <w:p>
      <w:pPr>
        <w:pStyle w:val="5"/>
        <w:ind w:firstLine="562"/>
      </w:pPr>
      <w:bookmarkStart w:id="673" w:name="_Toc237"/>
      <w:bookmarkStart w:id="674" w:name="_Toc2270"/>
      <w:bookmarkStart w:id="675" w:name="_Toc27961"/>
      <w:bookmarkStart w:id="676" w:name="_Toc118297923"/>
      <w:bookmarkStart w:id="677" w:name="_Toc17106"/>
      <w:bookmarkStart w:id="678" w:name="_Toc23457"/>
      <w:bookmarkStart w:id="679" w:name="_Toc10794"/>
      <w:bookmarkStart w:id="680" w:name="_Toc6897"/>
      <w:bookmarkStart w:id="681" w:name="_Toc27390"/>
      <w:bookmarkStart w:id="682" w:name="_Toc24578"/>
      <w:bookmarkStart w:id="683" w:name="_Toc18159"/>
      <w:r>
        <w:rPr>
          <w:rFonts w:hint="eastAsia"/>
        </w:rPr>
        <w:t>2.10.4 从业人员持证情况</w:t>
      </w:r>
      <w:bookmarkEnd w:id="673"/>
      <w:bookmarkEnd w:id="674"/>
      <w:bookmarkEnd w:id="675"/>
      <w:bookmarkEnd w:id="676"/>
      <w:bookmarkEnd w:id="677"/>
      <w:bookmarkEnd w:id="678"/>
      <w:bookmarkEnd w:id="679"/>
      <w:bookmarkEnd w:id="680"/>
      <w:bookmarkEnd w:id="681"/>
      <w:bookmarkEnd w:id="682"/>
      <w:bookmarkEnd w:id="683"/>
    </w:p>
    <w:p>
      <w:pPr>
        <w:topLinePunct/>
        <w:ind w:firstLine="560"/>
        <w:rPr>
          <w:rFonts w:ascii="宋体" w:hAnsi="宋体"/>
          <w:color w:val="000000" w:themeColor="text1"/>
        </w:rPr>
      </w:pPr>
      <w:r>
        <w:rPr>
          <w:rFonts w:hint="eastAsia" w:ascii="宋体" w:hAnsi="宋体"/>
          <w:color w:val="000000" w:themeColor="text1"/>
        </w:rPr>
        <w:t>1）主要负责人、安全生产管理人员培训</w:t>
      </w:r>
    </w:p>
    <w:p>
      <w:pPr>
        <w:topLinePunct/>
        <w:ind w:firstLine="560"/>
        <w:rPr>
          <w:rFonts w:ascii="宋体" w:hAnsi="宋体"/>
          <w:color w:val="000000" w:themeColor="text1"/>
        </w:rPr>
      </w:pPr>
      <w:r>
        <w:rPr>
          <w:rFonts w:hint="eastAsia" w:ascii="宋体" w:hAnsi="宋体"/>
          <w:color w:val="000000" w:themeColor="text1"/>
        </w:rPr>
        <w:t>公司主要负责人为张家凯，专职安全生产管理人员为郑晨，主要负责人、安全生产管理人员均经过培训合格，持证上岗，相关证件详见</w:t>
      </w:r>
      <w:r>
        <w:rPr>
          <w:rFonts w:hint="eastAsia"/>
          <w:szCs w:val="28"/>
        </w:rPr>
        <w:t>企业原始资料</w:t>
      </w:r>
      <w:r>
        <w:rPr>
          <w:rFonts w:hint="eastAsia"/>
          <w:szCs w:val="28"/>
          <w:lang w:val="en-US" w:eastAsia="zh-CN"/>
        </w:rPr>
        <w:t>附件</w:t>
      </w:r>
      <w:r>
        <w:rPr>
          <w:rFonts w:hint="eastAsia" w:ascii="宋体" w:hAnsi="宋体"/>
          <w:color w:val="000000" w:themeColor="text1"/>
        </w:rPr>
        <w:t>6.8，其培训持证情况如下：</w:t>
      </w:r>
    </w:p>
    <w:p>
      <w:pPr>
        <w:pStyle w:val="89"/>
        <w:rPr>
          <w:sz w:val="24"/>
          <w:szCs w:val="24"/>
        </w:rPr>
      </w:pPr>
      <w:r>
        <w:rPr>
          <w:rFonts w:hint="eastAsia"/>
          <w:sz w:val="24"/>
          <w:szCs w:val="24"/>
        </w:rPr>
        <w:t>表2</w:t>
      </w:r>
      <w:r>
        <w:rPr>
          <w:sz w:val="24"/>
          <w:szCs w:val="24"/>
        </w:rPr>
        <w:t>.</w:t>
      </w:r>
      <w:r>
        <w:rPr>
          <w:rFonts w:hint="eastAsia"/>
          <w:sz w:val="24"/>
          <w:szCs w:val="24"/>
        </w:rPr>
        <w:t>10-3 主要负责人、安全生产管理人员培训情况一览表</w:t>
      </w:r>
    </w:p>
    <w:tbl>
      <w:tblPr>
        <w:tblStyle w:val="36"/>
        <w:tblW w:w="9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92"/>
        <w:gridCol w:w="1292"/>
        <w:gridCol w:w="2136"/>
        <w:gridCol w:w="2189"/>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序号</w:t>
            </w:r>
          </w:p>
        </w:tc>
        <w:tc>
          <w:tcPr>
            <w:tcW w:w="892"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姓  名</w:t>
            </w:r>
          </w:p>
        </w:tc>
        <w:tc>
          <w:tcPr>
            <w:tcW w:w="1292"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职  务</w:t>
            </w:r>
          </w:p>
        </w:tc>
        <w:tc>
          <w:tcPr>
            <w:tcW w:w="2136"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证  号</w:t>
            </w:r>
          </w:p>
        </w:tc>
        <w:tc>
          <w:tcPr>
            <w:tcW w:w="2189"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有 效 日 期</w:t>
            </w:r>
          </w:p>
        </w:tc>
        <w:tc>
          <w:tcPr>
            <w:tcW w:w="1897"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发 证 机 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3"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w:t>
            </w:r>
          </w:p>
        </w:tc>
        <w:tc>
          <w:tcPr>
            <w:tcW w:w="8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张家凯</w:t>
            </w:r>
          </w:p>
        </w:tc>
        <w:tc>
          <w:tcPr>
            <w:tcW w:w="12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主要负责人</w:t>
            </w:r>
          </w:p>
        </w:tc>
        <w:tc>
          <w:tcPr>
            <w:tcW w:w="2136"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532425197607171217</w:t>
            </w:r>
          </w:p>
        </w:tc>
        <w:tc>
          <w:tcPr>
            <w:tcW w:w="21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2023年5月24日至2026年5月23日</w:t>
            </w:r>
          </w:p>
        </w:tc>
        <w:tc>
          <w:tcPr>
            <w:tcW w:w="189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玉溪市应急管理局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2</w:t>
            </w:r>
          </w:p>
        </w:tc>
        <w:tc>
          <w:tcPr>
            <w:tcW w:w="8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郑  晨</w:t>
            </w:r>
          </w:p>
        </w:tc>
        <w:tc>
          <w:tcPr>
            <w:tcW w:w="12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安全生产管理人员</w:t>
            </w:r>
          </w:p>
        </w:tc>
        <w:tc>
          <w:tcPr>
            <w:tcW w:w="2136"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532129198807210018</w:t>
            </w:r>
          </w:p>
        </w:tc>
        <w:tc>
          <w:tcPr>
            <w:tcW w:w="218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auto"/>
                <w:sz w:val="21"/>
                <w:szCs w:val="21"/>
              </w:rPr>
              <w:t>2023年5月24日至2026年5月23日</w:t>
            </w:r>
          </w:p>
        </w:tc>
        <w:tc>
          <w:tcPr>
            <w:tcW w:w="189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玉溪市应急管理局</w:t>
            </w:r>
          </w:p>
        </w:tc>
      </w:tr>
    </w:tbl>
    <w:p>
      <w:pPr>
        <w:ind w:firstLine="560"/>
        <w:rPr>
          <w:color w:val="000000" w:themeColor="text1"/>
        </w:rPr>
      </w:pPr>
    </w:p>
    <w:p>
      <w:pPr>
        <w:ind w:firstLine="560"/>
        <w:rPr>
          <w:color w:val="000000" w:themeColor="text1"/>
        </w:rPr>
      </w:pPr>
      <w:r>
        <w:rPr>
          <w:rFonts w:hint="eastAsia"/>
          <w:color w:val="000000" w:themeColor="text1"/>
        </w:rPr>
        <w:t>2）特种作业人员培训</w:t>
      </w:r>
    </w:p>
    <w:p>
      <w:pPr>
        <w:ind w:firstLine="560"/>
        <w:rPr>
          <w:rFonts w:ascii="宋体" w:hAnsi="宋体"/>
          <w:color w:val="000000" w:themeColor="text1"/>
        </w:rPr>
      </w:pPr>
      <w:r>
        <w:rPr>
          <w:rFonts w:hint="eastAsia"/>
          <w:color w:val="000000" w:themeColor="text1"/>
        </w:rPr>
        <w:t>公司特种作业人员经主管部门培训考试合格，相关证件详见</w:t>
      </w:r>
      <w:r>
        <w:rPr>
          <w:rFonts w:hint="eastAsia"/>
          <w:szCs w:val="28"/>
        </w:rPr>
        <w:t>企业原始资料</w:t>
      </w:r>
      <w:r>
        <w:rPr>
          <w:rFonts w:hint="eastAsia"/>
          <w:szCs w:val="28"/>
          <w:lang w:val="en-US" w:eastAsia="zh-CN"/>
        </w:rPr>
        <w:t>附件</w:t>
      </w:r>
      <w:r>
        <w:rPr>
          <w:rFonts w:hint="eastAsia"/>
          <w:color w:val="000000" w:themeColor="text1"/>
        </w:rPr>
        <w:t>6.9，其持证培训情况如下</w:t>
      </w:r>
      <w:r>
        <w:rPr>
          <w:rFonts w:hint="eastAsia" w:ascii="宋体" w:hAnsi="宋体"/>
          <w:color w:val="000000" w:themeColor="text1"/>
        </w:rPr>
        <w:t>：</w:t>
      </w:r>
    </w:p>
    <w:p>
      <w:pPr>
        <w:pStyle w:val="89"/>
        <w:rPr>
          <w:sz w:val="24"/>
          <w:szCs w:val="24"/>
        </w:rPr>
      </w:pPr>
      <w:r>
        <w:rPr>
          <w:rFonts w:hint="eastAsia"/>
          <w:sz w:val="24"/>
          <w:szCs w:val="24"/>
        </w:rPr>
        <w:t>表2</w:t>
      </w:r>
      <w:r>
        <w:rPr>
          <w:sz w:val="24"/>
          <w:szCs w:val="24"/>
        </w:rPr>
        <w:t>.</w:t>
      </w:r>
      <w:r>
        <w:rPr>
          <w:rFonts w:hint="eastAsia"/>
          <w:sz w:val="24"/>
          <w:szCs w:val="24"/>
        </w:rPr>
        <w:t>10-4 特种作业人员培训情况一览表</w:t>
      </w:r>
    </w:p>
    <w:tbl>
      <w:tblPr>
        <w:tblStyle w:val="36"/>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881"/>
        <w:gridCol w:w="1482"/>
        <w:gridCol w:w="2268"/>
        <w:gridCol w:w="2138"/>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89"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序号</w:t>
            </w:r>
          </w:p>
        </w:tc>
        <w:tc>
          <w:tcPr>
            <w:tcW w:w="881"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姓  名</w:t>
            </w:r>
          </w:p>
        </w:tc>
        <w:tc>
          <w:tcPr>
            <w:tcW w:w="1482"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资 格 类 型</w:t>
            </w:r>
          </w:p>
        </w:tc>
        <w:tc>
          <w:tcPr>
            <w:tcW w:w="2268"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资 格 证 书 号</w:t>
            </w:r>
          </w:p>
        </w:tc>
        <w:tc>
          <w:tcPr>
            <w:tcW w:w="2138"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有 效 日 期</w:t>
            </w:r>
          </w:p>
        </w:tc>
        <w:tc>
          <w:tcPr>
            <w:tcW w:w="1875"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发 证 机 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1</w:t>
            </w:r>
          </w:p>
        </w:tc>
        <w:tc>
          <w:tcPr>
            <w:tcW w:w="881"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洪  伟</w:t>
            </w:r>
          </w:p>
        </w:tc>
        <w:tc>
          <w:tcPr>
            <w:tcW w:w="1482"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焊接与热切割证</w:t>
            </w:r>
          </w:p>
        </w:tc>
        <w:tc>
          <w:tcPr>
            <w:tcW w:w="2268"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T53042219830509001x</w:t>
            </w:r>
          </w:p>
        </w:tc>
        <w:tc>
          <w:tcPr>
            <w:tcW w:w="2138"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2022-01-28至2028-01-27</w:t>
            </w:r>
          </w:p>
        </w:tc>
        <w:tc>
          <w:tcPr>
            <w:tcW w:w="1875"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玉溪市应急管理局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2</w:t>
            </w:r>
          </w:p>
        </w:tc>
        <w:tc>
          <w:tcPr>
            <w:tcW w:w="881"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张家凯</w:t>
            </w:r>
          </w:p>
        </w:tc>
        <w:tc>
          <w:tcPr>
            <w:tcW w:w="1482"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叉车操作证</w:t>
            </w:r>
          </w:p>
        </w:tc>
        <w:tc>
          <w:tcPr>
            <w:tcW w:w="2268"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532425197607171217</w:t>
            </w:r>
          </w:p>
        </w:tc>
        <w:tc>
          <w:tcPr>
            <w:tcW w:w="2138"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2022-07至2026-06</w:t>
            </w:r>
          </w:p>
        </w:tc>
        <w:tc>
          <w:tcPr>
            <w:tcW w:w="1875"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玉溪市市场监督管理局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dxa"/>
            <w:vAlign w:val="center"/>
          </w:tcPr>
          <w:p>
            <w:pPr>
              <w:spacing w:line="240" w:lineRule="auto"/>
              <w:ind w:firstLine="0" w:firstLineChars="0"/>
              <w:jc w:val="center"/>
              <w:rPr>
                <w:rFonts w:ascii="宋体" w:hAnsi="宋体" w:cs="宋体"/>
                <w:color w:val="000000" w:themeColor="text1"/>
                <w:sz w:val="21"/>
                <w:szCs w:val="21"/>
              </w:rPr>
            </w:pPr>
            <w:bookmarkStart w:id="684" w:name="_Toc14425"/>
            <w:bookmarkStart w:id="685" w:name="_Toc19414"/>
            <w:bookmarkStart w:id="686" w:name="_Toc128056412"/>
            <w:bookmarkStart w:id="687" w:name="_Toc13724"/>
            <w:r>
              <w:rPr>
                <w:rFonts w:hint="eastAsia" w:ascii="宋体" w:hAnsi="宋体" w:cs="宋体"/>
                <w:color w:val="000000" w:themeColor="text1"/>
                <w:sz w:val="21"/>
                <w:szCs w:val="21"/>
              </w:rPr>
              <w:t>3</w:t>
            </w:r>
          </w:p>
        </w:tc>
        <w:tc>
          <w:tcPr>
            <w:tcW w:w="881"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张  伟</w:t>
            </w:r>
          </w:p>
        </w:tc>
        <w:tc>
          <w:tcPr>
            <w:tcW w:w="1482"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锅炉操作证</w:t>
            </w:r>
          </w:p>
        </w:tc>
        <w:tc>
          <w:tcPr>
            <w:tcW w:w="2268" w:type="dxa"/>
            <w:vAlign w:val="center"/>
          </w:tcPr>
          <w:p>
            <w:pPr>
              <w:widowControl/>
              <w:spacing w:line="240" w:lineRule="auto"/>
              <w:ind w:firstLine="0" w:firstLineChars="0"/>
              <w:jc w:val="center"/>
              <w:textAlignment w:val="center"/>
              <w:rPr>
                <w:rFonts w:ascii="宋体" w:hAnsi="宋体" w:cs="宋体"/>
                <w:color w:val="000000" w:themeColor="text1"/>
                <w:sz w:val="21"/>
                <w:szCs w:val="21"/>
              </w:rPr>
            </w:pPr>
            <w:r>
              <w:rPr>
                <w:rFonts w:hint="eastAsia" w:ascii="宋体" w:hAnsi="宋体" w:cs="宋体"/>
                <w:sz w:val="21"/>
                <w:szCs w:val="21"/>
              </w:rPr>
              <w:t>530422198402130618</w:t>
            </w:r>
          </w:p>
        </w:tc>
        <w:tc>
          <w:tcPr>
            <w:tcW w:w="2138"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2021-12至2025-11</w:t>
            </w:r>
          </w:p>
        </w:tc>
        <w:tc>
          <w:tcPr>
            <w:tcW w:w="1875"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玉溪市市场监督管理局</w:t>
            </w:r>
          </w:p>
        </w:tc>
      </w:tr>
    </w:tbl>
    <w:p>
      <w:pPr>
        <w:pStyle w:val="2"/>
        <w:ind w:firstLine="560"/>
      </w:pPr>
      <w:bookmarkStart w:id="688" w:name="_Toc22092"/>
      <w:bookmarkStart w:id="689" w:name="_Toc19366"/>
      <w:bookmarkStart w:id="690" w:name="_Toc12399"/>
      <w:bookmarkStart w:id="691" w:name="_Toc22047"/>
      <w:bookmarkStart w:id="692" w:name="_Toc8056"/>
      <w:bookmarkStart w:id="693" w:name="_Toc29361"/>
    </w:p>
    <w:p>
      <w:pPr>
        <w:pStyle w:val="5"/>
        <w:ind w:firstLine="562"/>
      </w:pPr>
      <w:bookmarkStart w:id="694" w:name="_Toc24083"/>
      <w:bookmarkStart w:id="695" w:name="_Toc19066"/>
      <w:bookmarkStart w:id="696" w:name="_Toc27810"/>
      <w:bookmarkStart w:id="697" w:name="_Toc4112"/>
      <w:r>
        <w:t>2.</w:t>
      </w:r>
      <w:r>
        <w:rPr>
          <w:rFonts w:hint="eastAsia"/>
        </w:rPr>
        <w:t>10</w:t>
      </w:r>
      <w:r>
        <w:t>.</w:t>
      </w:r>
      <w:r>
        <w:rPr>
          <w:rFonts w:hint="eastAsia"/>
        </w:rPr>
        <w:t>5 事故应急救援预案</w:t>
      </w:r>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pPr>
        <w:topLinePunct/>
        <w:spacing w:line="372" w:lineRule="auto"/>
        <w:ind w:firstLine="560"/>
        <w:rPr>
          <w:rFonts w:ascii="宋体" w:hAnsi="宋体"/>
          <w:color w:val="000000" w:themeColor="text1"/>
        </w:rPr>
      </w:pPr>
      <w:r>
        <w:rPr>
          <w:rFonts w:hint="eastAsia" w:ascii="宋体" w:hAnsi="宋体"/>
          <w:color w:val="000000" w:themeColor="text1"/>
        </w:rPr>
        <w:t>1）应急预案编制情况</w:t>
      </w:r>
    </w:p>
    <w:p>
      <w:pPr>
        <w:ind w:firstLine="560"/>
        <w:rPr>
          <w:color w:val="000000" w:themeColor="text1"/>
        </w:rPr>
      </w:pPr>
      <w:r>
        <w:rPr>
          <w:rFonts w:hint="eastAsia"/>
          <w:color w:val="000000" w:themeColor="text1"/>
        </w:rPr>
        <w:t>公司于2</w:t>
      </w:r>
      <w:r>
        <w:rPr>
          <w:color w:val="000000" w:themeColor="text1"/>
        </w:rPr>
        <w:t>0</w:t>
      </w:r>
      <w:r>
        <w:rPr>
          <w:rFonts w:hint="eastAsia"/>
          <w:color w:val="000000" w:themeColor="text1"/>
        </w:rPr>
        <w:t>21年10月编制了</w:t>
      </w:r>
      <w:r>
        <w:rPr>
          <w:rFonts w:hint="eastAsia" w:ascii="宋体" w:hAnsi="宋体" w:cs="宋体"/>
          <w:szCs w:val="28"/>
        </w:rPr>
        <w:t>《</w:t>
      </w:r>
      <w:r>
        <w:rPr>
          <w:rFonts w:hint="eastAsia" w:ascii="宋体" w:hAnsi="宋体" w:cs="宋体"/>
          <w:szCs w:val="28"/>
          <w:lang w:eastAsia="zh-CN"/>
        </w:rPr>
        <w:t>昆明合起工贸有限公司澄江氟化分公司</w:t>
      </w:r>
      <w:r>
        <w:rPr>
          <w:rFonts w:hint="eastAsia" w:ascii="宋体" w:hAnsi="宋体" w:cs="宋体"/>
          <w:szCs w:val="28"/>
        </w:rPr>
        <w:t>生产安全事故应急预案》</w:t>
      </w:r>
      <w:r>
        <w:rPr>
          <w:rFonts w:hint="eastAsia"/>
          <w:color w:val="000000" w:themeColor="text1"/>
        </w:rPr>
        <w:t>，该预案主要包括综合应急预案、专项应急预案、现场处置方案、附件、生产安全事故风险评估、</w:t>
      </w:r>
      <w:r>
        <w:rPr>
          <w:rFonts w:hint="eastAsia"/>
          <w:color w:val="000000" w:themeColor="text1"/>
          <w:lang w:val="en-US" w:eastAsia="zh-CN"/>
        </w:rPr>
        <w:t>应急装备</w:t>
      </w:r>
      <w:r>
        <w:rPr>
          <w:rFonts w:hint="eastAsia"/>
          <w:color w:val="000000" w:themeColor="text1"/>
        </w:rPr>
        <w:t>等内容。</w:t>
      </w:r>
    </w:p>
    <w:p>
      <w:pPr>
        <w:ind w:firstLine="560"/>
        <w:rPr>
          <w:color w:val="000000" w:themeColor="text1"/>
        </w:rPr>
      </w:pPr>
      <w:r>
        <w:rPr>
          <w:rFonts w:hint="eastAsia"/>
          <w:color w:val="000000" w:themeColor="text1"/>
        </w:rPr>
        <w:t>2）应急预案备案、演练情况</w:t>
      </w:r>
    </w:p>
    <w:p>
      <w:pPr>
        <w:ind w:firstLine="560"/>
        <w:rPr>
          <w:color w:val="000000" w:themeColor="text1"/>
        </w:rPr>
      </w:pPr>
      <w:r>
        <w:rPr>
          <w:rFonts w:hint="eastAsia"/>
          <w:color w:val="000000" w:themeColor="text1"/>
        </w:rPr>
        <w:t>公司修订的</w:t>
      </w:r>
      <w:r>
        <w:rPr>
          <w:rFonts w:hint="eastAsia" w:ascii="宋体" w:hAnsi="宋体" w:cs="宋体"/>
          <w:szCs w:val="28"/>
        </w:rPr>
        <w:t>生产安全事故</w:t>
      </w:r>
      <w:r>
        <w:rPr>
          <w:rFonts w:hint="eastAsia"/>
          <w:color w:val="000000" w:themeColor="text1"/>
        </w:rPr>
        <w:t>应急预案于2021年10月12日在澄江市应急管理局进行备案，取得了应急预案备案登记表，备案编号：（澄）应急备5324232021019，备案</w:t>
      </w:r>
      <w:r>
        <w:rPr>
          <w:rFonts w:hint="eastAsia"/>
          <w:color w:val="000000" w:themeColor="text1"/>
          <w:lang w:val="en-US" w:eastAsia="zh-CN"/>
        </w:rPr>
        <w:t>表</w:t>
      </w:r>
      <w:r>
        <w:rPr>
          <w:rFonts w:hint="eastAsia"/>
          <w:color w:val="000000" w:themeColor="text1"/>
        </w:rPr>
        <w:t>详见</w:t>
      </w:r>
      <w:r>
        <w:rPr>
          <w:rFonts w:hint="eastAsia"/>
          <w:szCs w:val="28"/>
        </w:rPr>
        <w:t>企业原始资料</w:t>
      </w:r>
      <w:r>
        <w:rPr>
          <w:rFonts w:hint="eastAsia"/>
          <w:szCs w:val="28"/>
          <w:lang w:val="en-US" w:eastAsia="zh-CN"/>
        </w:rPr>
        <w:t>附件</w:t>
      </w:r>
      <w:r>
        <w:rPr>
          <w:rFonts w:hint="eastAsia"/>
          <w:color w:val="000000" w:themeColor="text1"/>
        </w:rPr>
        <w:t>6.10；2</w:t>
      </w:r>
      <w:r>
        <w:rPr>
          <w:color w:val="000000" w:themeColor="text1"/>
        </w:rPr>
        <w:t>0</w:t>
      </w:r>
      <w:r>
        <w:rPr>
          <w:rFonts w:hint="eastAsia"/>
          <w:color w:val="000000" w:themeColor="text1"/>
        </w:rPr>
        <w:t>23年5月23日组织员工进行了应急演练，并提供了演练记录、演练照片等，详见</w:t>
      </w:r>
      <w:r>
        <w:rPr>
          <w:rFonts w:hint="eastAsia"/>
          <w:szCs w:val="28"/>
        </w:rPr>
        <w:t>企业原始资料</w:t>
      </w:r>
      <w:r>
        <w:rPr>
          <w:rFonts w:hint="eastAsia"/>
          <w:szCs w:val="28"/>
          <w:lang w:val="en-US" w:eastAsia="zh-CN"/>
        </w:rPr>
        <w:t>附件</w:t>
      </w:r>
      <w:r>
        <w:rPr>
          <w:rFonts w:hint="eastAsia"/>
          <w:color w:val="000000" w:themeColor="text1"/>
        </w:rPr>
        <w:t>6.</w:t>
      </w:r>
      <w:r>
        <w:rPr>
          <w:rFonts w:hint="eastAsia"/>
          <w:color w:val="000000" w:themeColor="text1"/>
          <w:lang w:val="en-US" w:eastAsia="zh-CN"/>
        </w:rPr>
        <w:t>29</w:t>
      </w:r>
      <w:r>
        <w:rPr>
          <w:rFonts w:hint="eastAsia"/>
          <w:color w:val="000000" w:themeColor="text1"/>
        </w:rPr>
        <w:t>。</w:t>
      </w:r>
    </w:p>
    <w:p>
      <w:pPr>
        <w:pStyle w:val="5"/>
        <w:keepNext w:val="0"/>
        <w:keepLines w:val="0"/>
        <w:ind w:firstLine="562"/>
      </w:pPr>
      <w:bookmarkStart w:id="698" w:name="_Toc8472"/>
      <w:bookmarkStart w:id="699" w:name="_Toc19672"/>
      <w:bookmarkStart w:id="700" w:name="_Toc2623"/>
      <w:bookmarkStart w:id="701" w:name="_Toc14296"/>
      <w:bookmarkStart w:id="702" w:name="_Toc32227"/>
      <w:bookmarkStart w:id="703" w:name="_Toc9510"/>
      <w:bookmarkStart w:id="704" w:name="_Toc128056413"/>
      <w:bookmarkStart w:id="705" w:name="_Toc9197"/>
      <w:bookmarkStart w:id="706" w:name="_Toc10664"/>
      <w:bookmarkStart w:id="707" w:name="_Toc961"/>
      <w:bookmarkStart w:id="708" w:name="_Toc14198"/>
      <w:bookmarkStart w:id="709" w:name="_Toc2990"/>
      <w:bookmarkStart w:id="710" w:name="_Toc2230"/>
      <w:bookmarkStart w:id="711" w:name="_Toc13796"/>
      <w:r>
        <w:t>2.</w:t>
      </w:r>
      <w:r>
        <w:rPr>
          <w:rFonts w:hint="eastAsia"/>
        </w:rPr>
        <w:t>10</w:t>
      </w:r>
      <w:r>
        <w:t>.</w:t>
      </w:r>
      <w:r>
        <w:rPr>
          <w:rFonts w:hint="eastAsia"/>
        </w:rPr>
        <w:t>6 劳动防护用品配置</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pPr>
        <w:topLinePunct/>
        <w:ind w:firstLine="560"/>
        <w:rPr>
          <w:rFonts w:ascii="宋体" w:hAnsi="宋体"/>
          <w:color w:val="000000" w:themeColor="text1"/>
        </w:rPr>
      </w:pPr>
      <w:r>
        <w:rPr>
          <w:rFonts w:hint="eastAsia" w:ascii="宋体" w:hAnsi="宋体"/>
          <w:color w:val="000000" w:themeColor="text1"/>
        </w:rPr>
        <w:t>公司为员工配备了工作服、安全帽、手套、口罩等劳动防护用品，个人劳动防护用品发放记录，详见</w:t>
      </w:r>
      <w:r>
        <w:rPr>
          <w:rFonts w:hint="eastAsia"/>
          <w:szCs w:val="28"/>
        </w:rPr>
        <w:t>企业原始资料</w:t>
      </w:r>
      <w:r>
        <w:rPr>
          <w:rFonts w:hint="eastAsia"/>
          <w:szCs w:val="28"/>
          <w:lang w:val="en-US" w:eastAsia="zh-CN"/>
        </w:rPr>
        <w:t>附件</w:t>
      </w:r>
      <w:r>
        <w:rPr>
          <w:rFonts w:hint="eastAsia" w:ascii="宋体" w:hAnsi="宋体"/>
          <w:color w:val="000000" w:themeColor="text1"/>
        </w:rPr>
        <w:t>6.2</w:t>
      </w:r>
      <w:r>
        <w:rPr>
          <w:rFonts w:hint="eastAsia" w:ascii="宋体" w:hAnsi="宋体"/>
          <w:color w:val="000000" w:themeColor="text1"/>
          <w:lang w:val="en-US" w:eastAsia="zh-CN"/>
        </w:rPr>
        <w:t>5</w:t>
      </w:r>
      <w:r>
        <w:rPr>
          <w:rFonts w:hint="eastAsia" w:ascii="宋体" w:hAnsi="宋体"/>
          <w:color w:val="000000" w:themeColor="text1"/>
        </w:rPr>
        <w:t>。</w:t>
      </w:r>
    </w:p>
    <w:p>
      <w:pPr>
        <w:pStyle w:val="5"/>
        <w:ind w:firstLine="562"/>
      </w:pPr>
      <w:bookmarkStart w:id="712" w:name="_Toc32092"/>
      <w:bookmarkStart w:id="713" w:name="_Toc20715"/>
      <w:bookmarkStart w:id="714" w:name="_Toc19779"/>
      <w:bookmarkStart w:id="715" w:name="_Toc9658"/>
      <w:bookmarkStart w:id="716" w:name="_Toc3946"/>
      <w:bookmarkStart w:id="717" w:name="_Toc3643"/>
      <w:bookmarkStart w:id="718" w:name="_Toc27409"/>
      <w:bookmarkStart w:id="719" w:name="_Toc28222"/>
      <w:bookmarkStart w:id="720" w:name="_Toc16212"/>
      <w:bookmarkStart w:id="721" w:name="_Toc20670"/>
      <w:r>
        <w:t>2.</w:t>
      </w:r>
      <w:r>
        <w:rPr>
          <w:rFonts w:hint="eastAsia"/>
        </w:rPr>
        <w:t>10</w:t>
      </w:r>
      <w:r>
        <w:t>.</w:t>
      </w:r>
      <w:r>
        <w:rPr>
          <w:rFonts w:hint="eastAsia"/>
        </w:rPr>
        <w:t>7 工伤保险购买情况</w:t>
      </w:r>
      <w:bookmarkEnd w:id="712"/>
      <w:bookmarkEnd w:id="713"/>
      <w:bookmarkEnd w:id="714"/>
      <w:bookmarkEnd w:id="715"/>
      <w:bookmarkEnd w:id="716"/>
      <w:bookmarkEnd w:id="717"/>
      <w:bookmarkEnd w:id="718"/>
      <w:bookmarkEnd w:id="719"/>
      <w:bookmarkEnd w:id="720"/>
      <w:bookmarkEnd w:id="721"/>
    </w:p>
    <w:p>
      <w:pPr>
        <w:ind w:firstLine="560"/>
      </w:pPr>
      <w:r>
        <w:rPr>
          <w:rFonts w:hint="eastAsia"/>
        </w:rPr>
        <w:t>氟化分公司按照法律法规要求为员工购买了工伤保险和安全生产责任险，具体详见</w:t>
      </w:r>
      <w:r>
        <w:rPr>
          <w:rFonts w:hint="eastAsia"/>
          <w:szCs w:val="28"/>
        </w:rPr>
        <w:t>企业原始资料</w:t>
      </w:r>
      <w:r>
        <w:rPr>
          <w:rFonts w:hint="eastAsia"/>
          <w:lang w:val="en-US" w:eastAsia="zh-CN"/>
        </w:rPr>
        <w:t>附件</w:t>
      </w:r>
      <w:r>
        <w:rPr>
          <w:rFonts w:hint="eastAsia"/>
        </w:rPr>
        <w:t>6.13、</w:t>
      </w:r>
      <w:r>
        <w:rPr>
          <w:rFonts w:hint="eastAsia"/>
          <w:szCs w:val="28"/>
        </w:rPr>
        <w:t>企业原始资料</w:t>
      </w:r>
      <w:r>
        <w:rPr>
          <w:rFonts w:hint="eastAsia"/>
          <w:szCs w:val="28"/>
          <w:lang w:val="en-US" w:eastAsia="zh-CN"/>
        </w:rPr>
        <w:t>附件</w:t>
      </w:r>
      <w:r>
        <w:rPr>
          <w:rFonts w:hint="eastAsia"/>
        </w:rPr>
        <w:t>6.14。</w:t>
      </w:r>
    </w:p>
    <w:p>
      <w:pPr>
        <w:pStyle w:val="4"/>
        <w:ind w:firstLine="562"/>
      </w:pPr>
      <w:bookmarkStart w:id="722" w:name="_Toc3334"/>
      <w:bookmarkStart w:id="723" w:name="_Toc15692"/>
      <w:bookmarkStart w:id="724" w:name="_Toc29153"/>
      <w:bookmarkStart w:id="725" w:name="_Toc27930"/>
      <w:bookmarkStart w:id="726" w:name="_Toc3431"/>
      <w:bookmarkStart w:id="727" w:name="_Toc3086"/>
      <w:bookmarkStart w:id="728" w:name="_Toc27498"/>
      <w:bookmarkStart w:id="729" w:name="_Toc30154"/>
      <w:bookmarkStart w:id="730" w:name="_Toc17679"/>
      <w:bookmarkStart w:id="731" w:name="_Toc4887"/>
      <w:bookmarkStart w:id="732" w:name="_Toc118297926"/>
      <w:bookmarkStart w:id="733" w:name="_Toc13326"/>
      <w:bookmarkStart w:id="734" w:name="_Toc24972"/>
      <w:bookmarkStart w:id="735" w:name="_Toc4449"/>
      <w:bookmarkStart w:id="736" w:name="_Toc25457"/>
      <w:bookmarkStart w:id="737" w:name="_Toc9198"/>
      <w:bookmarkStart w:id="738" w:name="_Toc19688"/>
      <w:bookmarkStart w:id="739" w:name="_Toc21006"/>
      <w:bookmarkStart w:id="740" w:name="_Toc24584"/>
      <w:bookmarkStart w:id="741" w:name="_Toc27165"/>
      <w:bookmarkStart w:id="742" w:name="_Toc6892"/>
      <w:r>
        <w:rPr>
          <w:rFonts w:hint="eastAsia"/>
        </w:rPr>
        <w:t>2.11 安全费用提取使用情况</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pPr>
        <w:tabs>
          <w:tab w:val="left" w:pos="0"/>
        </w:tabs>
        <w:ind w:firstLine="560"/>
        <w:rPr>
          <w:color w:val="000000" w:themeColor="text1"/>
        </w:rPr>
      </w:pPr>
      <w:r>
        <w:rPr>
          <w:rFonts w:hint="eastAsia"/>
        </w:rPr>
        <w:t>氟化分公司根据《企业安全生产费用提取和使用办法》（财政部、应急部财资〔2022〕136号）的要求进行了安全费用的提取，并按照要求保障安全费用的投入，公司202</w:t>
      </w:r>
      <w:r>
        <w:rPr>
          <w:rFonts w:hint="eastAsia"/>
          <w:lang w:val="en-US" w:eastAsia="zh-CN"/>
        </w:rPr>
        <w:t>1</w:t>
      </w:r>
      <w:r>
        <w:rPr>
          <w:rFonts w:hint="eastAsia"/>
        </w:rPr>
        <w:t>年共计投入</w:t>
      </w:r>
      <w:r>
        <w:rPr>
          <w:rFonts w:hint="eastAsia"/>
          <w:lang w:val="en-US" w:eastAsia="zh-CN"/>
        </w:rPr>
        <w:t>11738</w:t>
      </w:r>
      <w:r>
        <w:rPr>
          <w:rFonts w:hint="eastAsia"/>
        </w:rPr>
        <w:t>元</w:t>
      </w:r>
      <w:r>
        <w:rPr>
          <w:rFonts w:hint="eastAsia"/>
          <w:lang w:eastAsia="zh-CN"/>
        </w:rPr>
        <w:t>，</w:t>
      </w:r>
      <w:r>
        <w:rPr>
          <w:rFonts w:hint="eastAsia"/>
          <w:lang w:val="en-US" w:eastAsia="zh-CN"/>
        </w:rPr>
        <w:t>2022年</w:t>
      </w:r>
      <w:r>
        <w:rPr>
          <w:rFonts w:hint="eastAsia"/>
        </w:rPr>
        <w:t>共计投入</w:t>
      </w:r>
      <w:r>
        <w:rPr>
          <w:rFonts w:hint="eastAsia"/>
          <w:lang w:val="en-US" w:eastAsia="zh-CN"/>
        </w:rPr>
        <w:t>20998</w:t>
      </w:r>
      <w:r>
        <w:rPr>
          <w:rFonts w:hint="eastAsia"/>
        </w:rPr>
        <w:t>元</w:t>
      </w:r>
      <w:r>
        <w:rPr>
          <w:rFonts w:hint="eastAsia"/>
          <w:lang w:eastAsia="zh-CN"/>
        </w:rPr>
        <w:t>，</w:t>
      </w:r>
      <w:r>
        <w:rPr>
          <w:rFonts w:hint="eastAsia"/>
        </w:rPr>
        <w:t>2023年1至</w:t>
      </w:r>
      <w:r>
        <w:rPr>
          <w:rFonts w:hint="eastAsia"/>
          <w:lang w:val="en-US" w:eastAsia="zh-CN"/>
        </w:rPr>
        <w:t>8</w:t>
      </w:r>
      <w:r>
        <w:rPr>
          <w:rFonts w:hint="eastAsia"/>
        </w:rPr>
        <w:t>月份共计投入</w:t>
      </w:r>
      <w:r>
        <w:rPr>
          <w:rFonts w:hint="eastAsia"/>
          <w:lang w:val="en-US" w:eastAsia="zh-CN"/>
        </w:rPr>
        <w:t>117201</w:t>
      </w:r>
      <w:r>
        <w:rPr>
          <w:rFonts w:hint="eastAsia"/>
        </w:rPr>
        <w:t>元, 主要用于完善、改造和维护安全防护设施设备；配备、维护、保养应急救援器材、设备支出和应急演练支出；开展重大危险源和事故隐患评估、监控和整改支出；安全生产检查、评价;配备和更新现场作业人员安全防护用品支出；安全生产宣传、教育、培训支出；安全生产适用的新工艺、新标准、新技术、新装备的推广应用支出；安全设施及特种设备检测检验支出；公司2021年至2023年8月安全生产投入资金计划详见</w:t>
      </w:r>
      <w:r>
        <w:rPr>
          <w:rFonts w:hint="eastAsia"/>
          <w:szCs w:val="28"/>
        </w:rPr>
        <w:t>企业原始资料</w:t>
      </w:r>
      <w:r>
        <w:rPr>
          <w:rFonts w:hint="eastAsia"/>
          <w:szCs w:val="28"/>
          <w:lang w:val="en-US" w:eastAsia="zh-CN"/>
        </w:rPr>
        <w:t>附件</w:t>
      </w:r>
      <w:r>
        <w:rPr>
          <w:rFonts w:hint="eastAsia"/>
        </w:rPr>
        <w:t>6.22。</w:t>
      </w:r>
    </w:p>
    <w:p>
      <w:pPr>
        <w:pStyle w:val="4"/>
        <w:ind w:firstLine="562"/>
        <w:rPr>
          <w:color w:val="000000" w:themeColor="text1"/>
        </w:rPr>
      </w:pPr>
      <w:bookmarkStart w:id="743" w:name="_Toc22876"/>
      <w:bookmarkStart w:id="744" w:name="_Toc32701"/>
      <w:bookmarkStart w:id="745" w:name="_Toc12187"/>
      <w:bookmarkStart w:id="746" w:name="_Toc13309"/>
      <w:bookmarkStart w:id="747" w:name="_Toc17995"/>
      <w:bookmarkStart w:id="748" w:name="_Toc9429"/>
      <w:bookmarkStart w:id="749" w:name="_Toc20023"/>
      <w:bookmarkStart w:id="750" w:name="_Toc128056414"/>
      <w:bookmarkStart w:id="751" w:name="_Toc14285"/>
      <w:bookmarkStart w:id="752" w:name="_Toc6444"/>
      <w:bookmarkStart w:id="753" w:name="_Toc12023"/>
      <w:bookmarkStart w:id="754" w:name="_Toc13258"/>
      <w:bookmarkStart w:id="755" w:name="_Toc23050"/>
      <w:bookmarkStart w:id="756" w:name="_Toc23822"/>
      <w:bookmarkStart w:id="757" w:name="_Toc23691"/>
      <w:bookmarkStart w:id="758" w:name="_Toc27735"/>
      <w:bookmarkStart w:id="759" w:name="_Toc29314"/>
      <w:bookmarkStart w:id="760" w:name="_Toc12909"/>
      <w:bookmarkStart w:id="761" w:name="_Toc2364"/>
      <w:bookmarkStart w:id="762" w:name="_Toc20710"/>
      <w:bookmarkStart w:id="763" w:name="_Toc12418"/>
      <w:bookmarkStart w:id="764" w:name="_Toc11220"/>
      <w:bookmarkStart w:id="765" w:name="_Toc3212"/>
      <w:bookmarkStart w:id="766" w:name="_Toc4383"/>
      <w:bookmarkStart w:id="767" w:name="_Toc372033582"/>
      <w:bookmarkStart w:id="768" w:name="_Toc525367186"/>
      <w:bookmarkStart w:id="769" w:name="_Toc510448394"/>
      <w:bookmarkStart w:id="770" w:name="_Toc343691108"/>
      <w:bookmarkStart w:id="771" w:name="_Toc200880701"/>
      <w:bookmarkStart w:id="772" w:name="_Toc171873143"/>
      <w:r>
        <w:rPr>
          <w:rFonts w:hint="eastAsia"/>
          <w:color w:val="000000" w:themeColor="text1"/>
        </w:rPr>
        <w:t>2.12 四区分离设置和双重预防机制情况</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pPr>
        <w:ind w:firstLine="560"/>
        <w:rPr>
          <w:color w:val="000000" w:themeColor="text1"/>
        </w:rPr>
      </w:pPr>
      <w:r>
        <w:rPr>
          <w:rFonts w:hint="eastAsia"/>
          <w:color w:val="000000" w:themeColor="text1"/>
        </w:rPr>
        <w:t>1）氟化分公司按照《云南省应急管理厅关于印发云南省危险化学品生产储存企业四区分离技术指导意见》(云应急〔2021〕4号）的要求，委托昭通市鼎安科技有限公司编制《</w:t>
      </w:r>
      <w:r>
        <w:rPr>
          <w:rFonts w:hint="eastAsia"/>
          <w:color w:val="000000" w:themeColor="text1"/>
          <w:lang w:eastAsia="zh-CN"/>
        </w:rPr>
        <w:t>昆明合起工贸有限公司澄江氟化分公司</w:t>
      </w:r>
      <w:r>
        <w:rPr>
          <w:rFonts w:hint="eastAsia"/>
          <w:color w:val="000000" w:themeColor="text1"/>
        </w:rPr>
        <w:t>“四区分离”符合性排查报告》，于2021年9月通过评审。详见</w:t>
      </w:r>
      <w:r>
        <w:rPr>
          <w:rFonts w:hint="eastAsia"/>
          <w:szCs w:val="28"/>
        </w:rPr>
        <w:t>企业原始资料</w:t>
      </w:r>
      <w:r>
        <w:rPr>
          <w:rFonts w:hint="eastAsia"/>
          <w:szCs w:val="28"/>
          <w:lang w:val="en-US" w:eastAsia="zh-CN"/>
        </w:rPr>
        <w:t>附件</w:t>
      </w:r>
      <w:r>
        <w:rPr>
          <w:rFonts w:hint="eastAsia"/>
          <w:color w:val="000000" w:themeColor="text1"/>
        </w:rPr>
        <w:t>6.15。</w:t>
      </w:r>
    </w:p>
    <w:p>
      <w:pPr>
        <w:ind w:firstLine="560"/>
        <w:rPr>
          <w:color w:val="000000" w:themeColor="text1"/>
        </w:rPr>
      </w:pPr>
      <w:r>
        <w:rPr>
          <w:rFonts w:hint="eastAsia"/>
          <w:color w:val="000000" w:themeColor="text1"/>
        </w:rPr>
        <w:t>2）按照《云南省安全生产委员会关于建立完善安全风险分级管控和隐患排查治理双重预防机制的指导意见》（云安〔2021〕3号）的要求建立了双重预防控制体系。详见</w:t>
      </w:r>
      <w:r>
        <w:rPr>
          <w:rFonts w:hint="eastAsia"/>
          <w:szCs w:val="28"/>
        </w:rPr>
        <w:t>企业原始资料</w:t>
      </w:r>
      <w:r>
        <w:rPr>
          <w:rFonts w:hint="eastAsia"/>
          <w:szCs w:val="28"/>
          <w:lang w:val="en-US" w:eastAsia="zh-CN"/>
        </w:rPr>
        <w:t>附件</w:t>
      </w:r>
      <w:r>
        <w:rPr>
          <w:rFonts w:hint="eastAsia"/>
          <w:color w:val="000000" w:themeColor="text1"/>
        </w:rPr>
        <w:t>6.30。</w:t>
      </w:r>
    </w:p>
    <w:p>
      <w:pPr>
        <w:pStyle w:val="4"/>
        <w:ind w:firstLine="562"/>
        <w:rPr>
          <w:color w:val="000000" w:themeColor="text1"/>
        </w:rPr>
      </w:pPr>
      <w:bookmarkStart w:id="773" w:name="_Toc3540"/>
      <w:bookmarkStart w:id="774" w:name="_Toc17140"/>
      <w:bookmarkStart w:id="775" w:name="_Toc21018"/>
      <w:bookmarkStart w:id="776" w:name="_Toc25620"/>
      <w:bookmarkStart w:id="777" w:name="_Toc26938"/>
      <w:bookmarkStart w:id="778" w:name="_Toc0"/>
      <w:bookmarkStart w:id="779" w:name="_Toc23849"/>
      <w:bookmarkStart w:id="780" w:name="_Toc6204"/>
      <w:bookmarkStart w:id="781" w:name="_Toc32655"/>
      <w:bookmarkStart w:id="782" w:name="_Toc28642"/>
      <w:bookmarkStart w:id="783" w:name="_Toc16149"/>
      <w:bookmarkStart w:id="784" w:name="_Toc23032"/>
      <w:bookmarkStart w:id="785" w:name="_Toc19575"/>
      <w:bookmarkStart w:id="786" w:name="_Toc25533"/>
      <w:bookmarkStart w:id="787" w:name="_Toc5446"/>
      <w:bookmarkStart w:id="788" w:name="_Toc2845"/>
      <w:bookmarkStart w:id="789" w:name="_Toc29506"/>
      <w:bookmarkStart w:id="790" w:name="_Toc128056415"/>
      <w:bookmarkStart w:id="791" w:name="_Toc25489"/>
      <w:bookmarkStart w:id="792" w:name="_Toc21053"/>
      <w:bookmarkStart w:id="793" w:name="_Toc6361"/>
      <w:bookmarkStart w:id="794" w:name="_Toc21406"/>
      <w:bookmarkStart w:id="795" w:name="_Toc30887"/>
      <w:bookmarkStart w:id="796" w:name="_Toc24133"/>
      <w:r>
        <w:rPr>
          <w:rFonts w:hint="eastAsia"/>
          <w:color w:val="000000" w:themeColor="text1"/>
        </w:rPr>
        <w:t>2.13 项目换证以来的安全运行情况及工艺变更情况</w:t>
      </w:r>
      <w:bookmarkEnd w:id="767"/>
      <w:bookmarkEnd w:id="768"/>
      <w:bookmarkEnd w:id="769"/>
      <w:bookmarkEnd w:id="770"/>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pPr>
        <w:pStyle w:val="5"/>
        <w:ind w:firstLine="562"/>
      </w:pPr>
      <w:bookmarkStart w:id="797" w:name="_Toc372033583"/>
      <w:bookmarkStart w:id="798" w:name="_Toc3171"/>
      <w:bookmarkStart w:id="799" w:name="_Toc25565"/>
      <w:bookmarkStart w:id="800" w:name="_Toc525367187"/>
      <w:bookmarkStart w:id="801" w:name="_Toc128056416"/>
      <w:bookmarkStart w:id="802" w:name="_Toc11090"/>
      <w:bookmarkStart w:id="803" w:name="_Toc18177"/>
      <w:bookmarkStart w:id="804" w:name="_Toc18857"/>
      <w:bookmarkStart w:id="805" w:name="_Toc17832"/>
      <w:bookmarkStart w:id="806" w:name="_Toc2398"/>
      <w:bookmarkStart w:id="807" w:name="_Toc12520"/>
      <w:bookmarkStart w:id="808" w:name="_Toc18475"/>
      <w:bookmarkStart w:id="809" w:name="_Toc343691109"/>
      <w:bookmarkStart w:id="810" w:name="_Toc26269"/>
      <w:bookmarkStart w:id="811" w:name="_Toc510448395"/>
      <w:bookmarkStart w:id="812" w:name="_Toc18023"/>
      <w:bookmarkStart w:id="813" w:name="_Toc15675"/>
      <w:bookmarkStart w:id="814" w:name="_Toc30712"/>
      <w:r>
        <w:rPr>
          <w:rFonts w:hint="eastAsia"/>
        </w:rPr>
        <w:t>2.13.1 项目换证以来的安全运行情况</w:t>
      </w:r>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pPr>
        <w:pStyle w:val="70"/>
        <w:ind w:firstLine="560"/>
        <w:rPr>
          <w:color w:val="000000" w:themeColor="text1"/>
        </w:rPr>
      </w:pPr>
      <w:r>
        <w:rPr>
          <w:rFonts w:hint="eastAsia"/>
          <w:color w:val="000000" w:themeColor="text1"/>
        </w:rPr>
        <w:t>氟化分公司遵循安全生产管理方针，切实执行国家有关安全生产、职业病防治法律法规，加强班组安全生产及职业卫生工作的领导和管理；落实各级安全生产责任制，强化各自安全生产职责；开展形式多样的安全教育活动；认真开展隐患排查治理，确</w:t>
      </w:r>
      <w:commentRangeStart w:id="7"/>
      <w:r>
        <w:rPr>
          <w:rFonts w:hint="eastAsia"/>
          <w:color w:val="000000" w:themeColor="text1"/>
        </w:rPr>
        <w:t>保公司生产安全稳定。</w:t>
      </w:r>
      <w:commentRangeEnd w:id="7"/>
      <w:r>
        <w:commentReference w:id="7"/>
      </w:r>
      <w:r>
        <w:rPr>
          <w:rFonts w:hint="eastAsia"/>
          <w:color w:val="000000" w:themeColor="text1"/>
        </w:rPr>
        <w:t>氟化分公司</w:t>
      </w:r>
      <w:r>
        <w:rPr>
          <w:rFonts w:hint="eastAsia"/>
          <w:u w:val="none" w:color="auto"/>
          <w:lang w:val="en-US" w:eastAsia="zh-CN"/>
        </w:rPr>
        <w:t>安全标准化证书于2023年4月15日到期未进行换证。</w:t>
      </w:r>
    </w:p>
    <w:p>
      <w:pPr>
        <w:ind w:firstLine="560"/>
        <w:rPr>
          <w:color w:val="000000" w:themeColor="text1"/>
        </w:rPr>
      </w:pPr>
      <w:r>
        <w:rPr>
          <w:rFonts w:hint="eastAsia"/>
          <w:color w:val="000000" w:themeColor="text1"/>
        </w:rPr>
        <w:t>被评价项目自2021年换取《安全生产许可证》至评价基准日以来，未发生导致人员伤亡的安全生产事故。</w:t>
      </w:r>
    </w:p>
    <w:p>
      <w:pPr>
        <w:pStyle w:val="5"/>
        <w:ind w:firstLine="562"/>
      </w:pPr>
      <w:bookmarkStart w:id="815" w:name="_Toc24667"/>
      <w:bookmarkStart w:id="816" w:name="_Toc20311"/>
      <w:bookmarkStart w:id="817" w:name="_Toc4559"/>
      <w:bookmarkStart w:id="818" w:name="_Toc1730"/>
      <w:bookmarkStart w:id="819" w:name="_Toc525367188"/>
      <w:bookmarkStart w:id="820" w:name="_Toc6499"/>
      <w:bookmarkStart w:id="821" w:name="_Toc372033584"/>
      <w:bookmarkStart w:id="822" w:name="_Toc8047"/>
      <w:bookmarkStart w:id="823" w:name="_Toc6012"/>
      <w:bookmarkStart w:id="824" w:name="_Toc32452"/>
      <w:bookmarkStart w:id="825" w:name="_Toc14617"/>
      <w:bookmarkStart w:id="826" w:name="_Toc4950"/>
      <w:bookmarkStart w:id="827" w:name="_Toc343691110"/>
      <w:bookmarkStart w:id="828" w:name="_Toc23989"/>
      <w:bookmarkStart w:id="829" w:name="_Toc789"/>
      <w:bookmarkStart w:id="830" w:name="_Toc128056417"/>
      <w:bookmarkStart w:id="831" w:name="_Toc510448396"/>
      <w:bookmarkStart w:id="832" w:name="_Toc4619"/>
      <w:r>
        <w:rPr>
          <w:rFonts w:hint="eastAsia"/>
        </w:rPr>
        <w:t>2.13.2 项目换证以来的工艺装置变更情况</w:t>
      </w:r>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pPr>
        <w:ind w:firstLine="560"/>
        <w:rPr>
          <w:rFonts w:ascii="宋体" w:hAnsi="宋体" w:cs="宋体"/>
          <w:color w:val="000000" w:themeColor="text1"/>
        </w:rPr>
      </w:pPr>
      <w:r>
        <w:rPr>
          <w:rFonts w:hint="eastAsia" w:ascii="宋体" w:hAnsi="宋体" w:cs="宋体"/>
          <w:color w:val="000000" w:themeColor="text1"/>
        </w:rPr>
        <w:t>被评价项目自2021年换取《安全生产许可证》</w:t>
      </w:r>
      <w:r>
        <w:rPr>
          <w:rFonts w:hint="eastAsia"/>
          <w:color w:val="000000" w:themeColor="text1"/>
        </w:rPr>
        <w:t>至评价基准日</w:t>
      </w:r>
      <w:r>
        <w:rPr>
          <w:rFonts w:hint="eastAsia" w:ascii="宋体" w:hAnsi="宋体" w:cs="宋体"/>
          <w:color w:val="000000" w:themeColor="text1"/>
        </w:rPr>
        <w:t>以来，界区内生产工艺、生产规模均无变化，主要生产装置未发生变更</w:t>
      </w:r>
      <w:r>
        <w:rPr>
          <w:rFonts w:hint="eastAsia" w:ascii="宋体" w:hAnsi="宋体" w:cs="宋体"/>
          <w:color w:val="000000" w:themeColor="text1"/>
          <w:lang w:eastAsia="zh-CN"/>
        </w:rPr>
        <w:t>，</w:t>
      </w:r>
      <w:r>
        <w:rPr>
          <w:rFonts w:hint="eastAsia"/>
          <w:color w:val="000000" w:themeColor="text1"/>
        </w:rPr>
        <w:t>详见</w:t>
      </w:r>
      <w:r>
        <w:rPr>
          <w:rFonts w:hint="eastAsia"/>
          <w:szCs w:val="28"/>
        </w:rPr>
        <w:t>企业原始资料</w:t>
      </w:r>
      <w:r>
        <w:rPr>
          <w:rFonts w:hint="eastAsia"/>
          <w:szCs w:val="28"/>
          <w:lang w:val="en-US" w:eastAsia="zh-CN"/>
        </w:rPr>
        <w:t>附件</w:t>
      </w:r>
      <w:r>
        <w:rPr>
          <w:rFonts w:hint="eastAsia"/>
          <w:color w:val="000000" w:themeColor="text1"/>
        </w:rPr>
        <w:t>6.3</w:t>
      </w:r>
      <w:r>
        <w:rPr>
          <w:rFonts w:hint="eastAsia"/>
          <w:color w:val="000000" w:themeColor="text1"/>
          <w:lang w:val="en-US" w:eastAsia="zh-CN"/>
        </w:rPr>
        <w:t>3</w:t>
      </w:r>
      <w:r>
        <w:rPr>
          <w:rFonts w:hint="eastAsia" w:ascii="宋体" w:hAnsi="宋体" w:cs="宋体"/>
          <w:color w:val="000000" w:themeColor="text1"/>
        </w:rPr>
        <w:t>。</w:t>
      </w:r>
    </w:p>
    <w:p>
      <w:pPr>
        <w:pStyle w:val="5"/>
        <w:ind w:firstLine="562"/>
      </w:pPr>
      <w:bookmarkStart w:id="833" w:name="_Toc9655"/>
      <w:bookmarkStart w:id="834" w:name="_Toc29473"/>
      <w:bookmarkStart w:id="835" w:name="_Toc3159"/>
      <w:bookmarkStart w:id="836" w:name="_Toc27644"/>
      <w:bookmarkStart w:id="837" w:name="_Toc510448397"/>
      <w:bookmarkStart w:id="838" w:name="_Toc525367189"/>
      <w:bookmarkStart w:id="839" w:name="_Toc18415"/>
      <w:bookmarkStart w:id="840" w:name="_Toc128056418"/>
      <w:bookmarkStart w:id="841" w:name="_Toc19331"/>
      <w:bookmarkStart w:id="842" w:name="_Toc9494"/>
      <w:bookmarkStart w:id="843" w:name="_Toc19934"/>
      <w:bookmarkStart w:id="844" w:name="_Toc14002"/>
      <w:bookmarkStart w:id="845" w:name="_Toc13262"/>
      <w:bookmarkStart w:id="846" w:name="_Toc9012"/>
      <w:bookmarkStart w:id="847" w:name="_Toc21005"/>
      <w:bookmarkStart w:id="848" w:name="_Toc1843"/>
      <w:bookmarkStart w:id="849" w:name="_Toc339283611"/>
      <w:bookmarkStart w:id="850" w:name="_Toc343691111"/>
      <w:bookmarkStart w:id="851" w:name="_Toc372033585"/>
      <w:r>
        <w:rPr>
          <w:rFonts w:hint="eastAsia"/>
        </w:rPr>
        <w:t>2.13.3 项目换证以来安全设施变更情况</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pPr>
        <w:ind w:firstLine="560"/>
        <w:rPr>
          <w:color w:val="000000" w:themeColor="text1"/>
        </w:rPr>
      </w:pPr>
      <w:r>
        <w:rPr>
          <w:rFonts w:hint="eastAsia"/>
          <w:color w:val="000000" w:themeColor="text1"/>
        </w:rPr>
        <w:t>被评价项目自2021年3月换取《安全生产许可证》至评价基准日以来，企业严格落实各项安全管理制度，加强对安全设备设施的维护保养，对失效、破损的安全设施进行修复、更换，企业原有的安全设施没有拆除和停用，安全设施运行正常、可靠，未出现因安全设施失效导致生产安全事故的情况发生</w:t>
      </w:r>
      <w:r>
        <w:rPr>
          <w:rFonts w:hint="eastAsia" w:ascii="宋体" w:hAnsi="宋体" w:cs="宋体"/>
          <w:color w:val="000000" w:themeColor="text1"/>
          <w:lang w:eastAsia="zh-CN"/>
        </w:rPr>
        <w:t>，</w:t>
      </w:r>
      <w:r>
        <w:rPr>
          <w:rFonts w:hint="eastAsia"/>
          <w:color w:val="000000" w:themeColor="text1"/>
        </w:rPr>
        <w:t>详见</w:t>
      </w:r>
      <w:r>
        <w:rPr>
          <w:rFonts w:hint="eastAsia"/>
          <w:szCs w:val="28"/>
        </w:rPr>
        <w:t>企业原始资料</w:t>
      </w:r>
      <w:r>
        <w:rPr>
          <w:rFonts w:hint="eastAsia"/>
          <w:szCs w:val="28"/>
          <w:lang w:val="en-US" w:eastAsia="zh-CN"/>
        </w:rPr>
        <w:t>附件</w:t>
      </w:r>
      <w:r>
        <w:rPr>
          <w:rFonts w:hint="eastAsia"/>
          <w:color w:val="000000" w:themeColor="text1"/>
        </w:rPr>
        <w:t>6.3</w:t>
      </w:r>
      <w:r>
        <w:rPr>
          <w:rFonts w:hint="eastAsia"/>
          <w:color w:val="000000" w:themeColor="text1"/>
          <w:lang w:val="en-US" w:eastAsia="zh-CN"/>
        </w:rPr>
        <w:t>3</w:t>
      </w:r>
      <w:r>
        <w:rPr>
          <w:rFonts w:hint="eastAsia"/>
          <w:color w:val="000000" w:themeColor="text1"/>
        </w:rPr>
        <w:t>。</w:t>
      </w:r>
    </w:p>
    <w:p>
      <w:pPr>
        <w:pStyle w:val="5"/>
        <w:ind w:firstLine="562"/>
      </w:pPr>
      <w:bookmarkStart w:id="852" w:name="_Toc1019"/>
      <w:bookmarkStart w:id="853" w:name="_Toc19256"/>
      <w:bookmarkStart w:id="854" w:name="_Toc22791"/>
      <w:bookmarkStart w:id="855" w:name="_Toc21041"/>
      <w:bookmarkStart w:id="856" w:name="_Toc2518"/>
      <w:bookmarkStart w:id="857" w:name="_Toc20371"/>
      <w:bookmarkStart w:id="858" w:name="_Toc6189"/>
      <w:bookmarkStart w:id="859" w:name="_Toc29564"/>
      <w:bookmarkStart w:id="860" w:name="_Toc510448398"/>
      <w:bookmarkStart w:id="861" w:name="_Toc128056419"/>
      <w:bookmarkStart w:id="862" w:name="_Toc32414"/>
      <w:bookmarkStart w:id="863" w:name="_Toc25960"/>
      <w:bookmarkStart w:id="864" w:name="_Toc8909"/>
      <w:bookmarkStart w:id="865" w:name="_Toc7736"/>
      <w:bookmarkStart w:id="866" w:name="_Toc20338"/>
      <w:bookmarkStart w:id="867" w:name="_Toc525367190"/>
      <w:r>
        <w:rPr>
          <w:rFonts w:hint="eastAsia"/>
        </w:rPr>
        <w:t>2.13.4 项目换证以来周边环境变化情况</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pPr>
        <w:ind w:firstLine="560" w:firstLineChars="200"/>
        <w:rPr>
          <w:rFonts w:hint="eastAsia"/>
          <w:color w:val="000000" w:themeColor="text1"/>
        </w:rPr>
      </w:pPr>
      <w:r>
        <w:rPr>
          <w:rFonts w:hint="eastAsia"/>
          <w:color w:val="000000" w:themeColor="text1"/>
        </w:rPr>
        <w:t>被评价项目自2021年3月换取《安全生产许可证》至评价基准日以来</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000000" w:themeColor="text1"/>
          <w:sz w:val="28"/>
          <w:szCs w:val="28"/>
          <w:lang w:val="en-US" w:eastAsia="zh-CN"/>
        </w:rPr>
        <w:t>1）</w:t>
      </w:r>
      <w:r>
        <w:rPr>
          <w:rFonts w:hint="eastAsia" w:ascii="宋体" w:hAnsi="宋体" w:eastAsia="宋体" w:cs="宋体"/>
          <w:sz w:val="28"/>
          <w:szCs w:val="28"/>
          <w:lang w:val="en-US" w:eastAsia="zh-CN"/>
        </w:rPr>
        <w:t>2021年5月在厂后面空地上新建了约700m</w:t>
      </w:r>
      <w:r>
        <w:rPr>
          <w:rFonts w:hint="eastAsia" w:ascii="宋体" w:hAnsi="宋体" w:eastAsia="宋体" w:cs="宋体"/>
          <w:sz w:val="28"/>
          <w:szCs w:val="28"/>
          <w:vertAlign w:val="superscript"/>
          <w:lang w:val="en-US" w:eastAsia="zh-CN"/>
        </w:rPr>
        <w:t>2</w:t>
      </w:r>
      <w:r>
        <w:rPr>
          <w:rFonts w:hint="eastAsia" w:ascii="宋体" w:hAnsi="宋体" w:eastAsia="宋体" w:cs="宋体"/>
          <w:sz w:val="28"/>
          <w:szCs w:val="28"/>
          <w:lang w:val="en-US" w:eastAsia="zh-CN"/>
        </w:rPr>
        <w:t>的一个仓库；</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ascii="宋体" w:hAnsi="宋体"/>
          <w:color w:val="000000" w:themeColor="text1"/>
        </w:rPr>
      </w:pPr>
      <w:r>
        <w:rPr>
          <w:rFonts w:hint="eastAsia" w:ascii="宋体" w:hAnsi="宋体" w:eastAsia="宋体" w:cs="宋体"/>
          <w:sz w:val="28"/>
          <w:szCs w:val="28"/>
          <w:lang w:val="en-US" w:eastAsia="zh-CN"/>
        </w:rPr>
        <w:t>2）于2021年年底完成了四区分离工作，将办公室由厂区内搬到了公司外的马路对面位置，原办公室改为巡检室使用。</w:t>
      </w:r>
      <w:bookmarkEnd w:id="771"/>
      <w:bookmarkEnd w:id="772"/>
    </w:p>
    <w:p>
      <w:pPr>
        <w:pStyle w:val="3"/>
        <w:rPr>
          <w:rFonts w:hint="eastAsia" w:ascii="宋体" w:hAnsi="宋体" w:eastAsia="宋体" w:cs="宋体"/>
          <w:b/>
          <w:bCs w:val="0"/>
          <w:sz w:val="32"/>
          <w:szCs w:val="32"/>
        </w:rPr>
      </w:pPr>
      <w:bookmarkStart w:id="868" w:name="_Toc12924"/>
      <w:bookmarkStart w:id="869" w:name="_Toc746"/>
      <w:bookmarkStart w:id="870" w:name="_Toc7530"/>
      <w:bookmarkStart w:id="871" w:name="_Toc23807"/>
      <w:bookmarkStart w:id="872" w:name="_Toc28895"/>
      <w:bookmarkStart w:id="873" w:name="_Toc29659"/>
      <w:bookmarkStart w:id="874" w:name="_Toc2983"/>
      <w:bookmarkStart w:id="875" w:name="_Toc23121"/>
      <w:bookmarkStart w:id="876" w:name="_Toc22046"/>
      <w:bookmarkStart w:id="877" w:name="_Toc30171"/>
      <w:bookmarkStart w:id="878" w:name="_Toc6618"/>
      <w:bookmarkStart w:id="879" w:name="_Toc7408"/>
      <w:bookmarkStart w:id="880" w:name="_Toc27958"/>
      <w:bookmarkStart w:id="881" w:name="_Toc12973"/>
      <w:bookmarkStart w:id="882" w:name="_Toc26814"/>
      <w:bookmarkStart w:id="883" w:name="_Toc18961"/>
      <w:bookmarkStart w:id="884" w:name="_Toc27205"/>
      <w:bookmarkStart w:id="885" w:name="_Toc16508"/>
      <w:bookmarkStart w:id="886" w:name="_Toc8401"/>
      <w:bookmarkStart w:id="887" w:name="_Toc1049"/>
      <w:bookmarkStart w:id="888" w:name="_Toc62740939"/>
      <w:bookmarkStart w:id="889" w:name="_Toc16207"/>
      <w:bookmarkStart w:id="890" w:name="_Toc5490"/>
      <w:bookmarkStart w:id="891" w:name="_Toc128056421"/>
      <w:bookmarkStart w:id="892" w:name="_Toc8218"/>
      <w:r>
        <w:rPr>
          <w:rFonts w:hint="eastAsia" w:ascii="宋体" w:hAnsi="宋体" w:eastAsia="宋体" w:cs="宋体"/>
          <w:b/>
          <w:bCs w:val="0"/>
          <w:sz w:val="32"/>
          <w:szCs w:val="32"/>
        </w:rPr>
        <w:t xml:space="preserve">3  </w:t>
      </w:r>
      <w:r>
        <w:rPr>
          <w:rFonts w:hint="eastAsia" w:ascii="宋体" w:hAnsi="宋体" w:eastAsia="宋体" w:cs="宋体"/>
          <w:b/>
          <w:bCs w:val="0"/>
          <w:sz w:val="32"/>
          <w:szCs w:val="32"/>
          <w:lang w:eastAsia="zh-CN"/>
        </w:rPr>
        <w:t>危险和有害因素</w:t>
      </w:r>
      <w:r>
        <w:rPr>
          <w:rFonts w:hint="eastAsia" w:ascii="宋体" w:hAnsi="宋体" w:eastAsia="宋体" w:cs="宋体"/>
          <w:b/>
          <w:bCs w:val="0"/>
          <w:sz w:val="32"/>
          <w:szCs w:val="32"/>
        </w:rPr>
        <w:t>辨识结果</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pPr>
        <w:pStyle w:val="2"/>
        <w:ind w:firstLine="560"/>
        <w:rPr>
          <w:rFonts w:hint="eastAsia" w:ascii="宋体" w:hAnsi="宋体" w:eastAsia="宋体" w:cs="宋体"/>
          <w:b/>
          <w:bCs w:val="0"/>
          <w:sz w:val="32"/>
          <w:szCs w:val="32"/>
        </w:rPr>
      </w:pPr>
      <w:bookmarkStart w:id="893" w:name="_Toc118297930"/>
      <w:bookmarkStart w:id="894" w:name="_Toc17618"/>
      <w:bookmarkStart w:id="895" w:name="_Toc12427"/>
      <w:bookmarkStart w:id="896" w:name="_Toc11499"/>
      <w:bookmarkStart w:id="897" w:name="_Toc20345"/>
      <w:bookmarkStart w:id="898" w:name="_Toc23647"/>
      <w:bookmarkStart w:id="899" w:name="_Toc2705"/>
      <w:bookmarkStart w:id="900" w:name="_Toc16664"/>
    </w:p>
    <w:p>
      <w:pPr>
        <w:pStyle w:val="4"/>
        <w:ind w:firstLine="562"/>
      </w:pPr>
      <w:bookmarkStart w:id="901" w:name="_Toc10289"/>
      <w:bookmarkStart w:id="902" w:name="_Toc24046"/>
      <w:bookmarkStart w:id="903" w:name="_Toc16229"/>
      <w:bookmarkStart w:id="904" w:name="_Toc935"/>
      <w:bookmarkStart w:id="905" w:name="_Toc21750"/>
      <w:bookmarkStart w:id="906" w:name="_Toc30457"/>
      <w:bookmarkStart w:id="907" w:name="_Toc2306"/>
      <w:bookmarkStart w:id="908" w:name="_Toc31183"/>
      <w:bookmarkStart w:id="909" w:name="_Toc11035"/>
      <w:bookmarkStart w:id="910" w:name="_Toc6263"/>
      <w:bookmarkStart w:id="911" w:name="_Toc17778"/>
      <w:bookmarkStart w:id="912" w:name="_Toc15348"/>
      <w:bookmarkStart w:id="913" w:name="_Toc30160"/>
      <w:r>
        <w:rPr>
          <w:rFonts w:hint="eastAsia"/>
        </w:rPr>
        <w:t>3.1 主要危险、有害物质辨识及物质的危险性分析结果</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pPr>
        <w:pStyle w:val="5"/>
        <w:ind w:firstLine="562"/>
      </w:pPr>
      <w:bookmarkStart w:id="914" w:name="_Toc16328"/>
      <w:bookmarkStart w:id="915" w:name="_Toc118297931"/>
      <w:bookmarkStart w:id="916" w:name="_Toc553"/>
      <w:bookmarkStart w:id="917" w:name="_Toc7869"/>
      <w:bookmarkStart w:id="918" w:name="_Toc12663"/>
      <w:bookmarkStart w:id="919" w:name="_Toc15802"/>
      <w:bookmarkStart w:id="920" w:name="_Toc16895"/>
      <w:bookmarkStart w:id="921" w:name="_Toc15342"/>
      <w:bookmarkStart w:id="922" w:name="_Toc12713"/>
      <w:bookmarkStart w:id="923" w:name="_Toc24193"/>
      <w:bookmarkStart w:id="924" w:name="_Toc7676"/>
      <w:r>
        <w:rPr>
          <w:rFonts w:hint="eastAsia"/>
        </w:rPr>
        <w:t>3.1.1 主要危险、有害物质辨识结果</w:t>
      </w:r>
      <w:bookmarkEnd w:id="914"/>
      <w:bookmarkEnd w:id="915"/>
      <w:bookmarkEnd w:id="916"/>
      <w:bookmarkEnd w:id="917"/>
      <w:bookmarkEnd w:id="918"/>
      <w:bookmarkEnd w:id="919"/>
      <w:bookmarkEnd w:id="920"/>
      <w:bookmarkEnd w:id="921"/>
      <w:bookmarkEnd w:id="922"/>
      <w:bookmarkEnd w:id="923"/>
      <w:bookmarkEnd w:id="924"/>
    </w:p>
    <w:p>
      <w:pPr>
        <w:pStyle w:val="58"/>
        <w:topLinePunct/>
        <w:ind w:firstLine="560"/>
        <w:rPr>
          <w:rFonts w:ascii="宋体" w:hAnsi="宋体"/>
          <w:color w:val="auto"/>
          <w:szCs w:val="28"/>
        </w:rPr>
      </w:pPr>
      <w:r>
        <w:rPr>
          <w:rFonts w:hint="eastAsia"/>
        </w:rPr>
        <w:t>由本报告附件2.4.1“危险化学品辨识”的结果可知：本项目生产过程中涉及的主要危险、有害物质有：</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w:t>
      </w:r>
      <w:r>
        <w:rPr>
          <w:rFonts w:hint="eastAsia" w:ascii="宋体" w:hAnsi="宋体"/>
          <w:color w:val="auto"/>
          <w:szCs w:val="28"/>
        </w:rPr>
        <w:t>；氟化氢和四氟化硅为生产过程中产生的废气，企业设有废气处理装置。</w:t>
      </w:r>
    </w:p>
    <w:p>
      <w:pPr>
        <w:pStyle w:val="58"/>
        <w:topLinePunct/>
        <w:ind w:firstLine="560"/>
        <w:rPr>
          <w:rFonts w:ascii="宋体" w:hAnsi="宋体"/>
          <w:color w:val="000000" w:themeColor="text1"/>
          <w:szCs w:val="28"/>
        </w:rPr>
      </w:pPr>
      <w:r>
        <w:rPr>
          <w:rFonts w:hint="eastAsia"/>
        </w:rPr>
        <w:t>根据《危险化学品目录》（2022版）中的规定可知：</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w:t>
      </w:r>
      <w:r>
        <w:rPr>
          <w:rFonts w:hint="eastAsia"/>
        </w:rPr>
        <w:t>属于危险化学品。</w:t>
      </w:r>
    </w:p>
    <w:p>
      <w:pPr>
        <w:pStyle w:val="5"/>
        <w:ind w:firstLine="562"/>
      </w:pPr>
      <w:bookmarkStart w:id="925" w:name="_Toc14555"/>
      <w:bookmarkStart w:id="926" w:name="_Toc7904"/>
      <w:bookmarkStart w:id="927" w:name="_Toc118297932"/>
      <w:bookmarkStart w:id="928" w:name="_Toc32150"/>
      <w:bookmarkStart w:id="929" w:name="_Toc14463"/>
      <w:bookmarkStart w:id="930" w:name="_Toc25750"/>
      <w:bookmarkStart w:id="931" w:name="_Toc2769"/>
      <w:bookmarkStart w:id="932" w:name="_Toc12204"/>
      <w:bookmarkStart w:id="933" w:name="_Toc26307"/>
      <w:bookmarkStart w:id="934" w:name="_Toc844"/>
      <w:bookmarkStart w:id="935" w:name="_Toc10195"/>
      <w:r>
        <w:rPr>
          <w:rFonts w:hint="eastAsia"/>
        </w:rPr>
        <w:t>3.1.2 主要危险、有害物质的危险性分析结果</w:t>
      </w:r>
      <w:bookmarkEnd w:id="925"/>
      <w:bookmarkEnd w:id="926"/>
      <w:bookmarkEnd w:id="927"/>
      <w:bookmarkEnd w:id="928"/>
      <w:bookmarkEnd w:id="929"/>
      <w:bookmarkEnd w:id="930"/>
      <w:bookmarkEnd w:id="931"/>
      <w:bookmarkEnd w:id="932"/>
      <w:bookmarkEnd w:id="933"/>
      <w:bookmarkEnd w:id="934"/>
      <w:bookmarkEnd w:id="935"/>
    </w:p>
    <w:p>
      <w:pPr>
        <w:ind w:firstLine="560"/>
      </w:pPr>
      <w:r>
        <w:rPr>
          <w:rFonts w:hint="eastAsia"/>
        </w:rPr>
        <w:t>由本报告附件2.4.3“主要危险、有害物质的特性”的结果可知：该项目生产过程中涉及到的主要危险、有害物质的危险性分析结果见下表：</w:t>
      </w:r>
    </w:p>
    <w:p>
      <w:pPr>
        <w:pStyle w:val="89"/>
        <w:rPr>
          <w:sz w:val="24"/>
          <w:szCs w:val="24"/>
        </w:rPr>
      </w:pPr>
      <w:r>
        <w:rPr>
          <w:rFonts w:hint="eastAsia"/>
          <w:sz w:val="24"/>
          <w:szCs w:val="24"/>
        </w:rPr>
        <w:t>表3.1-1 主要危险、有害物质的危险性分析结果</w:t>
      </w:r>
    </w:p>
    <w:bookmarkEnd w:id="888"/>
    <w:bookmarkEnd w:id="889"/>
    <w:bookmarkEnd w:id="890"/>
    <w:bookmarkEnd w:id="891"/>
    <w:bookmarkEnd w:id="892"/>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359"/>
        <w:gridCol w:w="2102"/>
        <w:gridCol w:w="532"/>
        <w:gridCol w:w="654"/>
        <w:gridCol w:w="650"/>
        <w:gridCol w:w="898"/>
        <w:gridCol w:w="1183"/>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34" w:type="pct"/>
            <w:vAlign w:val="center"/>
          </w:tcPr>
          <w:p>
            <w:pPr>
              <w:pStyle w:val="72"/>
              <w:spacing w:line="240" w:lineRule="auto"/>
              <w:ind w:firstLine="0" w:firstLineChars="0"/>
              <w:rPr>
                <w:rFonts w:hAnsi="宋体" w:cs="宋体"/>
                <w:b/>
                <w:color w:val="000000" w:themeColor="text1"/>
                <w:sz w:val="18"/>
                <w:szCs w:val="18"/>
              </w:rPr>
            </w:pPr>
            <w:bookmarkStart w:id="936" w:name="_Toc503269866"/>
            <w:bookmarkStart w:id="937" w:name="_Toc246965449"/>
            <w:bookmarkStart w:id="938" w:name="_Toc174244031"/>
            <w:r>
              <w:rPr>
                <w:rFonts w:hint="eastAsia" w:hAnsi="宋体" w:cs="宋体"/>
                <w:b/>
                <w:color w:val="000000" w:themeColor="text1"/>
                <w:sz w:val="18"/>
                <w:szCs w:val="18"/>
              </w:rPr>
              <w:t>序号</w:t>
            </w:r>
          </w:p>
        </w:tc>
        <w:tc>
          <w:tcPr>
            <w:tcW w:w="193"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名称</w:t>
            </w:r>
          </w:p>
        </w:tc>
        <w:tc>
          <w:tcPr>
            <w:tcW w:w="1132"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危</w:t>
            </w:r>
            <w:r>
              <w:rPr>
                <w:rFonts w:hint="eastAsia" w:hAnsi="宋体" w:cs="宋体"/>
                <w:b/>
                <w:color w:val="000000" w:themeColor="text1"/>
                <w:sz w:val="18"/>
                <w:szCs w:val="18"/>
                <w:lang w:val="en-US" w:eastAsia="zh-CN"/>
              </w:rPr>
              <w:t xml:space="preserve"> </w:t>
            </w:r>
            <w:r>
              <w:rPr>
                <w:rFonts w:hint="eastAsia" w:hAnsi="宋体" w:cs="宋体"/>
                <w:b/>
                <w:color w:val="000000" w:themeColor="text1"/>
                <w:sz w:val="18"/>
                <w:szCs w:val="18"/>
              </w:rPr>
              <w:t>险</w:t>
            </w:r>
            <w:r>
              <w:rPr>
                <w:rFonts w:hint="eastAsia" w:hAnsi="宋体" w:cs="宋体"/>
                <w:b/>
                <w:color w:val="000000" w:themeColor="text1"/>
                <w:sz w:val="18"/>
                <w:szCs w:val="18"/>
                <w:lang w:val="en-US" w:eastAsia="zh-CN"/>
              </w:rPr>
              <w:t xml:space="preserve"> </w:t>
            </w:r>
            <w:r>
              <w:rPr>
                <w:rFonts w:hint="eastAsia" w:hAnsi="宋体" w:cs="宋体"/>
                <w:b/>
                <w:color w:val="000000" w:themeColor="text1"/>
                <w:sz w:val="18"/>
                <w:szCs w:val="18"/>
              </w:rPr>
              <w:t>性</w:t>
            </w:r>
            <w:r>
              <w:rPr>
                <w:rFonts w:hint="eastAsia" w:hAnsi="宋体" w:cs="宋体"/>
                <w:b/>
                <w:color w:val="000000" w:themeColor="text1"/>
                <w:sz w:val="18"/>
                <w:szCs w:val="18"/>
                <w:lang w:val="en-US" w:eastAsia="zh-CN"/>
              </w:rPr>
              <w:t xml:space="preserve"> </w:t>
            </w:r>
            <w:r>
              <w:rPr>
                <w:rFonts w:hint="eastAsia" w:hAnsi="宋体" w:cs="宋体"/>
                <w:b/>
                <w:color w:val="000000" w:themeColor="text1"/>
                <w:sz w:val="18"/>
                <w:szCs w:val="18"/>
              </w:rPr>
              <w:t>类</w:t>
            </w:r>
            <w:r>
              <w:rPr>
                <w:rFonts w:hint="eastAsia" w:hAnsi="宋体" w:cs="宋体"/>
                <w:b/>
                <w:color w:val="000000" w:themeColor="text1"/>
                <w:sz w:val="18"/>
                <w:szCs w:val="18"/>
                <w:lang w:val="en-US" w:eastAsia="zh-CN"/>
              </w:rPr>
              <w:t xml:space="preserve"> </w:t>
            </w:r>
            <w:r>
              <w:rPr>
                <w:rFonts w:hint="eastAsia" w:hAnsi="宋体" w:cs="宋体"/>
                <w:b/>
                <w:color w:val="000000" w:themeColor="text1"/>
                <w:sz w:val="18"/>
                <w:szCs w:val="18"/>
              </w:rPr>
              <w:t>别</w:t>
            </w:r>
          </w:p>
        </w:tc>
        <w:tc>
          <w:tcPr>
            <w:tcW w:w="286"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闪点</w:t>
            </w:r>
          </w:p>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w:t>
            </w:r>
          </w:p>
        </w:tc>
        <w:tc>
          <w:tcPr>
            <w:tcW w:w="352"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爆炸下限</w:t>
            </w:r>
          </w:p>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w:t>
            </w:r>
          </w:p>
        </w:tc>
        <w:tc>
          <w:tcPr>
            <w:tcW w:w="350"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爆炸上限</w:t>
            </w:r>
          </w:p>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w:t>
            </w:r>
          </w:p>
        </w:tc>
        <w:tc>
          <w:tcPr>
            <w:tcW w:w="483"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毒性</w:t>
            </w:r>
          </w:p>
        </w:tc>
        <w:tc>
          <w:tcPr>
            <w:tcW w:w="637" w:type="pct"/>
            <w:vAlign w:val="center"/>
          </w:tcPr>
          <w:p>
            <w:pPr>
              <w:pStyle w:val="72"/>
              <w:spacing w:line="240" w:lineRule="auto"/>
              <w:ind w:firstLine="0" w:firstLineChars="0"/>
              <w:rPr>
                <w:rFonts w:hAnsi="宋体" w:cs="宋体"/>
                <w:b/>
                <w:color w:val="000000" w:themeColor="text1"/>
                <w:sz w:val="18"/>
                <w:szCs w:val="18"/>
              </w:rPr>
            </w:pPr>
            <w:r>
              <w:rPr>
                <w:rFonts w:hint="eastAsia" w:hAnsi="宋体" w:cs="宋体"/>
                <w:b/>
                <w:color w:val="000000" w:themeColor="text1"/>
                <w:sz w:val="18"/>
                <w:szCs w:val="18"/>
              </w:rPr>
              <w:t>危险特性</w:t>
            </w:r>
          </w:p>
        </w:tc>
        <w:tc>
          <w:tcPr>
            <w:tcW w:w="1329" w:type="pct"/>
            <w:vAlign w:val="center"/>
          </w:tcPr>
          <w:p>
            <w:pPr>
              <w:spacing w:line="240" w:lineRule="auto"/>
              <w:ind w:firstLine="0" w:firstLineChars="0"/>
              <w:jc w:val="center"/>
              <w:rPr>
                <w:rFonts w:ascii="宋体" w:hAnsi="宋体" w:cs="宋体"/>
                <w:b/>
                <w:color w:val="000000" w:themeColor="text1"/>
                <w:sz w:val="18"/>
                <w:szCs w:val="18"/>
              </w:rPr>
            </w:pPr>
            <w:r>
              <w:rPr>
                <w:rFonts w:hint="eastAsia" w:ascii="宋体" w:hAnsi="宋体" w:cs="宋体"/>
                <w:b/>
                <w:color w:val="000000" w:themeColor="text1"/>
                <w:spacing w:val="16"/>
                <w:sz w:val="18"/>
                <w:szCs w:val="18"/>
              </w:rPr>
              <w:t>健  康  危  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blHeader/>
          <w:jc w:val="center"/>
        </w:trPr>
        <w:tc>
          <w:tcPr>
            <w:tcW w:w="234"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1</w:t>
            </w:r>
          </w:p>
        </w:tc>
        <w:tc>
          <w:tcPr>
            <w:tcW w:w="193"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color w:val="auto"/>
                <w:kern w:val="0"/>
                <w:sz w:val="18"/>
                <w:szCs w:val="18"/>
              </w:rPr>
              <w:t>氟硅酸</w:t>
            </w:r>
          </w:p>
        </w:tc>
        <w:tc>
          <w:tcPr>
            <w:tcW w:w="1132"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皮肤腐蚀/刺激,类别1B,严重眼损伤/眼刺激,类别1</w:t>
            </w:r>
          </w:p>
          <w:p>
            <w:pPr>
              <w:pStyle w:val="72"/>
              <w:spacing w:line="240" w:lineRule="auto"/>
              <w:ind w:firstLine="0" w:firstLineChars="0"/>
              <w:rPr>
                <w:rFonts w:hAnsi="宋体" w:cs="宋体"/>
                <w:bCs/>
                <w:color w:val="000000" w:themeColor="text1"/>
                <w:sz w:val="18"/>
                <w:szCs w:val="18"/>
              </w:rPr>
            </w:pPr>
          </w:p>
          <w:p>
            <w:pPr>
              <w:pStyle w:val="72"/>
              <w:spacing w:line="240" w:lineRule="auto"/>
              <w:ind w:firstLine="0" w:firstLineChars="0"/>
              <w:rPr>
                <w:rFonts w:hAnsi="宋体" w:cs="宋体"/>
                <w:bCs/>
                <w:color w:val="000000" w:themeColor="text1"/>
                <w:sz w:val="18"/>
                <w:szCs w:val="18"/>
              </w:rPr>
            </w:pPr>
          </w:p>
        </w:tc>
        <w:tc>
          <w:tcPr>
            <w:tcW w:w="286"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2"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0"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483"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LD</w:t>
            </w:r>
            <w:r>
              <w:rPr>
                <w:rFonts w:hint="eastAsia" w:ascii="宋体" w:hAnsi="宋体" w:cs="宋体"/>
                <w:kern w:val="0"/>
                <w:sz w:val="18"/>
                <w:szCs w:val="18"/>
                <w:vertAlign w:val="subscript"/>
              </w:rPr>
              <w:t>50</w:t>
            </w:r>
            <w:r>
              <w:rPr>
                <w:rFonts w:hint="eastAsia" w:ascii="宋体" w:hAnsi="宋体" w:cs="宋体"/>
                <w:kern w:val="0"/>
                <w:sz w:val="18"/>
                <w:szCs w:val="18"/>
              </w:rPr>
              <w:t xml:space="preserve">:430mg/kg (大鼠经口) </w:t>
            </w:r>
          </w:p>
          <w:p>
            <w:pPr>
              <w:pStyle w:val="72"/>
              <w:spacing w:line="240" w:lineRule="auto"/>
              <w:ind w:firstLine="0" w:firstLineChars="0"/>
              <w:rPr>
                <w:rFonts w:hAnsi="宋体" w:cs="宋体"/>
                <w:bCs/>
                <w:color w:val="000000" w:themeColor="text1"/>
                <w:sz w:val="18"/>
                <w:szCs w:val="18"/>
              </w:rPr>
            </w:pPr>
          </w:p>
        </w:tc>
        <w:tc>
          <w:tcPr>
            <w:tcW w:w="637" w:type="pct"/>
            <w:vAlign w:val="center"/>
          </w:tcPr>
          <w:p>
            <w:pPr>
              <w:widowControl/>
              <w:spacing w:line="240" w:lineRule="auto"/>
              <w:ind w:firstLine="0" w:firstLineChars="0"/>
              <w:jc w:val="center"/>
              <w:rPr>
                <w:rFonts w:ascii="宋体" w:hAnsi="宋体" w:cs="宋体"/>
                <w:bCs/>
                <w:color w:val="000000" w:themeColor="text1"/>
                <w:sz w:val="18"/>
                <w:szCs w:val="18"/>
              </w:rPr>
            </w:pPr>
            <w:r>
              <w:rPr>
                <w:rFonts w:hint="eastAsia" w:ascii="宋体" w:hAnsi="宋体" w:cs="宋体"/>
                <w:kern w:val="0"/>
                <w:sz w:val="18"/>
                <w:szCs w:val="18"/>
              </w:rPr>
              <w:t>不燃,无特殊燃爆特性,造成严重的皮肤灼伤和眼损伤</w:t>
            </w:r>
          </w:p>
        </w:tc>
        <w:tc>
          <w:tcPr>
            <w:tcW w:w="1329" w:type="pct"/>
            <w:vAlign w:val="center"/>
          </w:tcPr>
          <w:p>
            <w:pPr>
              <w:widowControl/>
              <w:spacing w:line="240" w:lineRule="auto"/>
              <w:ind w:firstLine="0" w:firstLineChars="0"/>
              <w:jc w:val="center"/>
              <w:rPr>
                <w:rFonts w:ascii="宋体" w:hAnsi="宋体" w:cs="宋体"/>
                <w:bCs/>
                <w:color w:val="000000" w:themeColor="text1"/>
                <w:sz w:val="18"/>
                <w:szCs w:val="18"/>
              </w:rPr>
            </w:pPr>
            <w:r>
              <w:rPr>
                <w:rFonts w:hint="eastAsia" w:ascii="宋体" w:hAnsi="宋体" w:cs="宋体"/>
                <w:kern w:val="0"/>
                <w:sz w:val="18"/>
                <w:szCs w:val="18"/>
              </w:rPr>
              <w:t>皮肤直接接触,引起发红,局部有烧灼感,重者有溃疡形成。对机体的作用似氢氟酸,但较弱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34"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2</w:t>
            </w:r>
          </w:p>
        </w:tc>
        <w:tc>
          <w:tcPr>
            <w:tcW w:w="193"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color w:val="auto"/>
                <w:kern w:val="0"/>
                <w:sz w:val="18"/>
                <w:szCs w:val="18"/>
              </w:rPr>
              <w:t>氟硅酸镁</w:t>
            </w:r>
          </w:p>
        </w:tc>
        <w:tc>
          <w:tcPr>
            <w:tcW w:w="1132"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急性毒性-经口,类别3</w:t>
            </w:r>
          </w:p>
        </w:tc>
        <w:tc>
          <w:tcPr>
            <w:tcW w:w="286"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2"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0"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483"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LD</w:t>
            </w:r>
            <w:r>
              <w:rPr>
                <w:rFonts w:hint="eastAsia" w:ascii="宋体" w:hAnsi="宋体" w:cs="宋体"/>
                <w:kern w:val="0"/>
                <w:sz w:val="18"/>
                <w:szCs w:val="18"/>
                <w:vertAlign w:val="subscript"/>
              </w:rPr>
              <w:t>50</w:t>
            </w:r>
            <w:r>
              <w:rPr>
                <w:rFonts w:hint="eastAsia" w:ascii="宋体" w:hAnsi="宋体" w:cs="宋体"/>
                <w:kern w:val="0"/>
                <w:sz w:val="18"/>
                <w:szCs w:val="18"/>
              </w:rPr>
              <w:t xml:space="preserve">＞50mg/kg (大鼠经口) </w:t>
            </w:r>
          </w:p>
          <w:p>
            <w:pPr>
              <w:pStyle w:val="72"/>
              <w:spacing w:line="240" w:lineRule="auto"/>
              <w:ind w:firstLine="0" w:firstLineChars="0"/>
              <w:rPr>
                <w:rFonts w:hAnsi="宋体" w:cs="宋体"/>
                <w:bCs/>
                <w:color w:val="000000" w:themeColor="text1"/>
                <w:sz w:val="18"/>
                <w:szCs w:val="18"/>
              </w:rPr>
            </w:pPr>
          </w:p>
        </w:tc>
        <w:tc>
          <w:tcPr>
            <w:tcW w:w="637"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与酸反应，放出有毒的腐蚀性烟气，受高热分解放出有毒气体，吞咽会中毒。</w:t>
            </w:r>
          </w:p>
        </w:tc>
        <w:tc>
          <w:tcPr>
            <w:tcW w:w="1329" w:type="pct"/>
            <w:vAlign w:val="center"/>
          </w:tcPr>
          <w:p>
            <w:pPr>
              <w:pStyle w:val="35"/>
              <w:spacing w:line="240" w:lineRule="auto"/>
              <w:ind w:firstLine="0" w:firstLineChars="0"/>
              <w:jc w:val="center"/>
              <w:rPr>
                <w:rFonts w:ascii="宋体" w:hAnsi="宋体" w:cs="宋体"/>
                <w:bCs/>
                <w:color w:val="000000" w:themeColor="text1"/>
                <w:sz w:val="18"/>
                <w:szCs w:val="18"/>
              </w:rPr>
            </w:pPr>
            <w:r>
              <w:rPr>
                <w:rFonts w:hint="eastAsia" w:ascii="宋体" w:hAnsi="宋体" w:cs="宋体"/>
                <w:bCs/>
                <w:color w:val="000000" w:themeColor="text1"/>
                <w:sz w:val="18"/>
                <w:szCs w:val="18"/>
              </w:rPr>
              <w:t>吸入或误服会中毒，与酸反应，放出刺激性和腐蚀性氟化氢和四氟化硅气体。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34" w:type="pct"/>
            <w:vAlign w:val="center"/>
          </w:tcPr>
          <w:p>
            <w:pPr>
              <w:pStyle w:val="72"/>
              <w:spacing w:line="240" w:lineRule="auto"/>
              <w:ind w:firstLine="0" w:firstLineChars="0"/>
              <w:rPr>
                <w:rFonts w:hint="eastAsia" w:ascii="宋体" w:hAnsi="宋体" w:eastAsia="宋体" w:cs="宋体"/>
                <w:bCs/>
                <w:color w:val="000000" w:themeColor="text1"/>
                <w:kern w:val="2"/>
                <w:sz w:val="18"/>
                <w:szCs w:val="18"/>
                <w:lang w:val="en-US" w:eastAsia="zh-CN" w:bidi="ar-SA"/>
              </w:rPr>
            </w:pPr>
            <w:r>
              <w:rPr>
                <w:rFonts w:hint="eastAsia" w:hAnsi="宋体" w:cs="宋体"/>
                <w:bCs/>
                <w:color w:val="000000" w:themeColor="text1"/>
                <w:sz w:val="18"/>
                <w:szCs w:val="18"/>
                <w:lang w:val="en-US" w:eastAsia="zh-CN"/>
              </w:rPr>
              <w:t>3</w:t>
            </w:r>
          </w:p>
        </w:tc>
        <w:tc>
          <w:tcPr>
            <w:tcW w:w="193" w:type="pct"/>
            <w:vAlign w:val="center"/>
          </w:tcPr>
          <w:p>
            <w:pPr>
              <w:pStyle w:val="72"/>
              <w:spacing w:line="240" w:lineRule="auto"/>
              <w:ind w:firstLine="0" w:firstLineChars="0"/>
              <w:rPr>
                <w:rFonts w:hint="eastAsia" w:ascii="宋体" w:hAnsi="宋体" w:eastAsia="宋体" w:cs="宋体"/>
                <w:bCs/>
                <w:color w:val="000000" w:themeColor="text1"/>
                <w:kern w:val="2"/>
                <w:sz w:val="18"/>
                <w:szCs w:val="18"/>
                <w:lang w:val="en-US" w:eastAsia="zh-CN" w:bidi="ar-SA"/>
              </w:rPr>
            </w:pPr>
            <w:r>
              <w:rPr>
                <w:rFonts w:hint="eastAsia" w:hAnsi="宋体" w:cs="宋体"/>
                <w:color w:val="auto"/>
                <w:kern w:val="0"/>
                <w:sz w:val="18"/>
                <w:szCs w:val="18"/>
              </w:rPr>
              <w:t>四氟化硅</w:t>
            </w:r>
          </w:p>
        </w:tc>
        <w:tc>
          <w:tcPr>
            <w:tcW w:w="1132" w:type="pct"/>
            <w:vAlign w:val="center"/>
          </w:tcPr>
          <w:p>
            <w:pPr>
              <w:pStyle w:val="72"/>
              <w:spacing w:line="240" w:lineRule="auto"/>
              <w:ind w:firstLine="0" w:firstLineChars="0"/>
              <w:rPr>
                <w:rFonts w:hint="eastAsia" w:ascii="宋体" w:hAnsi="宋体" w:eastAsia="宋体" w:cs="宋体"/>
                <w:bCs/>
                <w:color w:val="000000" w:themeColor="text1"/>
                <w:kern w:val="2"/>
                <w:sz w:val="18"/>
                <w:szCs w:val="18"/>
                <w:lang w:val="en-US" w:eastAsia="zh-CN" w:bidi="ar-SA"/>
              </w:rPr>
            </w:pPr>
            <w:r>
              <w:rPr>
                <w:rFonts w:hint="eastAsia" w:hAnsi="宋体" w:cs="宋体"/>
                <w:bCs/>
                <w:color w:val="000000" w:themeColor="text1"/>
                <w:sz w:val="18"/>
                <w:szCs w:val="18"/>
              </w:rPr>
              <w:t>加压气体;急性毒性-吸 入,类别3;皮肤腐蚀/刺激,类别1;严重眼损伤/眼刺激,类别1</w:t>
            </w:r>
          </w:p>
        </w:tc>
        <w:tc>
          <w:tcPr>
            <w:tcW w:w="286"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ascii="宋体" w:hAnsi="宋体" w:eastAsia="宋体" w:cs="宋体"/>
                <w:bCs/>
                <w:color w:val="000000" w:themeColor="text1"/>
                <w:kern w:val="2"/>
                <w:sz w:val="18"/>
                <w:szCs w:val="18"/>
                <w:lang w:val="en-US" w:eastAsia="zh-CN" w:bidi="ar-SA"/>
              </w:rPr>
            </w:pPr>
          </w:p>
        </w:tc>
        <w:tc>
          <w:tcPr>
            <w:tcW w:w="352"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ascii="宋体" w:hAnsi="宋体" w:eastAsia="宋体" w:cs="宋体"/>
                <w:bCs/>
                <w:color w:val="000000" w:themeColor="text1"/>
                <w:kern w:val="2"/>
                <w:sz w:val="18"/>
                <w:szCs w:val="18"/>
                <w:lang w:val="en-US" w:eastAsia="zh-CN" w:bidi="ar-SA"/>
              </w:rPr>
            </w:pPr>
          </w:p>
        </w:tc>
        <w:tc>
          <w:tcPr>
            <w:tcW w:w="350"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ascii="宋体" w:hAnsi="宋体" w:eastAsia="宋体" w:cs="宋体"/>
                <w:bCs/>
                <w:color w:val="000000" w:themeColor="text1"/>
                <w:kern w:val="2"/>
                <w:sz w:val="18"/>
                <w:szCs w:val="18"/>
                <w:lang w:val="en-US" w:eastAsia="zh-CN" w:bidi="ar-SA"/>
              </w:rPr>
            </w:pPr>
          </w:p>
        </w:tc>
        <w:tc>
          <w:tcPr>
            <w:tcW w:w="483" w:type="pct"/>
            <w:vAlign w:val="center"/>
          </w:tcPr>
          <w:p>
            <w:pPr>
              <w:pStyle w:val="72"/>
              <w:spacing w:line="240" w:lineRule="auto"/>
              <w:ind w:firstLine="0" w:firstLineChars="0"/>
              <w:rPr>
                <w:rFonts w:ascii="宋体" w:hAnsi="宋体" w:eastAsia="宋体" w:cs="宋体"/>
                <w:bCs/>
                <w:color w:val="000000" w:themeColor="text1"/>
                <w:kern w:val="2"/>
                <w:sz w:val="18"/>
                <w:szCs w:val="18"/>
                <w:lang w:val="en-US" w:eastAsia="zh-CN" w:bidi="ar-SA"/>
              </w:rPr>
            </w:pPr>
            <w:r>
              <w:rPr>
                <w:rFonts w:hint="eastAsia" w:hAnsi="宋体" w:cs="E-BZ"/>
                <w:kern w:val="0"/>
                <w:sz w:val="18"/>
                <w:szCs w:val="18"/>
              </w:rPr>
              <w:t>LC</w:t>
            </w:r>
            <w:r>
              <w:rPr>
                <w:rFonts w:hint="eastAsia" w:hAnsi="宋体" w:cs="E-BZ"/>
                <w:kern w:val="0"/>
                <w:sz w:val="18"/>
                <w:szCs w:val="18"/>
                <w:vertAlign w:val="subscript"/>
              </w:rPr>
              <w:t>50</w:t>
            </w:r>
            <w:r>
              <w:rPr>
                <w:rFonts w:hint="eastAsia" w:hAnsi="宋体" w:cs="E-BZ"/>
                <w:kern w:val="0"/>
                <w:sz w:val="18"/>
                <w:szCs w:val="18"/>
              </w:rPr>
              <w:t>:2272PPM (大鼠吸入)</w:t>
            </w:r>
          </w:p>
        </w:tc>
        <w:tc>
          <w:tcPr>
            <w:tcW w:w="637"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内装加压气体:遇热可能爆炸,吸入会中</w:t>
            </w:r>
          </w:p>
          <w:p>
            <w:pPr>
              <w:pStyle w:val="72"/>
              <w:spacing w:line="240" w:lineRule="auto"/>
              <w:ind w:firstLine="0" w:firstLineChars="0"/>
              <w:rPr>
                <w:rFonts w:hint="eastAsia" w:ascii="宋体" w:hAnsi="宋体" w:eastAsia="宋体" w:cs="宋体"/>
                <w:bCs/>
                <w:color w:val="000000" w:themeColor="text1"/>
                <w:kern w:val="2"/>
                <w:sz w:val="18"/>
                <w:szCs w:val="18"/>
                <w:lang w:val="en-US" w:eastAsia="zh-CN" w:bidi="ar-SA"/>
              </w:rPr>
            </w:pPr>
            <w:r>
              <w:rPr>
                <w:rFonts w:hint="eastAsia" w:hAnsi="宋体" w:cs="宋体"/>
                <w:bCs/>
                <w:color w:val="000000" w:themeColor="text1"/>
                <w:sz w:val="18"/>
                <w:szCs w:val="18"/>
              </w:rPr>
              <w:t>毒,造成严重的皮肤灼伤和眼损伤</w:t>
            </w:r>
          </w:p>
        </w:tc>
        <w:tc>
          <w:tcPr>
            <w:tcW w:w="1329" w:type="pct"/>
            <w:vAlign w:val="center"/>
          </w:tcPr>
          <w:p>
            <w:pPr>
              <w:pStyle w:val="72"/>
              <w:spacing w:line="240" w:lineRule="auto"/>
              <w:ind w:firstLine="0" w:firstLineChars="0"/>
              <w:jc w:val="left"/>
              <w:rPr>
                <w:rFonts w:hint="eastAsia" w:ascii="宋体" w:hAnsi="宋体" w:eastAsia="宋体" w:cs="宋体"/>
                <w:bCs/>
                <w:color w:val="000000" w:themeColor="text1"/>
                <w:kern w:val="2"/>
                <w:sz w:val="18"/>
                <w:szCs w:val="18"/>
                <w:lang w:val="en-US" w:eastAsia="zh-CN" w:bidi="ar-SA"/>
              </w:rPr>
            </w:pPr>
            <w:r>
              <w:rPr>
                <w:rFonts w:hint="eastAsia" w:hAnsi="宋体" w:cs="宋体"/>
                <w:bCs/>
                <w:color w:val="000000" w:themeColor="text1"/>
                <w:sz w:val="18"/>
                <w:szCs w:val="18"/>
              </w:rPr>
              <w:t>吸入对呼吸道有刺激性,引起咽喉疼痛、咳嗽、灼烧感、呼 吸 困 难、气 促。眼 和 皮 肤 接 触 引 起灼伤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34" w:type="pct"/>
            <w:vAlign w:val="center"/>
          </w:tcPr>
          <w:p>
            <w:pPr>
              <w:pStyle w:val="72"/>
              <w:spacing w:line="240" w:lineRule="auto"/>
              <w:ind w:firstLine="0" w:firstLineChars="0"/>
              <w:rPr>
                <w:rFonts w:hint="eastAsia" w:hAnsi="宋体" w:eastAsia="宋体" w:cs="宋体"/>
                <w:bCs/>
                <w:color w:val="000000" w:themeColor="text1"/>
                <w:sz w:val="18"/>
                <w:szCs w:val="18"/>
                <w:lang w:eastAsia="zh-CN"/>
              </w:rPr>
            </w:pPr>
            <w:r>
              <w:rPr>
                <w:rFonts w:hint="eastAsia" w:hAnsi="宋体" w:cs="宋体"/>
                <w:bCs/>
                <w:color w:val="000000" w:themeColor="text1"/>
                <w:sz w:val="18"/>
                <w:szCs w:val="18"/>
                <w:lang w:val="en-US" w:eastAsia="zh-CN"/>
              </w:rPr>
              <w:t>4</w:t>
            </w:r>
          </w:p>
        </w:tc>
        <w:tc>
          <w:tcPr>
            <w:tcW w:w="193"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color w:val="auto"/>
                <w:kern w:val="0"/>
                <w:sz w:val="18"/>
                <w:szCs w:val="18"/>
              </w:rPr>
              <w:t>氟化氢</w:t>
            </w:r>
          </w:p>
        </w:tc>
        <w:tc>
          <w:tcPr>
            <w:tcW w:w="1132"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急性毒性-经口,类别2;急性毒性-经皮,类别1;急性毒性-吸入,类别 2;皮肤腐蚀/刺激,类别1A;严重眼损伤/眼刺激,类别1;危害水生环境-急性危害,类别3</w:t>
            </w:r>
          </w:p>
        </w:tc>
        <w:tc>
          <w:tcPr>
            <w:tcW w:w="286"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2"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350" w:type="pct"/>
            <w:vAlign w:val="center"/>
          </w:tcPr>
          <w:p>
            <w:pPr>
              <w:widowControl/>
              <w:spacing w:line="240" w:lineRule="auto"/>
              <w:ind w:firstLine="0" w:firstLineChars="0"/>
              <w:jc w:val="center"/>
              <w:rPr>
                <w:rFonts w:ascii="宋体" w:hAnsi="宋体" w:cs="宋体"/>
                <w:sz w:val="18"/>
                <w:szCs w:val="18"/>
              </w:rPr>
            </w:pPr>
            <w:r>
              <w:rPr>
                <w:rFonts w:hint="eastAsia" w:ascii="宋体" w:hAnsi="宋体" w:cs="宋体"/>
                <w:kern w:val="0"/>
                <w:sz w:val="18"/>
                <w:szCs w:val="18"/>
              </w:rPr>
              <w:t>无意义</w:t>
            </w:r>
          </w:p>
          <w:p>
            <w:pPr>
              <w:pStyle w:val="72"/>
              <w:spacing w:line="240" w:lineRule="auto"/>
              <w:ind w:firstLine="0" w:firstLineChars="0"/>
              <w:rPr>
                <w:rFonts w:hAnsi="宋体" w:cs="宋体"/>
                <w:bCs/>
                <w:color w:val="000000" w:themeColor="text1"/>
                <w:sz w:val="18"/>
                <w:szCs w:val="18"/>
              </w:rPr>
            </w:pPr>
          </w:p>
        </w:tc>
        <w:tc>
          <w:tcPr>
            <w:tcW w:w="483" w:type="pct"/>
            <w:vAlign w:val="center"/>
          </w:tcPr>
          <w:p>
            <w:pPr>
              <w:pStyle w:val="72"/>
              <w:spacing w:line="240" w:lineRule="auto"/>
              <w:ind w:firstLine="0" w:firstLineChars="0"/>
              <w:rPr>
                <w:rFonts w:hAnsi="宋体" w:cs="宋体"/>
                <w:bCs/>
                <w:color w:val="000000" w:themeColor="text1"/>
                <w:sz w:val="18"/>
                <w:szCs w:val="18"/>
              </w:rPr>
            </w:pPr>
            <w:r>
              <w:rPr>
                <w:rFonts w:hint="eastAsia" w:hAnsi="宋体" w:cs="宋体"/>
                <w:bCs/>
                <w:color w:val="000000" w:themeColor="text1"/>
                <w:sz w:val="18"/>
                <w:szCs w:val="18"/>
              </w:rPr>
              <w:t>LC</w:t>
            </w:r>
            <w:r>
              <w:rPr>
                <w:rFonts w:hint="eastAsia" w:hAnsi="宋体" w:cs="宋体"/>
                <w:bCs/>
                <w:color w:val="000000" w:themeColor="text1"/>
                <w:sz w:val="18"/>
                <w:szCs w:val="18"/>
                <w:vertAlign w:val="subscript"/>
              </w:rPr>
              <w:t>50</w:t>
            </w:r>
            <w:r>
              <w:rPr>
                <w:rFonts w:hint="eastAsia" w:hAnsi="宋体" w:cs="宋体"/>
                <w:bCs/>
                <w:color w:val="000000" w:themeColor="text1"/>
                <w:sz w:val="18"/>
                <w:szCs w:val="18"/>
              </w:rPr>
              <w:t>:1276ppm (1h)(大鼠吸入);342ppm(1h)(小鼠吸入)</w:t>
            </w:r>
          </w:p>
        </w:tc>
        <w:tc>
          <w:tcPr>
            <w:tcW w:w="637" w:type="pct"/>
            <w:vAlign w:val="center"/>
          </w:tcPr>
          <w:p>
            <w:pPr>
              <w:spacing w:line="240" w:lineRule="auto"/>
              <w:ind w:firstLine="0" w:firstLineChars="0"/>
              <w:jc w:val="center"/>
              <w:rPr>
                <w:rFonts w:ascii="宋体" w:hAnsi="宋体" w:cs="宋体"/>
                <w:bCs/>
                <w:color w:val="000000" w:themeColor="text1"/>
                <w:sz w:val="18"/>
                <w:szCs w:val="18"/>
              </w:rPr>
            </w:pPr>
            <w:r>
              <w:rPr>
                <w:rFonts w:hint="eastAsia" w:ascii="宋体" w:hAnsi="宋体" w:cs="宋体"/>
                <w:bCs/>
                <w:color w:val="000000" w:themeColor="text1"/>
                <w:sz w:val="18"/>
                <w:szCs w:val="18"/>
              </w:rPr>
              <w:t>吞咽致命,皮肤接触会致命,吸入致命,</w:t>
            </w:r>
          </w:p>
          <w:p>
            <w:pPr>
              <w:spacing w:line="240" w:lineRule="auto"/>
              <w:ind w:firstLine="0" w:firstLineChars="0"/>
              <w:jc w:val="center"/>
              <w:rPr>
                <w:rFonts w:ascii="宋体" w:hAnsi="宋体" w:cs="宋体"/>
                <w:bCs/>
                <w:color w:val="000000" w:themeColor="text1"/>
                <w:sz w:val="18"/>
                <w:szCs w:val="18"/>
              </w:rPr>
            </w:pPr>
            <w:r>
              <w:rPr>
                <w:rFonts w:hint="eastAsia" w:ascii="宋体" w:hAnsi="宋体" w:cs="宋体"/>
                <w:bCs/>
                <w:color w:val="000000" w:themeColor="text1"/>
                <w:sz w:val="18"/>
                <w:szCs w:val="18"/>
              </w:rPr>
              <w:t>造成严重的皮肤灼伤和眼损伤</w:t>
            </w:r>
          </w:p>
        </w:tc>
        <w:tc>
          <w:tcPr>
            <w:tcW w:w="1329"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Ansi="宋体" w:cs="宋体"/>
                <w:bCs/>
                <w:color w:val="000000" w:themeColor="text1"/>
                <w:sz w:val="18"/>
                <w:szCs w:val="18"/>
              </w:rPr>
            </w:pPr>
            <w:r>
              <w:rPr>
                <w:rFonts w:hint="eastAsia" w:hAnsi="宋体" w:cs="宋体"/>
                <w:bCs/>
                <w:color w:val="000000" w:themeColor="text1"/>
                <w:sz w:val="18"/>
                <w:szCs w:val="18"/>
              </w:rPr>
              <w:t>对呼吸道黏膜及皮肤有强烈的刺激和腐蚀作用</w:t>
            </w:r>
          </w:p>
          <w:p>
            <w:pPr>
              <w:pStyle w:val="7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Ansi="宋体" w:cs="宋体"/>
                <w:bCs/>
                <w:color w:val="000000" w:themeColor="text1"/>
                <w:sz w:val="18"/>
                <w:szCs w:val="18"/>
              </w:rPr>
            </w:pPr>
            <w:r>
              <w:rPr>
                <w:rFonts w:hint="eastAsia" w:hAnsi="宋体" w:cs="宋体"/>
                <w:bCs/>
                <w:color w:val="000000" w:themeColor="text1"/>
                <w:sz w:val="18"/>
                <w:szCs w:val="18"/>
              </w:rPr>
              <w:t>急性中毒 吸入较高浓度氟化氢,可引起眼及呼吸道黏膜刺激症状,严重者可发生支气管炎、肺炎或肺水肿,甚至发生反射性窒息。眼接触局部剧烈疼痛,重者角膜损伤,甚至发生穿孔。氟化氢极易溶入水,其溶液即为氢氟酸。氢氟酸皮肤灼伤初期皮肤潮红、干燥,创面苍白、坏死,继而呈紫黑色或灰黑色。深部灼伤或处理不当时,可形成难以愈合的深溃疡,损及骨膜和骨质。本品灼伤疼痛剧烈慢性影响 眼和上呼吸道刺激症状,或有鼻衄,嗅觉减退。可有牙齿酸蚀症。骨骼 X 射线异常与工业性氟病相比少见</w:t>
            </w:r>
          </w:p>
        </w:tc>
      </w:tr>
    </w:tbl>
    <w:p>
      <w:pPr>
        <w:pStyle w:val="2"/>
        <w:ind w:firstLine="560"/>
      </w:pPr>
      <w:bookmarkStart w:id="939" w:name="_Toc11611"/>
      <w:bookmarkStart w:id="940" w:name="_Toc13469"/>
      <w:bookmarkStart w:id="941" w:name="_Toc19219"/>
      <w:bookmarkStart w:id="942" w:name="_Toc7668"/>
      <w:bookmarkStart w:id="943" w:name="_Toc10103"/>
      <w:bookmarkStart w:id="944" w:name="_Toc26738"/>
    </w:p>
    <w:p>
      <w:pPr>
        <w:pStyle w:val="5"/>
        <w:keepNext w:val="0"/>
        <w:keepLines w:val="0"/>
        <w:ind w:firstLine="562"/>
      </w:pPr>
      <w:bookmarkStart w:id="945" w:name="_Toc13735"/>
      <w:bookmarkStart w:id="946" w:name="_Toc6391"/>
      <w:bookmarkStart w:id="947" w:name="_Toc19540"/>
      <w:bookmarkStart w:id="948" w:name="_Toc12917"/>
      <w:r>
        <w:rPr>
          <w:rFonts w:hint="eastAsia"/>
        </w:rPr>
        <w:t>3.1.3 危险和有害因素分布情况</w:t>
      </w:r>
      <w:bookmarkEnd w:id="939"/>
      <w:bookmarkEnd w:id="940"/>
      <w:bookmarkEnd w:id="941"/>
      <w:bookmarkEnd w:id="942"/>
      <w:bookmarkEnd w:id="943"/>
      <w:bookmarkEnd w:id="944"/>
      <w:bookmarkEnd w:id="945"/>
      <w:bookmarkEnd w:id="946"/>
      <w:bookmarkEnd w:id="947"/>
      <w:bookmarkEnd w:id="948"/>
    </w:p>
    <w:p>
      <w:pPr>
        <w:ind w:firstLine="560"/>
      </w:pPr>
      <w:r>
        <w:rPr>
          <w:rFonts w:hint="eastAsia"/>
        </w:rPr>
        <w:t>由本报告附件2.4.4“主要危险、有害物质的存在部位”的结果可知：该项目生产过程中涉及到的主要危险、有害物质的存在部位结果见下表：</w:t>
      </w:r>
    </w:p>
    <w:p>
      <w:pPr>
        <w:ind w:firstLine="0" w:firstLineChars="0"/>
        <w:jc w:val="center"/>
        <w:rPr>
          <w:b/>
          <w:bCs/>
          <w:sz w:val="24"/>
        </w:rPr>
      </w:pPr>
      <w:r>
        <w:rPr>
          <w:rFonts w:hint="eastAsia"/>
          <w:b/>
          <w:bCs/>
          <w:sz w:val="24"/>
        </w:rPr>
        <w:t>表3.1-2 主要危险、有害物质存在位置</w:t>
      </w:r>
    </w:p>
    <w:tbl>
      <w:tblPr>
        <w:tblStyle w:val="36"/>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0"/>
        <w:gridCol w:w="1020"/>
        <w:gridCol w:w="3402"/>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trPr>
        <w:tc>
          <w:tcPr>
            <w:tcW w:w="510" w:type="dxa"/>
            <w:vAlign w:val="center"/>
          </w:tcPr>
          <w:p>
            <w:pPr>
              <w:spacing w:line="240" w:lineRule="auto"/>
              <w:ind w:firstLine="0" w:firstLineChars="0"/>
              <w:jc w:val="center"/>
              <w:rPr>
                <w:rFonts w:ascii="宋体" w:hAnsi="宋体"/>
                <w:b/>
                <w:bCs/>
                <w:color w:val="auto"/>
                <w:kern w:val="0"/>
                <w:sz w:val="21"/>
                <w:szCs w:val="21"/>
              </w:rPr>
            </w:pPr>
            <w:bookmarkStart w:id="949" w:name="_Toc1713"/>
            <w:bookmarkStart w:id="950" w:name="_Toc5005"/>
            <w:bookmarkStart w:id="951" w:name="_Toc22370"/>
            <w:bookmarkStart w:id="952" w:name="_Toc12287"/>
            <w:bookmarkStart w:id="953" w:name="_Toc118297934"/>
            <w:bookmarkStart w:id="954" w:name="_Toc18434"/>
            <w:bookmarkStart w:id="955" w:name="_Toc7778"/>
            <w:bookmarkStart w:id="956" w:name="_Toc12234"/>
            <w:r>
              <w:rPr>
                <w:rFonts w:hint="eastAsia" w:ascii="宋体" w:hAnsi="宋体"/>
                <w:b/>
                <w:bCs/>
                <w:color w:val="auto"/>
                <w:kern w:val="0"/>
                <w:sz w:val="21"/>
                <w:szCs w:val="21"/>
              </w:rPr>
              <w:t>序号</w:t>
            </w:r>
          </w:p>
        </w:tc>
        <w:tc>
          <w:tcPr>
            <w:tcW w:w="1020" w:type="dxa"/>
            <w:vAlign w:val="center"/>
          </w:tcPr>
          <w:p>
            <w:pPr>
              <w:spacing w:line="240" w:lineRule="auto"/>
              <w:ind w:firstLine="0" w:firstLineChars="0"/>
              <w:jc w:val="center"/>
              <w:rPr>
                <w:rFonts w:hint="eastAsia" w:ascii="宋体" w:hAnsi="宋体" w:eastAsia="宋体"/>
                <w:b/>
                <w:bCs/>
                <w:color w:val="auto"/>
                <w:kern w:val="0"/>
                <w:sz w:val="21"/>
                <w:szCs w:val="21"/>
                <w:lang w:eastAsia="zh-CN"/>
              </w:rPr>
            </w:pPr>
            <w:r>
              <w:rPr>
                <w:rFonts w:hint="eastAsia" w:ascii="宋体" w:hAnsi="宋体"/>
                <w:b/>
                <w:bCs/>
                <w:color w:val="auto"/>
                <w:kern w:val="0"/>
                <w:sz w:val="21"/>
                <w:szCs w:val="21"/>
                <w:lang w:eastAsia="zh-CN"/>
              </w:rPr>
              <w:t>危险和有害因素</w:t>
            </w:r>
          </w:p>
        </w:tc>
        <w:tc>
          <w:tcPr>
            <w:tcW w:w="3402" w:type="dxa"/>
            <w:vAlign w:val="center"/>
          </w:tcPr>
          <w:p>
            <w:pPr>
              <w:spacing w:line="240" w:lineRule="auto"/>
              <w:ind w:firstLine="0" w:firstLineChars="0"/>
              <w:jc w:val="center"/>
              <w:rPr>
                <w:rFonts w:ascii="宋体" w:hAnsi="宋体"/>
                <w:b/>
                <w:bCs/>
                <w:color w:val="auto"/>
                <w:kern w:val="0"/>
                <w:sz w:val="21"/>
                <w:szCs w:val="21"/>
              </w:rPr>
            </w:pPr>
            <w:r>
              <w:rPr>
                <w:rFonts w:hint="eastAsia" w:ascii="宋体" w:hAnsi="宋体"/>
                <w:b/>
                <w:bCs/>
                <w:color w:val="auto"/>
                <w:kern w:val="0"/>
                <w:sz w:val="21"/>
                <w:szCs w:val="21"/>
              </w:rPr>
              <w:t>存在的部位与作业场所</w:t>
            </w:r>
          </w:p>
        </w:tc>
        <w:tc>
          <w:tcPr>
            <w:tcW w:w="4139" w:type="dxa"/>
            <w:vAlign w:val="center"/>
          </w:tcPr>
          <w:p>
            <w:pPr>
              <w:spacing w:line="240" w:lineRule="auto"/>
              <w:ind w:firstLine="0" w:firstLineChars="0"/>
              <w:jc w:val="center"/>
              <w:rPr>
                <w:rFonts w:ascii="宋体" w:hAnsi="宋体"/>
                <w:b/>
                <w:bCs/>
                <w:color w:val="auto"/>
                <w:kern w:val="0"/>
                <w:sz w:val="21"/>
                <w:szCs w:val="21"/>
              </w:rPr>
            </w:pPr>
            <w:r>
              <w:rPr>
                <w:rFonts w:hint="eastAsia" w:ascii="宋体" w:hAnsi="宋体"/>
                <w:b/>
                <w:bCs/>
                <w:color w:val="auto"/>
                <w:kern w:val="0"/>
                <w:sz w:val="21"/>
                <w:szCs w:val="21"/>
              </w:rPr>
              <w:t>产</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生</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原</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"_Toc484008310" </w:instrText>
            </w:r>
            <w:r>
              <w:fldChar w:fldCharType="separate"/>
            </w:r>
            <w:r>
              <w:rPr>
                <w:rFonts w:hint="eastAsia" w:ascii="宋体" w:hAnsi="宋体"/>
                <w:color w:val="auto"/>
                <w:kern w:val="0"/>
                <w:sz w:val="21"/>
                <w:szCs w:val="21"/>
              </w:rPr>
              <w:t>中毒窒息</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氟硅酸镁、氟硅酸生产过程</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进入设备内和各种池内检修清理时，未有效置换，未佩戴个人防护用品，未采取有效的安全措施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2</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"_Toc484008311" </w:instrText>
            </w:r>
            <w:r>
              <w:fldChar w:fldCharType="separate"/>
            </w:r>
            <w:r>
              <w:rPr>
                <w:rFonts w:hint="eastAsia" w:ascii="宋体" w:hAnsi="宋体"/>
                <w:color w:val="auto"/>
                <w:kern w:val="0"/>
                <w:sz w:val="21"/>
                <w:szCs w:val="21"/>
              </w:rPr>
              <w:t>机械伤害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泵、搅拌器、压缩机等的转动部件或传动轴</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运转设备的转动部件或传动轴未设防护罩或防护罩失效；未停机、断电进行检修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3</w:t>
            </w:r>
          </w:p>
        </w:tc>
        <w:tc>
          <w:tcPr>
            <w:tcW w:w="102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触电</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配电箱、电动机等电气设备及线路</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电气设备或线路绝缘破坏；电气设备未接地或接地失效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4</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"_Toc484008317" </w:instrText>
            </w:r>
            <w:r>
              <w:fldChar w:fldCharType="separate"/>
            </w:r>
            <w:r>
              <w:rPr>
                <w:rFonts w:hint="eastAsia" w:ascii="宋体" w:hAnsi="宋体"/>
                <w:color w:val="auto"/>
                <w:kern w:val="0"/>
                <w:sz w:val="21"/>
                <w:szCs w:val="21"/>
              </w:rPr>
              <w:t>火灾</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配电室、电气及线路</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电气线路短路着火；违章违规操作；</w:t>
            </w:r>
            <w:r>
              <w:rPr>
                <w:rFonts w:ascii="宋体" w:hAnsi="宋体"/>
                <w:color w:val="auto"/>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8"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5</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"_Toc484008308" </w:instrText>
            </w:r>
            <w:r>
              <w:fldChar w:fldCharType="separate"/>
            </w:r>
            <w:r>
              <w:rPr>
                <w:rFonts w:hint="eastAsia" w:ascii="宋体" w:hAnsi="宋体"/>
                <w:color w:val="auto"/>
                <w:kern w:val="0"/>
                <w:sz w:val="21"/>
                <w:szCs w:val="21"/>
              </w:rPr>
              <w:t>灼烫</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氟硅酸镁、氟硅酸生产过程</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氟硅酸泄漏；违章操作、未穿戴防护用品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6</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"_Toc484008309" </w:instrText>
            </w:r>
            <w:r>
              <w:fldChar w:fldCharType="separate"/>
            </w:r>
            <w:r>
              <w:rPr>
                <w:rFonts w:hint="eastAsia" w:ascii="宋体" w:hAnsi="宋体"/>
                <w:color w:val="auto"/>
                <w:kern w:val="0"/>
                <w:sz w:val="21"/>
                <w:szCs w:val="21"/>
              </w:rPr>
              <w:t>粉尘危害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氧化镁卸车、搬运或加料</w:t>
            </w:r>
            <w:r>
              <w:rPr>
                <w:rFonts w:ascii="宋体" w:hAnsi="宋体"/>
                <w:color w:val="auto"/>
                <w:kern w:val="0"/>
                <w:sz w:val="21"/>
                <w:szCs w:val="21"/>
              </w:rPr>
              <w:t xml:space="preserve"> </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未穿戴防护用品；违章违规操作；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7</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"_Toc484008307" </w:instrText>
            </w:r>
            <w:r>
              <w:fldChar w:fldCharType="separate"/>
            </w:r>
            <w:r>
              <w:rPr>
                <w:rFonts w:hint="eastAsia" w:ascii="宋体" w:hAnsi="宋体"/>
                <w:color w:val="auto"/>
                <w:kern w:val="0"/>
                <w:sz w:val="21"/>
                <w:szCs w:val="21"/>
              </w:rPr>
              <w:t>噪声</w:t>
            </w:r>
            <w:r>
              <w:rPr>
                <w:rFonts w:hint="eastAsia" w:ascii="宋体" w:hAnsi="宋体"/>
                <w:color w:val="auto"/>
                <w:kern w:val="0"/>
                <w:sz w:val="21"/>
                <w:szCs w:val="21"/>
              </w:rPr>
              <w:fldChar w:fldCharType="end"/>
            </w:r>
            <w:r>
              <w:rPr>
                <w:rFonts w:ascii="宋体" w:hAnsi="宋体"/>
                <w:color w:val="auto"/>
                <w:kern w:val="0"/>
                <w:sz w:val="21"/>
                <w:szCs w:val="21"/>
              </w:rPr>
              <w:t>危害</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压滤机、泵、运输车辆等</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未及时进行设备检修、维护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8</w:t>
            </w:r>
          </w:p>
        </w:tc>
        <w:tc>
          <w:tcPr>
            <w:tcW w:w="102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淹溺</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厂区氟硅酸池、母液池、清液池、事故池可能出现淹溺事故</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池子周围未设置防护栏杆，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9</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"_Toc484008316" </w:instrText>
            </w:r>
            <w:r>
              <w:fldChar w:fldCharType="separate"/>
            </w:r>
            <w:r>
              <w:rPr>
                <w:rFonts w:hint="eastAsia" w:ascii="宋体" w:hAnsi="宋体"/>
                <w:color w:val="auto"/>
                <w:kern w:val="0"/>
                <w:sz w:val="21"/>
                <w:szCs w:val="21"/>
              </w:rPr>
              <w:t>有限空间作业伤害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进入氟硅酸池、母液池、清液池、蒸发器、高位槽等设备设施内部进行清理、检修等作业</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使用电气焊，清理作业前置换不完全或未进行置换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10</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"_Toc484008319" </w:instrText>
            </w:r>
            <w:r>
              <w:fldChar w:fldCharType="separate"/>
            </w:r>
            <w:r>
              <w:rPr>
                <w:rFonts w:hint="eastAsia" w:ascii="宋体" w:hAnsi="宋体"/>
                <w:color w:val="auto"/>
                <w:kern w:val="0"/>
                <w:sz w:val="21"/>
                <w:szCs w:val="21"/>
              </w:rPr>
              <w:t>车辆伤害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原料、成品运输</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违章驾驶、违章作业；运输设备安全装置失效；作业场所不符合安全要求，场地狭窄、照明缺陷；无证驾驶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1</w:t>
            </w:r>
            <w:r>
              <w:rPr>
                <w:rFonts w:hint="eastAsia" w:ascii="宋体" w:hAnsi="宋体"/>
                <w:color w:val="auto"/>
                <w:kern w:val="0"/>
                <w:sz w:val="21"/>
                <w:szCs w:val="21"/>
              </w:rPr>
              <w:t>1</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"_Toc484008312" </w:instrText>
            </w:r>
            <w:r>
              <w:fldChar w:fldCharType="separate"/>
            </w:r>
            <w:r>
              <w:rPr>
                <w:rFonts w:hint="eastAsia" w:ascii="宋体" w:hAnsi="宋体"/>
                <w:color w:val="auto"/>
                <w:kern w:val="0"/>
                <w:sz w:val="21"/>
                <w:szCs w:val="21"/>
              </w:rPr>
              <w:t>高处坠落</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在高于</w:t>
            </w:r>
            <w:r>
              <w:rPr>
                <w:rFonts w:ascii="宋体" w:hAnsi="宋体"/>
                <w:color w:val="auto"/>
                <w:kern w:val="0"/>
                <w:sz w:val="21"/>
                <w:szCs w:val="21"/>
              </w:rPr>
              <w:t>2m</w:t>
            </w:r>
            <w:r>
              <w:rPr>
                <w:rFonts w:hint="eastAsia" w:ascii="宋体" w:hAnsi="宋体"/>
                <w:color w:val="auto"/>
                <w:kern w:val="0"/>
                <w:sz w:val="21"/>
                <w:szCs w:val="21"/>
              </w:rPr>
              <w:t>以上的各种设备、管道建筑物上作业的岗位</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未设防护栏或防护栏失效；</w:t>
            </w:r>
          </w:p>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未采取防护措施就进行登高作业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12</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"_Toc484008314" </w:instrText>
            </w:r>
            <w:r>
              <w:fldChar w:fldCharType="separate"/>
            </w:r>
            <w:r>
              <w:rPr>
                <w:rFonts w:hint="eastAsia" w:ascii="宋体" w:hAnsi="宋体"/>
                <w:color w:val="auto"/>
                <w:kern w:val="0"/>
                <w:sz w:val="21"/>
                <w:szCs w:val="21"/>
              </w:rPr>
              <w:t>物体打击</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安装、检修作业场所</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作业人员检修</w:t>
            </w:r>
            <w:r>
              <w:rPr>
                <w:rFonts w:hint="eastAsia" w:ascii="宋体" w:hAnsi="宋体"/>
                <w:color w:val="auto"/>
                <w:kern w:val="0"/>
                <w:sz w:val="21"/>
                <w:szCs w:val="21"/>
                <w:lang w:val="en-US" w:eastAsia="zh-CN"/>
              </w:rPr>
              <w:t>时</w:t>
            </w:r>
            <w:r>
              <w:rPr>
                <w:rFonts w:hint="eastAsia" w:ascii="宋体" w:hAnsi="宋体"/>
                <w:color w:val="auto"/>
                <w:kern w:val="0"/>
                <w:sz w:val="21"/>
                <w:szCs w:val="21"/>
              </w:rPr>
              <w:t>工具或其他物品从高处掉落；进入危险区未穿戴劳动防护用品；违章作业</w:t>
            </w:r>
          </w:p>
        </w:tc>
      </w:tr>
    </w:tbl>
    <w:p>
      <w:pPr>
        <w:pStyle w:val="2"/>
        <w:ind w:firstLine="560"/>
      </w:pPr>
    </w:p>
    <w:p>
      <w:pPr>
        <w:pStyle w:val="4"/>
        <w:ind w:firstLine="562"/>
      </w:pPr>
      <w:bookmarkStart w:id="957" w:name="_Toc12367"/>
      <w:bookmarkStart w:id="958" w:name="_Toc13481"/>
      <w:bookmarkStart w:id="959" w:name="_Toc1863"/>
      <w:bookmarkStart w:id="960" w:name="_Toc12915"/>
      <w:bookmarkStart w:id="961" w:name="_Toc3726"/>
      <w:bookmarkStart w:id="962" w:name="_Toc7003"/>
      <w:bookmarkStart w:id="963" w:name="_Toc22825"/>
      <w:bookmarkStart w:id="964" w:name="_Toc12671"/>
      <w:bookmarkStart w:id="965" w:name="_Toc4261"/>
      <w:bookmarkStart w:id="966" w:name="_Toc30585"/>
      <w:bookmarkStart w:id="967" w:name="_Toc20276"/>
      <w:bookmarkStart w:id="968" w:name="_Toc4209"/>
      <w:bookmarkStart w:id="969" w:name="_Toc26813"/>
      <w:r>
        <w:rPr>
          <w:rFonts w:hint="eastAsia"/>
        </w:rPr>
        <w:t>3.2 主要</w:t>
      </w:r>
      <w:r>
        <w:rPr>
          <w:rFonts w:hint="eastAsia"/>
          <w:lang w:eastAsia="zh-CN"/>
        </w:rPr>
        <w:t>危险和有害因素</w:t>
      </w:r>
      <w:r>
        <w:rPr>
          <w:rFonts w:hint="eastAsia"/>
        </w:rPr>
        <w:t>辨识分析结果</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pPr>
        <w:ind w:firstLine="560"/>
        <w:rPr>
          <w:color w:val="000000" w:themeColor="text1"/>
        </w:rPr>
      </w:pPr>
      <w:r>
        <w:t>由本报告附件2.5“主要</w:t>
      </w:r>
      <w:r>
        <w:rPr>
          <w:rFonts w:hint="eastAsia"/>
          <w:lang w:eastAsia="zh-CN"/>
        </w:rPr>
        <w:t>危险和有害因素</w:t>
      </w:r>
      <w:r>
        <w:t>分析”的结果可知：</w:t>
      </w:r>
      <w:r>
        <w:rPr>
          <w:rFonts w:hint="eastAsia"/>
          <w:color w:val="000000" w:themeColor="text1"/>
        </w:rPr>
        <w:t>氟化分公司生产过程可能发生</w:t>
      </w:r>
      <w:r>
        <w:rPr>
          <w:rFonts w:hint="eastAsia" w:ascii="宋体" w:hAnsi="宋体"/>
          <w:color w:val="auto"/>
          <w:szCs w:val="28"/>
        </w:rPr>
        <w:t>中毒窒息、机械伤害、触电、火灾、</w:t>
      </w:r>
      <w:r>
        <w:rPr>
          <w:rFonts w:hint="eastAsia" w:ascii="宋体" w:hAnsi="宋体"/>
          <w:color w:val="auto"/>
          <w:szCs w:val="28"/>
          <w:lang w:val="en-US" w:eastAsia="zh-CN"/>
        </w:rPr>
        <w:t>酸性腐蚀品、</w:t>
      </w:r>
      <w:r>
        <w:rPr>
          <w:rFonts w:hint="eastAsia" w:ascii="宋体" w:hAnsi="宋体"/>
          <w:color w:val="auto"/>
          <w:szCs w:val="28"/>
        </w:rPr>
        <w:t>粉尘、灼</w:t>
      </w:r>
      <w:r>
        <w:rPr>
          <w:rFonts w:hint="eastAsia" w:ascii="宋体" w:hAnsi="宋体"/>
          <w:color w:val="auto"/>
          <w:szCs w:val="28"/>
          <w:lang w:val="en-US" w:eastAsia="zh-CN"/>
        </w:rPr>
        <w:t>烫</w:t>
      </w:r>
      <w:r>
        <w:rPr>
          <w:rFonts w:hint="eastAsia" w:ascii="宋体" w:hAnsi="宋体"/>
          <w:color w:val="auto"/>
          <w:szCs w:val="28"/>
        </w:rPr>
        <w:t>、噪声、淹溺</w:t>
      </w:r>
      <w:r>
        <w:rPr>
          <w:rFonts w:hint="eastAsia"/>
          <w:color w:val="auto"/>
        </w:rPr>
        <w:t>等</w:t>
      </w:r>
      <w:r>
        <w:rPr>
          <w:rFonts w:hint="eastAsia"/>
          <w:color w:val="auto"/>
          <w:lang w:eastAsia="zh-CN"/>
        </w:rPr>
        <w:t>危险和有害因素</w:t>
      </w:r>
      <w:r>
        <w:rPr>
          <w:rFonts w:hint="eastAsia"/>
          <w:color w:val="000000" w:themeColor="text1"/>
          <w:szCs w:val="28"/>
        </w:rPr>
        <w:t>。</w:t>
      </w:r>
    </w:p>
    <w:p>
      <w:pPr>
        <w:pStyle w:val="4"/>
        <w:ind w:firstLine="562"/>
      </w:pPr>
      <w:bookmarkStart w:id="970" w:name="_Toc25535"/>
      <w:bookmarkStart w:id="971" w:name="_Toc18890"/>
      <w:bookmarkStart w:id="972" w:name="_Toc18018"/>
      <w:bookmarkStart w:id="973" w:name="_Toc23655"/>
      <w:bookmarkStart w:id="974" w:name="_Toc22248"/>
      <w:bookmarkStart w:id="975" w:name="_Toc577"/>
      <w:bookmarkStart w:id="976" w:name="_Toc32763"/>
      <w:bookmarkStart w:id="977" w:name="_Toc13021"/>
      <w:bookmarkStart w:id="978" w:name="_Toc12762"/>
      <w:bookmarkStart w:id="979" w:name="_Toc24466"/>
      <w:bookmarkStart w:id="980" w:name="_Toc26142"/>
      <w:bookmarkStart w:id="981" w:name="_Toc118297935"/>
      <w:bookmarkStart w:id="982" w:name="_Toc3915"/>
      <w:bookmarkStart w:id="983" w:name="_Toc10847"/>
      <w:bookmarkStart w:id="984" w:name="_Toc25345"/>
      <w:bookmarkStart w:id="985" w:name="_Toc24931"/>
      <w:bookmarkStart w:id="986" w:name="_Toc23830"/>
      <w:bookmarkStart w:id="987" w:name="_Toc2939"/>
      <w:bookmarkStart w:id="988" w:name="_Toc13964"/>
      <w:bookmarkStart w:id="989" w:name="_Toc673"/>
      <w:bookmarkStart w:id="990" w:name="_Toc5940"/>
      <w:r>
        <w:rPr>
          <w:rFonts w:hint="eastAsia"/>
        </w:rPr>
        <w:t>3.3 危险化学品重大危险源辨识结果</w:t>
      </w:r>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p>
    <w:p>
      <w:pPr>
        <w:ind w:firstLine="560"/>
      </w:pPr>
      <w:r>
        <w:rPr>
          <w:rFonts w:hint="eastAsia"/>
        </w:rPr>
        <w:t>根据报告附件2.7“危险化学品重大危险源辨识”的结果可知：氟化分公司涉及的危险化学品不构成危险化学品重大危险源。</w:t>
      </w:r>
    </w:p>
    <w:p>
      <w:pPr>
        <w:pStyle w:val="4"/>
        <w:ind w:firstLine="562"/>
      </w:pPr>
      <w:bookmarkStart w:id="991" w:name="_Toc24313"/>
      <w:bookmarkStart w:id="992" w:name="_Toc28758"/>
      <w:bookmarkStart w:id="993" w:name="_Toc26412"/>
      <w:bookmarkStart w:id="994" w:name="_Toc28435"/>
      <w:bookmarkStart w:id="995" w:name="_Toc18143"/>
      <w:bookmarkStart w:id="996" w:name="_Toc26470"/>
      <w:bookmarkStart w:id="997" w:name="_Toc13471"/>
      <w:bookmarkStart w:id="998" w:name="_Toc6165"/>
      <w:bookmarkStart w:id="999" w:name="_Toc9378"/>
      <w:bookmarkStart w:id="1000" w:name="_Toc767"/>
      <w:bookmarkStart w:id="1001" w:name="_Toc22703"/>
      <w:bookmarkStart w:id="1002" w:name="_Toc26937"/>
      <w:bookmarkStart w:id="1003" w:name="_Toc29179"/>
      <w:bookmarkStart w:id="1004" w:name="_Toc26802"/>
      <w:bookmarkStart w:id="1005" w:name="_Toc13366"/>
      <w:bookmarkStart w:id="1006" w:name="_Toc118297936"/>
      <w:bookmarkStart w:id="1007" w:name="_Toc7780"/>
      <w:bookmarkStart w:id="1008" w:name="_Toc1627"/>
      <w:bookmarkStart w:id="1009" w:name="_Toc23345"/>
      <w:bookmarkStart w:id="1010" w:name="_Toc15324"/>
      <w:bookmarkStart w:id="1011" w:name="_Toc2770"/>
      <w:r>
        <w:rPr>
          <w:rFonts w:hint="eastAsia"/>
        </w:rPr>
        <w:t>3.4 剧毒品、易制毒化学品、易制爆化学品辨识结果</w:t>
      </w:r>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pPr>
        <w:ind w:firstLine="560"/>
        <w:rPr>
          <w:rFonts w:ascii="宋体" w:hAnsi="宋体"/>
          <w:color w:val="000000" w:themeColor="text1"/>
          <w:szCs w:val="28"/>
        </w:rPr>
      </w:pPr>
      <w:r>
        <w:rPr>
          <w:rFonts w:hint="eastAsia"/>
        </w:rPr>
        <w:t>根据报告附件2.8“剧毒品、易制毒化学品、易制爆化学品辨识”的结果可知：该项目生产过程中涉及的危险化学品均不属于剧毒品、易制毒化学品、</w:t>
      </w:r>
      <w:r>
        <w:rPr>
          <w:rFonts w:hint="eastAsia"/>
          <w:color w:val="000000" w:themeColor="text1"/>
        </w:rPr>
        <w:t>易制爆</w:t>
      </w:r>
      <w:r>
        <w:rPr>
          <w:color w:val="000000" w:themeColor="text1"/>
        </w:rPr>
        <w:t>危险化学</w:t>
      </w:r>
      <w:r>
        <w:rPr>
          <w:rFonts w:hint="eastAsia"/>
          <w:color w:val="000000" w:themeColor="text1"/>
        </w:rPr>
        <w:t>品</w:t>
      </w:r>
      <w:r>
        <w:rPr>
          <w:rFonts w:hint="eastAsia"/>
        </w:rPr>
        <w:t>。</w:t>
      </w:r>
    </w:p>
    <w:p>
      <w:pPr>
        <w:pStyle w:val="4"/>
        <w:ind w:firstLine="562"/>
      </w:pPr>
      <w:bookmarkStart w:id="1012" w:name="_Toc3609"/>
      <w:bookmarkStart w:id="1013" w:name="_Toc1017"/>
      <w:bookmarkStart w:id="1014" w:name="_Toc9693"/>
      <w:bookmarkStart w:id="1015" w:name="_Toc29785"/>
      <w:bookmarkStart w:id="1016" w:name="_Toc118297937"/>
      <w:bookmarkStart w:id="1017" w:name="_Toc21549"/>
      <w:bookmarkStart w:id="1018" w:name="_Toc17543"/>
      <w:bookmarkStart w:id="1019" w:name="_Toc4215"/>
      <w:bookmarkStart w:id="1020" w:name="_Toc27407"/>
      <w:bookmarkStart w:id="1021" w:name="_Toc13753"/>
      <w:bookmarkStart w:id="1022" w:name="_Toc8148"/>
      <w:bookmarkStart w:id="1023" w:name="_Toc9476"/>
      <w:bookmarkStart w:id="1024" w:name="_Toc28331"/>
      <w:bookmarkStart w:id="1025" w:name="_Toc16960"/>
      <w:bookmarkStart w:id="1026" w:name="_Toc20737"/>
      <w:bookmarkStart w:id="1027" w:name="_Toc32486"/>
      <w:bookmarkStart w:id="1028" w:name="_Toc23565"/>
      <w:bookmarkStart w:id="1029" w:name="_Toc2097"/>
      <w:bookmarkStart w:id="1030" w:name="_Toc4790"/>
      <w:bookmarkStart w:id="1031" w:name="_Toc13927"/>
      <w:bookmarkStart w:id="1032" w:name="_Toc8623"/>
      <w:r>
        <w:rPr>
          <w:rFonts w:hint="eastAsia"/>
        </w:rPr>
        <w:t>3.5 重点监管的危险化学品辨识结果</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pPr>
        <w:pStyle w:val="58"/>
        <w:topLinePunct/>
        <w:ind w:firstLine="560"/>
      </w:pPr>
      <w:r>
        <w:t>根据报告附件2.</w:t>
      </w:r>
      <w:r>
        <w:rPr>
          <w:rFonts w:hint="eastAsia"/>
        </w:rPr>
        <w:t>9</w:t>
      </w:r>
      <w:r>
        <w:t>“重点监管的危险化学品辨识”的结果可知：</w:t>
      </w:r>
      <w:r>
        <w:rPr>
          <w:rFonts w:hint="eastAsia"/>
        </w:rPr>
        <w:t>氟化分公司</w:t>
      </w:r>
      <w:r>
        <w:t>生产过程中涉及的</w:t>
      </w:r>
      <w:r>
        <w:rPr>
          <w:rFonts w:hint="eastAsia" w:ascii="宋体" w:hAnsi="宋体"/>
          <w:color w:val="auto"/>
          <w:szCs w:val="28"/>
        </w:rPr>
        <w:t>氟化氢为首批重点监管的危险化学品，但氟化氢为生产过程中产生的废气，量小，企业设有废气处理装置。</w:t>
      </w:r>
      <w:r>
        <w:rPr>
          <w:rFonts w:hint="eastAsia"/>
        </w:rPr>
        <w:t>氟化分公司</w:t>
      </w:r>
      <w:r>
        <w:t>不涉及第二批重点监管的危险化学品</w:t>
      </w:r>
      <w:r>
        <w:rPr>
          <w:rFonts w:hint="eastAsia"/>
        </w:rPr>
        <w:t>。</w:t>
      </w:r>
    </w:p>
    <w:p>
      <w:pPr>
        <w:pStyle w:val="4"/>
        <w:ind w:firstLine="562"/>
      </w:pPr>
      <w:bookmarkStart w:id="1033" w:name="_Toc12190"/>
      <w:bookmarkStart w:id="1034" w:name="_Toc11064"/>
      <w:bookmarkStart w:id="1035" w:name="_Toc30009"/>
      <w:bookmarkStart w:id="1036" w:name="_Toc27149"/>
      <w:bookmarkStart w:id="1037" w:name="_Toc30997"/>
      <w:bookmarkStart w:id="1038" w:name="_Toc6869"/>
      <w:bookmarkStart w:id="1039" w:name="_Toc21854"/>
      <w:bookmarkStart w:id="1040" w:name="_Toc118297938"/>
      <w:bookmarkStart w:id="1041" w:name="_Toc13997"/>
      <w:bookmarkStart w:id="1042" w:name="_Toc672"/>
      <w:bookmarkStart w:id="1043" w:name="_Toc901"/>
      <w:bookmarkStart w:id="1044" w:name="_Toc22062"/>
      <w:bookmarkStart w:id="1045" w:name="_Toc13506"/>
      <w:bookmarkStart w:id="1046" w:name="_Toc7714"/>
      <w:bookmarkStart w:id="1047" w:name="_Toc6719"/>
      <w:bookmarkStart w:id="1048" w:name="_Toc3627"/>
      <w:bookmarkStart w:id="1049" w:name="_Toc85"/>
      <w:bookmarkStart w:id="1050" w:name="_Toc8916"/>
      <w:bookmarkStart w:id="1051" w:name="_Toc24372"/>
      <w:bookmarkStart w:id="1052" w:name="_Toc30151"/>
      <w:bookmarkStart w:id="1053" w:name="_Toc13049"/>
      <w:r>
        <w:rPr>
          <w:rFonts w:hint="eastAsia"/>
        </w:rPr>
        <w:t>3.6 重点监管的危险化工工艺辨识结果</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p>
    <w:p>
      <w:pPr>
        <w:ind w:firstLine="560"/>
      </w:pPr>
      <w:r>
        <w:t>根据报告附件“2.</w:t>
      </w:r>
      <w:r>
        <w:rPr>
          <w:rFonts w:hint="eastAsia"/>
        </w:rPr>
        <w:t>10</w:t>
      </w:r>
      <w:r>
        <w:t>重点监管的危险化工工艺辨识”的结果可知：</w:t>
      </w:r>
      <w:r>
        <w:rPr>
          <w:rFonts w:hint="eastAsia"/>
        </w:rPr>
        <w:t>氟化分公司</w:t>
      </w:r>
      <w:r>
        <w:t>生产工艺</w:t>
      </w:r>
      <w:r>
        <w:rPr>
          <w:rFonts w:hint="eastAsia"/>
        </w:rPr>
        <w:t>不</w:t>
      </w:r>
      <w:r>
        <w:t>属于重点监管的危险化工工艺</w:t>
      </w:r>
      <w:r>
        <w:rPr>
          <w:rFonts w:hint="eastAsia"/>
        </w:rPr>
        <w:t>。</w:t>
      </w:r>
    </w:p>
    <w:p>
      <w:pPr>
        <w:pStyle w:val="4"/>
        <w:ind w:firstLine="562"/>
      </w:pPr>
      <w:bookmarkStart w:id="1054" w:name="_Toc17280"/>
      <w:bookmarkStart w:id="1055" w:name="_Toc28653"/>
      <w:bookmarkStart w:id="1056" w:name="_Toc9353"/>
      <w:bookmarkStart w:id="1057" w:name="_Toc28204"/>
      <w:bookmarkStart w:id="1058" w:name="_Toc11595"/>
      <w:bookmarkStart w:id="1059" w:name="_Toc13491"/>
      <w:bookmarkStart w:id="1060" w:name="_Toc25709"/>
      <w:bookmarkStart w:id="1061" w:name="_Toc6861"/>
      <w:bookmarkStart w:id="1062" w:name="_Toc8737"/>
      <w:bookmarkStart w:id="1063" w:name="_Toc24534"/>
      <w:bookmarkStart w:id="1064" w:name="_Toc11314"/>
      <w:bookmarkStart w:id="1065" w:name="_Toc13589"/>
      <w:bookmarkStart w:id="1066" w:name="_Toc8702"/>
      <w:bookmarkStart w:id="1067" w:name="_Toc17843"/>
      <w:bookmarkStart w:id="1068" w:name="_Toc32765"/>
      <w:bookmarkStart w:id="1069" w:name="_Toc31080"/>
      <w:bookmarkStart w:id="1070" w:name="_Toc128056440"/>
      <w:bookmarkStart w:id="1071" w:name="_Toc15075"/>
      <w:bookmarkStart w:id="1072" w:name="_Toc10696"/>
      <w:bookmarkStart w:id="1073" w:name="_Toc12057"/>
      <w:bookmarkStart w:id="1074" w:name="_Toc23674"/>
      <w:bookmarkStart w:id="1075" w:name="_Toc16834"/>
      <w:bookmarkStart w:id="1076" w:name="_Toc915"/>
      <w:bookmarkStart w:id="1077" w:name="_Toc7256"/>
      <w:r>
        <w:rPr>
          <w:rFonts w:hint="eastAsia"/>
          <w:color w:val="000000" w:themeColor="text1"/>
        </w:rPr>
        <w:t xml:space="preserve">3.7 </w:t>
      </w:r>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r>
        <w:rPr>
          <w:rFonts w:hint="eastAsia"/>
          <w:color w:val="000000" w:themeColor="text1"/>
        </w:rPr>
        <w:t>高毒物品</w:t>
      </w:r>
      <w:r>
        <w:rPr>
          <w:rFonts w:hint="eastAsia"/>
        </w:rPr>
        <w:t>辨识结果</w:t>
      </w:r>
      <w:bookmarkEnd w:id="1074"/>
      <w:bookmarkEnd w:id="1075"/>
      <w:bookmarkEnd w:id="1076"/>
      <w:bookmarkEnd w:id="1077"/>
    </w:p>
    <w:p>
      <w:pPr>
        <w:pStyle w:val="58"/>
        <w:topLinePunct/>
        <w:ind w:firstLine="560"/>
        <w:rPr>
          <w:rFonts w:ascii="宋体" w:hAnsi="宋体"/>
          <w:color w:val="auto"/>
          <w:szCs w:val="28"/>
        </w:rPr>
      </w:pPr>
      <w:r>
        <w:rPr>
          <w:rFonts w:hint="eastAsia" w:ascii="宋体" w:hAnsi="宋体"/>
          <w:color w:val="auto"/>
          <w:szCs w:val="28"/>
        </w:rPr>
        <w:t>根据《高毒物品目录》（2003年版）有关规定，氟化分公司生产经营过程涉及的危险化学品中，</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四氟化硅均为</w:t>
      </w:r>
      <w:r>
        <w:rPr>
          <w:rFonts w:hint="eastAsia" w:ascii="宋体" w:hAnsi="宋体"/>
          <w:color w:val="auto"/>
          <w:szCs w:val="28"/>
        </w:rPr>
        <w:t>高毒物品。</w:t>
      </w:r>
    </w:p>
    <w:p>
      <w:pPr>
        <w:pStyle w:val="58"/>
        <w:topLinePunct/>
        <w:ind w:firstLine="562"/>
        <w:outlineLvl w:val="1"/>
        <w:rPr>
          <w:rFonts w:ascii="宋体" w:hAnsi="宋体"/>
          <w:b/>
          <w:bCs/>
          <w:color w:val="auto"/>
          <w:szCs w:val="28"/>
        </w:rPr>
      </w:pPr>
      <w:bookmarkStart w:id="1078" w:name="_Toc19338"/>
      <w:bookmarkStart w:id="1079" w:name="_Toc3858"/>
      <w:bookmarkStart w:id="1080" w:name="_Toc31097"/>
      <w:bookmarkStart w:id="1081" w:name="_Toc24692"/>
      <w:r>
        <w:rPr>
          <w:rFonts w:hint="eastAsia" w:ascii="宋体" w:hAnsi="宋体"/>
          <w:b/>
          <w:bCs/>
          <w:color w:val="auto"/>
          <w:szCs w:val="28"/>
        </w:rPr>
        <w:t>3.8特别管控危险化学品</w:t>
      </w:r>
      <w:r>
        <w:rPr>
          <w:rFonts w:hint="eastAsia"/>
          <w:b/>
          <w:bCs/>
        </w:rPr>
        <w:t>辨识结果</w:t>
      </w:r>
      <w:bookmarkEnd w:id="1078"/>
      <w:bookmarkEnd w:id="1079"/>
      <w:bookmarkEnd w:id="1080"/>
      <w:bookmarkEnd w:id="1081"/>
    </w:p>
    <w:p>
      <w:pPr>
        <w:pStyle w:val="58"/>
        <w:topLinePunct/>
        <w:ind w:firstLine="560"/>
        <w:rPr>
          <w:rFonts w:ascii="宋体" w:hAnsi="宋体"/>
          <w:color w:val="auto"/>
          <w:szCs w:val="28"/>
        </w:rPr>
      </w:pPr>
      <w:r>
        <w:rPr>
          <w:rFonts w:hint="eastAsia" w:ascii="宋体" w:hAnsi="宋体"/>
          <w:color w:val="auto"/>
          <w:szCs w:val="28"/>
        </w:rPr>
        <w:t>根据《特别管控危险化学品目录》</w:t>
      </w:r>
      <w:r>
        <w:rPr>
          <w:rFonts w:ascii="宋体" w:hAnsi="宋体"/>
          <w:color w:val="auto"/>
          <w:szCs w:val="28"/>
        </w:rPr>
        <w:t>（2020年第1号）</w:t>
      </w:r>
      <w:r>
        <w:rPr>
          <w:rFonts w:hint="eastAsia" w:ascii="宋体" w:hAnsi="宋体"/>
          <w:color w:val="auto"/>
          <w:szCs w:val="28"/>
        </w:rPr>
        <w:t>有关规定，氟化分公司生产经营过程涉及的危险化学品中不涉及特别管控的危险化学品。</w:t>
      </w:r>
    </w:p>
    <w:p>
      <w:pPr>
        <w:pStyle w:val="58"/>
        <w:topLinePunct/>
        <w:ind w:firstLine="560"/>
        <w:rPr>
          <w:rFonts w:ascii="宋体" w:hAnsi="宋体"/>
          <w:color w:val="auto"/>
          <w:szCs w:val="28"/>
        </w:rPr>
      </w:pPr>
    </w:p>
    <w:p>
      <w:pPr>
        <w:pStyle w:val="3"/>
        <w:rPr>
          <w:rFonts w:ascii="宋体" w:hAnsi="宋体" w:eastAsia="宋体" w:cs="宋体"/>
          <w:b/>
          <w:bCs w:val="0"/>
          <w:color w:val="000000" w:themeColor="text1"/>
          <w:sz w:val="32"/>
          <w:szCs w:val="32"/>
        </w:rPr>
      </w:pPr>
      <w:bookmarkStart w:id="1082" w:name="_Toc62740947"/>
      <w:bookmarkStart w:id="1083" w:name="_Toc503269885"/>
      <w:bookmarkStart w:id="1084" w:name="_Toc16470"/>
      <w:bookmarkStart w:id="1085" w:name="_Toc128056442"/>
      <w:bookmarkStart w:id="1086" w:name="_Toc18902"/>
      <w:bookmarkStart w:id="1087" w:name="_Toc25850"/>
      <w:bookmarkStart w:id="1088" w:name="_Toc28260"/>
      <w:bookmarkStart w:id="1089" w:name="_Toc29157"/>
      <w:bookmarkStart w:id="1090" w:name="_Toc21448"/>
      <w:bookmarkStart w:id="1091" w:name="_Toc14429"/>
      <w:bookmarkStart w:id="1092" w:name="_Toc32131"/>
      <w:bookmarkStart w:id="1093" w:name="_Toc22723"/>
      <w:bookmarkStart w:id="1094" w:name="_Toc28053"/>
      <w:bookmarkStart w:id="1095" w:name="_Toc2879"/>
      <w:bookmarkStart w:id="1096" w:name="_Toc14456"/>
      <w:bookmarkStart w:id="1097" w:name="_Toc29051"/>
      <w:bookmarkStart w:id="1098" w:name="_Toc6998"/>
      <w:bookmarkStart w:id="1099" w:name="_Toc16092"/>
      <w:bookmarkStart w:id="1100" w:name="_Toc7542"/>
      <w:bookmarkStart w:id="1101" w:name="_Toc21580"/>
      <w:bookmarkStart w:id="1102" w:name="_Toc32217"/>
      <w:bookmarkStart w:id="1103" w:name="_Toc27548"/>
      <w:bookmarkStart w:id="1104" w:name="_Toc21667"/>
      <w:bookmarkStart w:id="1105" w:name="_Toc24223"/>
      <w:bookmarkStart w:id="1106" w:name="_Toc25003"/>
      <w:bookmarkStart w:id="1107" w:name="_Toc19726"/>
      <w:r>
        <w:rPr>
          <w:rFonts w:hint="eastAsia" w:ascii="宋体" w:hAnsi="宋体" w:eastAsia="宋体" w:cs="宋体"/>
          <w:b/>
          <w:bCs w:val="0"/>
          <w:color w:val="000000" w:themeColor="text1"/>
          <w:sz w:val="32"/>
          <w:szCs w:val="32"/>
        </w:rPr>
        <w:t>4  安全评价单元的划分和评价方法</w:t>
      </w:r>
      <w:bookmarkEnd w:id="1082"/>
      <w:bookmarkEnd w:id="1083"/>
      <w:r>
        <w:rPr>
          <w:rFonts w:hint="eastAsia" w:ascii="宋体" w:hAnsi="宋体" w:eastAsia="宋体" w:cs="宋体"/>
          <w:b/>
          <w:bCs w:val="0"/>
          <w:color w:val="000000" w:themeColor="text1"/>
          <w:sz w:val="32"/>
          <w:szCs w:val="32"/>
        </w:rPr>
        <w:t>选择</w:t>
      </w:r>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p>
    <w:p>
      <w:pPr>
        <w:pStyle w:val="2"/>
        <w:ind w:firstLine="560"/>
        <w:rPr>
          <w:b/>
          <w:bCs w:val="0"/>
          <w:sz w:val="24"/>
          <w:szCs w:val="24"/>
        </w:rPr>
      </w:pPr>
      <w:bookmarkStart w:id="1108" w:name="_Toc23250"/>
      <w:bookmarkStart w:id="1109" w:name="_Toc11859"/>
      <w:bookmarkStart w:id="1110" w:name="_Toc11450"/>
      <w:bookmarkStart w:id="1111" w:name="_Toc9582"/>
      <w:bookmarkStart w:id="1112" w:name="_Toc125057630"/>
      <w:bookmarkStart w:id="1113" w:name="_Toc11527"/>
      <w:bookmarkStart w:id="1114" w:name="_Toc156661663"/>
      <w:bookmarkStart w:id="1115" w:name="_Toc10095"/>
      <w:bookmarkStart w:id="1116" w:name="_Toc195156252"/>
      <w:bookmarkStart w:id="1117" w:name="_Toc19314"/>
      <w:bookmarkStart w:id="1118" w:name="_Toc151881416"/>
      <w:bookmarkStart w:id="1119" w:name="_Toc187699914"/>
      <w:bookmarkStart w:id="1120" w:name="_Toc17511"/>
      <w:bookmarkStart w:id="1121" w:name="_Toc32621"/>
      <w:bookmarkStart w:id="1122" w:name="_Toc32462"/>
      <w:bookmarkStart w:id="1123" w:name="_Toc8024"/>
      <w:bookmarkStart w:id="1124" w:name="_Toc128056443"/>
      <w:bookmarkStart w:id="1125" w:name="_Toc15597"/>
      <w:bookmarkStart w:id="1126" w:name="_Toc188863909"/>
      <w:bookmarkStart w:id="1127" w:name="_Toc26982"/>
    </w:p>
    <w:p>
      <w:pPr>
        <w:pStyle w:val="4"/>
        <w:ind w:firstLine="562"/>
        <w:rPr>
          <w:color w:val="000000" w:themeColor="text1"/>
        </w:rPr>
      </w:pPr>
      <w:bookmarkStart w:id="1128" w:name="_Toc5923"/>
      <w:bookmarkStart w:id="1129" w:name="_Toc7600"/>
      <w:bookmarkStart w:id="1130" w:name="_Toc23588"/>
      <w:bookmarkStart w:id="1131" w:name="_Toc15617"/>
      <w:bookmarkStart w:id="1132" w:name="_Toc7611"/>
      <w:bookmarkStart w:id="1133" w:name="_Toc5543"/>
      <w:bookmarkStart w:id="1134" w:name="_Toc11072"/>
      <w:bookmarkStart w:id="1135" w:name="_Toc6813"/>
      <w:bookmarkStart w:id="1136" w:name="_Toc16390"/>
      <w:bookmarkStart w:id="1137" w:name="_Toc18227"/>
      <w:bookmarkStart w:id="1138" w:name="_Toc28521"/>
      <w:bookmarkStart w:id="1139" w:name="_Toc15402"/>
      <w:bookmarkStart w:id="1140" w:name="_Toc1985"/>
      <w:r>
        <w:rPr>
          <w:rFonts w:hint="eastAsia"/>
          <w:color w:val="000000" w:themeColor="text1"/>
        </w:rPr>
        <w:t>4.1 安全评价单元划分</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p>
    <w:p>
      <w:pPr>
        <w:pStyle w:val="5"/>
        <w:ind w:firstLine="562"/>
      </w:pPr>
      <w:bookmarkStart w:id="1141" w:name="_Toc15070"/>
      <w:bookmarkStart w:id="1142" w:name="_Toc125057631"/>
      <w:bookmarkStart w:id="1143" w:name="_Toc27216"/>
      <w:bookmarkStart w:id="1144" w:name="_Toc188863910"/>
      <w:bookmarkStart w:id="1145" w:name="_Toc22381"/>
      <w:bookmarkStart w:id="1146" w:name="_Toc15154"/>
      <w:bookmarkStart w:id="1147" w:name="_Toc15560"/>
      <w:bookmarkStart w:id="1148" w:name="_Toc29192"/>
      <w:bookmarkStart w:id="1149" w:name="_Toc27081"/>
      <w:bookmarkStart w:id="1150" w:name="_Toc28956"/>
      <w:bookmarkStart w:id="1151" w:name="_Toc24805"/>
      <w:bookmarkStart w:id="1152" w:name="_Toc32608"/>
      <w:bookmarkStart w:id="1153" w:name="_Toc21647"/>
      <w:bookmarkStart w:id="1154" w:name="_Toc128056444"/>
      <w:bookmarkStart w:id="1155" w:name="_Toc187699915"/>
      <w:bookmarkStart w:id="1156" w:name="_Toc8278"/>
      <w:bookmarkStart w:id="1157" w:name="_Toc26484"/>
      <w:bookmarkStart w:id="1158" w:name="_Toc31967"/>
      <w:bookmarkStart w:id="1159" w:name="_Toc6080"/>
      <w:bookmarkStart w:id="1160" w:name="_Toc27092"/>
      <w:r>
        <w:rPr>
          <w:rFonts w:hint="eastAsia"/>
        </w:rPr>
        <w:t>4.1.1 评价单元划分原则</w:t>
      </w:r>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p>
    <w:p>
      <w:pPr>
        <w:ind w:firstLine="560"/>
        <w:rPr>
          <w:color w:val="000000" w:themeColor="text1"/>
        </w:rPr>
      </w:pPr>
      <w:bookmarkStart w:id="1161" w:name="_Toc151353654"/>
      <w:bookmarkStart w:id="1162" w:name="_Toc208398744"/>
      <w:bookmarkStart w:id="1163" w:name="_Toc191728191"/>
      <w:bookmarkStart w:id="1164" w:name="_Toc191729751"/>
      <w:bookmarkStart w:id="1165" w:name="_Toc191730035"/>
      <w:bookmarkStart w:id="1166" w:name="_Toc26421"/>
      <w:bookmarkStart w:id="1167" w:name="_Toc194389949"/>
      <w:r>
        <w:rPr>
          <w:rFonts w:hint="eastAsia"/>
          <w:color w:val="000000" w:themeColor="text1"/>
        </w:rPr>
        <w:t>评价单元划分是在对危险有害因素辨</w:t>
      </w:r>
      <w:r>
        <w:rPr>
          <w:rFonts w:hint="eastAsia"/>
          <w:color w:val="000000" w:themeColor="text1"/>
          <w:lang w:val="en-US" w:eastAsia="zh-CN"/>
        </w:rPr>
        <w:t>识</w:t>
      </w:r>
      <w:r>
        <w:rPr>
          <w:rFonts w:hint="eastAsia"/>
          <w:color w:val="000000" w:themeColor="text1"/>
        </w:rPr>
        <w:t>的基础上，根据评价</w:t>
      </w:r>
      <w:r>
        <w:rPr>
          <w:rFonts w:hint="eastAsia"/>
          <w:color w:val="000000" w:themeColor="text1"/>
          <w:lang w:val="en-US" w:eastAsia="zh-CN"/>
        </w:rPr>
        <w:t>项</w:t>
      </w:r>
      <w:r>
        <w:rPr>
          <w:rFonts w:hint="eastAsia"/>
          <w:color w:val="000000" w:themeColor="text1"/>
        </w:rPr>
        <w:t>目和评价方法的需要，将系统分成若干需要评价的单元，以提高评价的客观性和准确性。</w:t>
      </w:r>
    </w:p>
    <w:p>
      <w:pPr>
        <w:ind w:firstLine="560"/>
        <w:rPr>
          <w:color w:val="000000" w:themeColor="text1"/>
        </w:rPr>
      </w:pPr>
      <w:r>
        <w:rPr>
          <w:rFonts w:hint="eastAsia"/>
          <w:color w:val="000000" w:themeColor="text1"/>
        </w:rPr>
        <w:t>评价单元的划分，一般将生产工艺、工艺装置、物料的特性及危险有害因素类别、分布状况综合考虑后，进行划分。</w:t>
      </w:r>
    </w:p>
    <w:p>
      <w:pPr>
        <w:pStyle w:val="5"/>
        <w:ind w:firstLine="562"/>
      </w:pPr>
      <w:bookmarkStart w:id="1168" w:name="_Toc10240"/>
      <w:bookmarkStart w:id="1169" w:name="_Toc29853"/>
      <w:bookmarkStart w:id="1170" w:name="_Toc23390"/>
      <w:bookmarkStart w:id="1171" w:name="_Toc3243"/>
      <w:bookmarkStart w:id="1172" w:name="_Toc10018"/>
      <w:bookmarkStart w:id="1173" w:name="_Toc7406"/>
      <w:bookmarkStart w:id="1174" w:name="_Toc128056445"/>
      <w:bookmarkStart w:id="1175" w:name="_Toc32441"/>
      <w:bookmarkStart w:id="1176" w:name="_Toc14557"/>
      <w:bookmarkStart w:id="1177" w:name="_Toc125057632"/>
      <w:bookmarkStart w:id="1178" w:name="_Toc10303"/>
      <w:bookmarkStart w:id="1179" w:name="_Toc9867"/>
      <w:bookmarkStart w:id="1180" w:name="_Toc9497"/>
      <w:bookmarkStart w:id="1181" w:name="_Toc8061"/>
      <w:bookmarkStart w:id="1182" w:name="_Toc280"/>
      <w:r>
        <w:rPr>
          <w:rFonts w:hint="eastAsia"/>
        </w:rPr>
        <w:t>4.1.2 评价单元划分方法</w:t>
      </w:r>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p>
    <w:p>
      <w:pPr>
        <w:ind w:firstLine="560"/>
        <w:rPr>
          <w:color w:val="000000" w:themeColor="text1"/>
        </w:rPr>
      </w:pPr>
      <w:r>
        <w:rPr>
          <w:rFonts w:hint="eastAsia"/>
          <w:color w:val="000000" w:themeColor="text1"/>
        </w:rPr>
        <w:t>常用的评价单元划分方法有：</w:t>
      </w:r>
    </w:p>
    <w:p>
      <w:pPr>
        <w:ind w:firstLine="560"/>
        <w:rPr>
          <w:color w:val="000000" w:themeColor="text1"/>
        </w:rPr>
      </w:pPr>
      <w:r>
        <w:rPr>
          <w:rFonts w:hint="eastAsia"/>
          <w:color w:val="000000" w:themeColor="text1"/>
        </w:rPr>
        <w:t>以危险有害因素的类别为主划分评价单元。</w:t>
      </w:r>
    </w:p>
    <w:p>
      <w:pPr>
        <w:ind w:firstLine="560"/>
        <w:rPr>
          <w:color w:val="000000" w:themeColor="text1"/>
        </w:rPr>
      </w:pPr>
      <w:r>
        <w:rPr>
          <w:rFonts w:hint="eastAsia"/>
          <w:color w:val="000000" w:themeColor="text1"/>
        </w:rPr>
        <w:t>1）对工艺方案、总体布置及自然条件、环境对系统影响等综合方面的危险有害因素的分析和评价，可将整个系统作为一个评价单元；</w:t>
      </w:r>
    </w:p>
    <w:p>
      <w:pPr>
        <w:ind w:firstLine="560"/>
        <w:rPr>
          <w:color w:val="000000" w:themeColor="text1"/>
        </w:rPr>
      </w:pPr>
      <w:r>
        <w:rPr>
          <w:rFonts w:hint="eastAsia"/>
          <w:color w:val="000000" w:themeColor="text1"/>
        </w:rPr>
        <w:t>2）将具有共性危险因素、有害因素的场所和装置划为一个单元。</w:t>
      </w:r>
    </w:p>
    <w:p>
      <w:pPr>
        <w:ind w:firstLine="560"/>
        <w:rPr>
          <w:color w:val="000000" w:themeColor="text1"/>
        </w:rPr>
      </w:pPr>
      <w:r>
        <w:rPr>
          <w:rFonts w:hint="eastAsia"/>
          <w:color w:val="000000" w:themeColor="text1"/>
        </w:rPr>
        <w:t>以装置和物质特征划分评价单元。</w:t>
      </w:r>
    </w:p>
    <w:p>
      <w:pPr>
        <w:ind w:firstLine="560"/>
        <w:rPr>
          <w:color w:val="000000" w:themeColor="text1"/>
        </w:rPr>
      </w:pPr>
      <w:r>
        <w:rPr>
          <w:rFonts w:hint="eastAsia"/>
          <w:color w:val="000000" w:themeColor="text1"/>
        </w:rPr>
        <w:t>1）按装置工艺功能划分；</w:t>
      </w:r>
    </w:p>
    <w:p>
      <w:pPr>
        <w:ind w:firstLine="560"/>
        <w:rPr>
          <w:color w:val="000000" w:themeColor="text1"/>
        </w:rPr>
      </w:pPr>
      <w:r>
        <w:rPr>
          <w:rFonts w:hint="eastAsia"/>
          <w:color w:val="000000" w:themeColor="text1"/>
        </w:rPr>
        <w:t>2）按布置的相对独立性划分；</w:t>
      </w:r>
    </w:p>
    <w:p>
      <w:pPr>
        <w:ind w:firstLine="560"/>
        <w:rPr>
          <w:color w:val="000000" w:themeColor="text1"/>
        </w:rPr>
      </w:pPr>
      <w:r>
        <w:rPr>
          <w:rFonts w:hint="eastAsia"/>
          <w:color w:val="000000" w:themeColor="text1"/>
        </w:rPr>
        <w:t>3）按工艺条件划分评价单元；</w:t>
      </w:r>
    </w:p>
    <w:p>
      <w:pPr>
        <w:ind w:firstLine="560"/>
        <w:rPr>
          <w:color w:val="000000" w:themeColor="text1"/>
        </w:rPr>
      </w:pPr>
      <w:r>
        <w:rPr>
          <w:rFonts w:hint="eastAsia"/>
          <w:color w:val="000000" w:themeColor="text1"/>
        </w:rPr>
        <w:t>4）按贮存、处理危险物品的潜在化学能、毒性和危险物品的数量划分评价单元；</w:t>
      </w:r>
    </w:p>
    <w:p>
      <w:pPr>
        <w:ind w:firstLine="560"/>
        <w:rPr>
          <w:color w:val="000000" w:themeColor="text1"/>
        </w:rPr>
      </w:pPr>
      <w:r>
        <w:rPr>
          <w:rFonts w:hint="eastAsia"/>
          <w:color w:val="000000" w:themeColor="text1"/>
        </w:rPr>
        <w:t>5）根据以往事故资料，将发生事故能导致停产、波及范围大、造成巨大损失和伤害的关键设备作为一个单元；</w:t>
      </w:r>
    </w:p>
    <w:p>
      <w:pPr>
        <w:ind w:firstLine="560"/>
        <w:rPr>
          <w:color w:val="000000" w:themeColor="text1"/>
        </w:rPr>
      </w:pPr>
      <w:r>
        <w:rPr>
          <w:rFonts w:hint="eastAsia"/>
          <w:color w:val="000000" w:themeColor="text1"/>
        </w:rPr>
        <w:t>6）将危险性大且资金密度大的区域作为一个评价单元；</w:t>
      </w:r>
    </w:p>
    <w:p>
      <w:pPr>
        <w:ind w:firstLine="560"/>
        <w:rPr>
          <w:color w:val="000000" w:themeColor="text1"/>
        </w:rPr>
      </w:pPr>
      <w:r>
        <w:rPr>
          <w:rFonts w:hint="eastAsia"/>
          <w:color w:val="000000" w:themeColor="text1"/>
        </w:rPr>
        <w:t>7）将危险性特别大的区域、装置作为一个评价单元；</w:t>
      </w:r>
    </w:p>
    <w:p>
      <w:pPr>
        <w:ind w:firstLine="560"/>
        <w:rPr>
          <w:color w:val="000000" w:themeColor="text1"/>
        </w:rPr>
      </w:pPr>
      <w:r>
        <w:rPr>
          <w:color w:val="000000" w:themeColor="text1"/>
        </w:rPr>
        <w:t>8）将具有类似危险性潜能的单元合并为一个大单元。</w:t>
      </w:r>
    </w:p>
    <w:p>
      <w:pPr>
        <w:pStyle w:val="5"/>
        <w:ind w:firstLine="562"/>
      </w:pPr>
      <w:bookmarkStart w:id="1183" w:name="_Toc2101"/>
      <w:bookmarkStart w:id="1184" w:name="_Toc32731"/>
      <w:bookmarkStart w:id="1185" w:name="_Toc29329"/>
      <w:bookmarkStart w:id="1186" w:name="_Toc31031"/>
      <w:bookmarkStart w:id="1187" w:name="_Toc125057633"/>
      <w:bookmarkStart w:id="1188" w:name="_Toc4503"/>
      <w:bookmarkStart w:id="1189" w:name="_Toc128056446"/>
      <w:bookmarkStart w:id="1190" w:name="_Toc15279"/>
      <w:bookmarkStart w:id="1191" w:name="_Toc8716"/>
      <w:bookmarkStart w:id="1192" w:name="_Toc16706"/>
      <w:bookmarkStart w:id="1193" w:name="_Toc9332"/>
      <w:bookmarkStart w:id="1194" w:name="_Toc19843"/>
      <w:bookmarkStart w:id="1195" w:name="_Toc23838"/>
      <w:bookmarkStart w:id="1196" w:name="_Toc29382"/>
      <w:bookmarkStart w:id="1197" w:name="_Toc31849"/>
      <w:bookmarkStart w:id="1198" w:name="_Toc14731"/>
      <w:bookmarkStart w:id="1199" w:name="_Toc7692"/>
      <w:bookmarkStart w:id="1200" w:name="_Toc13072"/>
      <w:r>
        <w:rPr>
          <w:rFonts w:hint="eastAsia"/>
        </w:rPr>
        <w:t>4.1.3 评价单元的划分</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p>
    <w:p>
      <w:pPr>
        <w:ind w:firstLine="560"/>
        <w:rPr>
          <w:color w:val="000000" w:themeColor="text1"/>
        </w:rPr>
      </w:pPr>
      <w:r>
        <w:rPr>
          <w:rFonts w:hint="eastAsia"/>
          <w:color w:val="000000" w:themeColor="text1"/>
        </w:rPr>
        <w:t>根据本次</w:t>
      </w:r>
      <w:r>
        <w:rPr>
          <w:color w:val="000000" w:themeColor="text1"/>
        </w:rPr>
        <w:t>安全评</w:t>
      </w:r>
      <w:r>
        <w:rPr>
          <w:rFonts w:hint="eastAsia"/>
          <w:color w:val="000000" w:themeColor="text1"/>
        </w:rPr>
        <w:t>价</w:t>
      </w:r>
      <w:r>
        <w:rPr>
          <w:color w:val="000000" w:themeColor="text1"/>
        </w:rPr>
        <w:t>的特点，本报告对</w:t>
      </w:r>
      <w:r>
        <w:rPr>
          <w:rFonts w:hint="eastAsia"/>
          <w:color w:val="000000" w:themeColor="text1"/>
        </w:rPr>
        <w:t>项目</w:t>
      </w:r>
      <w:r>
        <w:rPr>
          <w:color w:val="000000" w:themeColor="text1"/>
        </w:rPr>
        <w:t>共分</w:t>
      </w:r>
      <w:r>
        <w:rPr>
          <w:rFonts w:hint="eastAsia"/>
          <w:color w:val="000000" w:themeColor="text1"/>
        </w:rPr>
        <w:t>如下</w:t>
      </w:r>
      <w:r>
        <w:rPr>
          <w:color w:val="000000" w:themeColor="text1"/>
        </w:rPr>
        <w:t>单元进行评价</w:t>
      </w:r>
      <w:r>
        <w:rPr>
          <w:rFonts w:hint="eastAsia"/>
          <w:color w:val="000000" w:themeColor="text1"/>
        </w:rPr>
        <w:t>：</w:t>
      </w:r>
    </w:p>
    <w:p>
      <w:pPr>
        <w:topLinePunct/>
        <w:ind w:firstLine="560"/>
        <w:rPr>
          <w:rFonts w:ascii="宋体" w:hAnsi="宋体"/>
          <w:color w:val="000000" w:themeColor="text1"/>
        </w:rPr>
      </w:pPr>
      <w:r>
        <w:rPr>
          <w:rFonts w:hint="eastAsia" w:ascii="宋体" w:hAnsi="宋体"/>
          <w:color w:val="000000" w:themeColor="text1"/>
        </w:rPr>
        <w:t>1）厂址及总平面布置单元；</w:t>
      </w:r>
    </w:p>
    <w:p>
      <w:pPr>
        <w:topLinePunct/>
        <w:ind w:firstLine="560"/>
        <w:rPr>
          <w:rFonts w:ascii="宋体" w:hAnsi="宋体"/>
          <w:color w:val="000000" w:themeColor="text1"/>
        </w:rPr>
      </w:pPr>
      <w:r>
        <w:rPr>
          <w:rFonts w:hint="eastAsia" w:ascii="宋体" w:hAnsi="宋体"/>
          <w:color w:val="000000" w:themeColor="text1"/>
        </w:rPr>
        <w:t>2）生产工艺及设备设施单元；</w:t>
      </w:r>
    </w:p>
    <w:p>
      <w:pPr>
        <w:topLinePunct/>
        <w:ind w:firstLine="560"/>
        <w:rPr>
          <w:rFonts w:ascii="宋体" w:hAnsi="宋体"/>
          <w:color w:val="000000" w:themeColor="text1"/>
        </w:rPr>
      </w:pPr>
      <w:r>
        <w:rPr>
          <w:rFonts w:hint="eastAsia" w:ascii="宋体" w:hAnsi="宋体"/>
          <w:color w:val="000000" w:themeColor="text1"/>
        </w:rPr>
        <w:t>3）公用工程及辅助设施单元；</w:t>
      </w:r>
    </w:p>
    <w:p>
      <w:pPr>
        <w:topLinePunct/>
        <w:ind w:firstLine="560"/>
        <w:rPr>
          <w:rFonts w:ascii="宋体" w:hAnsi="宋体"/>
          <w:color w:val="000000" w:themeColor="text1"/>
        </w:rPr>
      </w:pPr>
      <w:r>
        <w:rPr>
          <w:rFonts w:hint="eastAsia" w:ascii="宋体" w:hAnsi="宋体"/>
          <w:color w:val="000000" w:themeColor="text1"/>
        </w:rPr>
        <w:t>4）安全管理及应急救援单元；</w:t>
      </w:r>
    </w:p>
    <w:p>
      <w:pPr>
        <w:topLinePunct/>
        <w:ind w:firstLine="560"/>
        <w:rPr>
          <w:rFonts w:ascii="宋体" w:hAnsi="宋体"/>
          <w:color w:val="000000" w:themeColor="text1"/>
        </w:rPr>
      </w:pPr>
      <w:r>
        <w:rPr>
          <w:rFonts w:ascii="宋体" w:hAnsi="宋体"/>
          <w:color w:val="000000" w:themeColor="text1"/>
        </w:rPr>
        <w:t>5</w:t>
      </w:r>
      <w:r>
        <w:rPr>
          <w:rFonts w:hint="eastAsia" w:ascii="宋体" w:hAnsi="宋体"/>
          <w:color w:val="000000" w:themeColor="text1"/>
        </w:rPr>
        <w:t>）危险化学品生产单位申请换证条件单元。</w:t>
      </w:r>
    </w:p>
    <w:p>
      <w:pPr>
        <w:pStyle w:val="4"/>
        <w:keepNext w:val="0"/>
        <w:keepLines w:val="0"/>
        <w:ind w:firstLine="562"/>
        <w:rPr>
          <w:color w:val="000000" w:themeColor="text1"/>
        </w:rPr>
      </w:pPr>
      <w:bookmarkStart w:id="1201" w:name="_Toc5873"/>
      <w:bookmarkStart w:id="1202" w:name="_Toc11252"/>
      <w:bookmarkStart w:id="1203" w:name="_Toc19711"/>
      <w:bookmarkStart w:id="1204" w:name="_Toc10196"/>
      <w:bookmarkStart w:id="1205" w:name="_Toc3917"/>
      <w:bookmarkStart w:id="1206" w:name="_Toc12732"/>
      <w:bookmarkStart w:id="1207" w:name="_Toc6128"/>
      <w:bookmarkStart w:id="1208" w:name="_Toc503269889"/>
      <w:bookmarkStart w:id="1209" w:name="_Toc11184"/>
      <w:bookmarkStart w:id="1210" w:name="_Toc472693304"/>
      <w:bookmarkStart w:id="1211" w:name="_Toc18312"/>
      <w:bookmarkStart w:id="1212" w:name="_Toc14824"/>
      <w:bookmarkStart w:id="1213" w:name="_Toc14451"/>
      <w:bookmarkStart w:id="1214" w:name="_Toc13576"/>
      <w:bookmarkStart w:id="1215" w:name="_Toc7008"/>
      <w:bookmarkStart w:id="1216" w:name="_Toc128056447"/>
      <w:bookmarkStart w:id="1217" w:name="_Toc14108"/>
      <w:bookmarkStart w:id="1218" w:name="_Toc25114"/>
      <w:bookmarkStart w:id="1219" w:name="_Toc1310"/>
      <w:bookmarkStart w:id="1220" w:name="_Toc3710"/>
      <w:bookmarkStart w:id="1221" w:name="_Toc207003180"/>
      <w:bookmarkStart w:id="1222" w:name="_Toc6886"/>
      <w:bookmarkStart w:id="1223" w:name="_Toc25687"/>
      <w:bookmarkStart w:id="1224" w:name="_Toc30933"/>
      <w:bookmarkStart w:id="1225" w:name="_Toc247620202"/>
      <w:bookmarkStart w:id="1226" w:name="_Toc25113"/>
      <w:bookmarkStart w:id="1227" w:name="_Toc14917"/>
      <w:bookmarkStart w:id="1228" w:name="_Toc14134"/>
      <w:bookmarkStart w:id="1229" w:name="_Toc62740949"/>
      <w:r>
        <w:rPr>
          <w:rFonts w:hint="eastAsia"/>
          <w:color w:val="000000" w:themeColor="text1"/>
        </w:rPr>
        <w:t>4.2 评价方法的选择</w:t>
      </w:r>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pPr>
        <w:topLinePunct/>
        <w:ind w:firstLine="560"/>
        <w:rPr>
          <w:rFonts w:ascii="宋体" w:hAnsi="宋体"/>
          <w:color w:val="000000" w:themeColor="text1"/>
        </w:rPr>
      </w:pPr>
      <w:bookmarkStart w:id="1230" w:name="_Toc297723511"/>
      <w:bookmarkStart w:id="1231" w:name="_Toc291600583"/>
      <w:bookmarkStart w:id="1232" w:name="_Toc287516384"/>
      <w:r>
        <w:rPr>
          <w:rFonts w:ascii="宋体" w:hAnsi="宋体"/>
          <w:color w:val="000000" w:themeColor="text1"/>
        </w:rPr>
        <w:t>安全评价方法是对系统的各种危险、危害因素进行分析、评价的工具。目前已开发出数十种，每一种评价方法的原理、目标、应用条件、适用对象不尽相同，各有其特点和优缺点。</w:t>
      </w:r>
    </w:p>
    <w:p>
      <w:pPr>
        <w:topLinePunct/>
        <w:ind w:firstLine="560"/>
        <w:rPr>
          <w:rFonts w:ascii="宋体" w:hAnsi="宋体"/>
          <w:color w:val="000000" w:themeColor="text1"/>
        </w:rPr>
      </w:pPr>
      <w:r>
        <w:rPr>
          <w:rFonts w:ascii="宋体" w:hAnsi="宋体"/>
          <w:color w:val="000000" w:themeColor="text1"/>
        </w:rPr>
        <w:t>根据有关规定对评价方法的具体要求为：</w:t>
      </w:r>
      <w:r>
        <w:rPr>
          <w:rFonts w:hint="eastAsia" w:ascii="宋体" w:hAnsi="宋体"/>
          <w:color w:val="000000" w:themeColor="text1"/>
        </w:rPr>
        <w:t>①</w:t>
      </w:r>
      <w:r>
        <w:rPr>
          <w:rFonts w:ascii="宋体" w:hAnsi="宋体"/>
          <w:color w:val="000000" w:themeColor="text1"/>
        </w:rPr>
        <w:t>安全生产条件的安全评价，以安全检查表的方法为主，其他方法为辅。</w:t>
      </w:r>
      <w:r>
        <w:rPr>
          <w:rFonts w:hint="eastAsia" w:ascii="宋体" w:hAnsi="宋体"/>
          <w:color w:val="000000" w:themeColor="text1"/>
        </w:rPr>
        <w:t>②</w:t>
      </w:r>
      <w:r>
        <w:rPr>
          <w:rFonts w:ascii="宋体" w:hAnsi="宋体"/>
          <w:color w:val="000000" w:themeColor="text1"/>
        </w:rPr>
        <w:t>其他方面的安全评价，根据生产的实际情况，可选择国际、国内通行的安全评价方法。</w:t>
      </w:r>
    </w:p>
    <w:p>
      <w:pPr>
        <w:topLinePunct/>
        <w:ind w:firstLine="560"/>
        <w:rPr>
          <w:rFonts w:ascii="宋体" w:hAnsi="宋体"/>
          <w:color w:val="000000" w:themeColor="text1"/>
          <w:szCs w:val="28"/>
        </w:rPr>
      </w:pPr>
      <w:r>
        <w:rPr>
          <w:rFonts w:ascii="宋体" w:hAnsi="宋体"/>
          <w:color w:val="000000" w:themeColor="text1"/>
        </w:rPr>
        <w:t>据此，本次评价采用安全检查表法、作业条件危险性分析法（格雷厄姆法）评价方法对</w:t>
      </w:r>
      <w:r>
        <w:rPr>
          <w:rFonts w:hint="eastAsia" w:ascii="宋体" w:hAnsi="宋体"/>
          <w:color w:val="000000" w:themeColor="text1"/>
        </w:rPr>
        <w:t>氟化分公司</w:t>
      </w:r>
      <w:r>
        <w:rPr>
          <w:rFonts w:ascii="宋体" w:hAnsi="宋体"/>
          <w:color w:val="000000" w:themeColor="text1"/>
        </w:rPr>
        <w:t>存在的</w:t>
      </w:r>
      <w:r>
        <w:rPr>
          <w:rFonts w:hint="eastAsia" w:ascii="宋体" w:hAnsi="宋体"/>
          <w:color w:val="000000" w:themeColor="text1"/>
        </w:rPr>
        <w:t>危险和有害</w:t>
      </w:r>
      <w:r>
        <w:rPr>
          <w:rFonts w:ascii="宋体" w:hAnsi="宋体"/>
          <w:color w:val="000000" w:themeColor="text1"/>
        </w:rPr>
        <w:t>因素进行定性、定量分析。</w:t>
      </w:r>
      <w:r>
        <w:rPr>
          <w:rFonts w:hint="eastAsia" w:ascii="宋体" w:hAnsi="宋体"/>
          <w:color w:val="000000" w:themeColor="text1"/>
        </w:rPr>
        <w:t>氟化分公司</w:t>
      </w:r>
      <w:r>
        <w:rPr>
          <w:rFonts w:ascii="宋体" w:hAnsi="宋体"/>
          <w:color w:val="000000" w:themeColor="text1"/>
        </w:rPr>
        <w:t>各单元选择的评价方法及选择</w:t>
      </w:r>
      <w:r>
        <w:rPr>
          <w:rFonts w:ascii="宋体" w:hAnsi="宋体"/>
          <w:color w:val="000000" w:themeColor="text1"/>
          <w:szCs w:val="28"/>
        </w:rPr>
        <w:t>理由见下表。</w:t>
      </w:r>
    </w:p>
    <w:p>
      <w:pPr>
        <w:pStyle w:val="89"/>
        <w:rPr>
          <w:sz w:val="24"/>
          <w:szCs w:val="24"/>
        </w:rPr>
      </w:pPr>
      <w:r>
        <w:rPr>
          <w:rFonts w:hint="eastAsia"/>
          <w:sz w:val="24"/>
          <w:szCs w:val="24"/>
        </w:rPr>
        <w:t xml:space="preserve">表4.2-1 </w:t>
      </w:r>
      <w:r>
        <w:rPr>
          <w:sz w:val="24"/>
          <w:szCs w:val="24"/>
        </w:rPr>
        <w:t>评价方法选择一览表</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3875"/>
        <w:gridCol w:w="4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61" w:type="dxa"/>
            <w:vAlign w:val="center"/>
          </w:tcPr>
          <w:p>
            <w:pPr>
              <w:spacing w:line="240" w:lineRule="auto"/>
              <w:ind w:firstLine="0" w:firstLineChars="0"/>
              <w:jc w:val="center"/>
              <w:rPr>
                <w:b/>
                <w:color w:val="000000" w:themeColor="text1"/>
                <w:sz w:val="21"/>
                <w:szCs w:val="21"/>
              </w:rPr>
            </w:pPr>
            <w:r>
              <w:rPr>
                <w:b/>
                <w:color w:val="000000" w:themeColor="text1"/>
                <w:sz w:val="21"/>
                <w:szCs w:val="21"/>
              </w:rPr>
              <w:t>序号</w:t>
            </w:r>
          </w:p>
        </w:tc>
        <w:tc>
          <w:tcPr>
            <w:tcW w:w="3875"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单</w:t>
            </w:r>
            <w:r>
              <w:rPr>
                <w:rFonts w:hint="eastAsia"/>
                <w:b/>
                <w:color w:val="000000" w:themeColor="text1"/>
                <w:sz w:val="21"/>
                <w:szCs w:val="21"/>
              </w:rPr>
              <w:t xml:space="preserve"> </w:t>
            </w:r>
            <w:r>
              <w:rPr>
                <w:b/>
                <w:color w:val="000000" w:themeColor="text1"/>
                <w:sz w:val="21"/>
                <w:szCs w:val="21"/>
              </w:rPr>
              <w:t>元</w:t>
            </w:r>
            <w:r>
              <w:rPr>
                <w:rFonts w:hint="eastAsia"/>
                <w:b/>
                <w:color w:val="000000" w:themeColor="text1"/>
                <w:sz w:val="21"/>
                <w:szCs w:val="21"/>
              </w:rPr>
              <w:t xml:space="preserve"> </w:t>
            </w:r>
            <w:r>
              <w:rPr>
                <w:b/>
                <w:color w:val="000000" w:themeColor="text1"/>
                <w:sz w:val="21"/>
                <w:szCs w:val="21"/>
              </w:rPr>
              <w:t>划</w:t>
            </w:r>
            <w:r>
              <w:rPr>
                <w:rFonts w:hint="eastAsia"/>
                <w:b/>
                <w:color w:val="000000" w:themeColor="text1"/>
                <w:sz w:val="21"/>
                <w:szCs w:val="21"/>
              </w:rPr>
              <w:t xml:space="preserve"> </w:t>
            </w:r>
            <w:r>
              <w:rPr>
                <w:b/>
                <w:color w:val="000000" w:themeColor="text1"/>
                <w:sz w:val="21"/>
                <w:szCs w:val="21"/>
              </w:rPr>
              <w:t>分</w:t>
            </w:r>
          </w:p>
        </w:tc>
        <w:tc>
          <w:tcPr>
            <w:tcW w:w="4533"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方</w:t>
            </w:r>
            <w:r>
              <w:rPr>
                <w:rFonts w:hint="eastAsia"/>
                <w:b/>
                <w:color w:val="000000" w:themeColor="text1"/>
                <w:sz w:val="21"/>
                <w:szCs w:val="21"/>
              </w:rPr>
              <w:t xml:space="preserve"> </w:t>
            </w:r>
            <w:r>
              <w:rPr>
                <w:b/>
                <w:color w:val="000000" w:themeColor="text1"/>
                <w:sz w:val="21"/>
                <w:szCs w:val="21"/>
              </w:rPr>
              <w:t>法</w:t>
            </w:r>
            <w:r>
              <w:rPr>
                <w:rFonts w:hint="eastAsia"/>
                <w:b/>
                <w:color w:val="000000" w:themeColor="text1"/>
                <w:sz w:val="21"/>
                <w:szCs w:val="21"/>
              </w:rPr>
              <w:t xml:space="preserve"> </w:t>
            </w:r>
            <w:r>
              <w:rPr>
                <w:b/>
                <w:color w:val="000000" w:themeColor="text1"/>
                <w:sz w:val="21"/>
                <w:szCs w:val="21"/>
              </w:rPr>
              <w:t>选</w:t>
            </w:r>
            <w:r>
              <w:rPr>
                <w:rFonts w:hint="eastAsia"/>
                <w:b/>
                <w:color w:val="000000" w:themeColor="text1"/>
                <w:sz w:val="21"/>
                <w:szCs w:val="21"/>
              </w:rPr>
              <w:t xml:space="preserve"> </w:t>
            </w:r>
            <w:r>
              <w:rPr>
                <w:b/>
                <w:color w:val="000000" w:themeColor="text1"/>
                <w:sz w:val="21"/>
                <w:szCs w:val="21"/>
              </w:rPr>
              <w:t>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厂</w:t>
            </w:r>
            <w:r>
              <w:rPr>
                <w:color w:val="000000" w:themeColor="text1"/>
                <w:sz w:val="21"/>
                <w:szCs w:val="21"/>
              </w:rPr>
              <w:t>址及总平面布置单元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2</w:t>
            </w:r>
          </w:p>
        </w:tc>
        <w:tc>
          <w:tcPr>
            <w:tcW w:w="3875" w:type="dxa"/>
            <w:vAlign w:val="center"/>
          </w:tcPr>
          <w:p>
            <w:pPr>
              <w:spacing w:line="240" w:lineRule="auto"/>
              <w:ind w:firstLine="0" w:firstLineChars="0"/>
              <w:rPr>
                <w:color w:val="000000" w:themeColor="text1"/>
                <w:sz w:val="21"/>
                <w:szCs w:val="21"/>
              </w:rPr>
            </w:pPr>
            <w:r>
              <w:rPr>
                <w:color w:val="000000" w:themeColor="text1"/>
                <w:sz w:val="21"/>
                <w:szCs w:val="21"/>
              </w:rPr>
              <w:t>生产工艺及设备设施单元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安全检查表法、作业条件危险性分析法</w:t>
            </w:r>
            <w:r>
              <w:rPr>
                <w:bCs/>
                <w:color w:val="000000" w:themeColor="text1"/>
                <w:sz w:val="21"/>
              </w:rPr>
              <w:t>（格雷厄姆法）</w:t>
            </w:r>
            <w:r>
              <w:rPr>
                <w:rFonts w:hint="eastAsia"/>
                <w:bCs/>
                <w:color w:val="000000" w:themeColor="text1"/>
                <w:sz w:val="21"/>
              </w:rPr>
              <w:t>、道化学火灾爆炸指数法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公用工程及辅助设施单元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安全管理及应急救援单元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危险化学品生产单位申请换证条件单元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bookmarkEnd w:id="1230"/>
      <w:bookmarkEnd w:id="1231"/>
      <w:bookmarkEnd w:id="1232"/>
    </w:tbl>
    <w:p>
      <w:pPr>
        <w:pStyle w:val="4"/>
        <w:ind w:firstLine="562"/>
        <w:rPr>
          <w:color w:val="000000" w:themeColor="text1"/>
        </w:rPr>
      </w:pPr>
      <w:bookmarkStart w:id="1233" w:name="_Toc13459"/>
      <w:bookmarkStart w:id="1234" w:name="_Toc1600"/>
      <w:bookmarkStart w:id="1235" w:name="_Toc23577"/>
      <w:bookmarkStart w:id="1236" w:name="_Toc23327"/>
      <w:bookmarkStart w:id="1237" w:name="_Toc9571"/>
      <w:bookmarkStart w:id="1238" w:name="_Toc29989"/>
      <w:bookmarkStart w:id="1239" w:name="_Toc7834"/>
      <w:bookmarkStart w:id="1240" w:name="_Toc11428"/>
      <w:bookmarkStart w:id="1241" w:name="_Toc12881"/>
      <w:bookmarkStart w:id="1242" w:name="_Toc29723"/>
      <w:bookmarkStart w:id="1243" w:name="_Toc2582"/>
      <w:bookmarkStart w:id="1244" w:name="_Toc15626"/>
      <w:bookmarkStart w:id="1245" w:name="_Toc1440"/>
      <w:bookmarkStart w:id="1246" w:name="_Toc14447"/>
      <w:bookmarkStart w:id="1247" w:name="_Toc128056448"/>
      <w:bookmarkStart w:id="1248" w:name="_Toc30006"/>
      <w:bookmarkStart w:id="1249" w:name="_Toc503269890"/>
      <w:bookmarkStart w:id="1250" w:name="_Toc5072"/>
      <w:bookmarkStart w:id="1251" w:name="_Toc6832"/>
      <w:bookmarkStart w:id="1252" w:name="_Toc7622"/>
      <w:bookmarkStart w:id="1253" w:name="_Toc454199070"/>
      <w:bookmarkStart w:id="1254" w:name="_Toc62740950"/>
      <w:bookmarkStart w:id="1255" w:name="_Toc31631"/>
      <w:bookmarkStart w:id="1256" w:name="_Toc472693305"/>
      <w:bookmarkStart w:id="1257" w:name="_Toc6794"/>
      <w:bookmarkStart w:id="1258" w:name="_Toc3110"/>
      <w:bookmarkStart w:id="1259" w:name="_Toc21021"/>
      <w:bookmarkStart w:id="1260" w:name="_Toc3313"/>
      <w:r>
        <w:rPr>
          <w:rFonts w:hint="eastAsia"/>
          <w:color w:val="000000" w:themeColor="text1"/>
        </w:rPr>
        <w:t>4.3 评价方法简介</w:t>
      </w:r>
      <w:bookmarkEnd w:id="1233"/>
      <w:bookmarkEnd w:id="1234"/>
      <w:bookmarkEnd w:id="1235"/>
      <w:bookmarkEnd w:id="1236"/>
      <w:bookmarkEnd w:id="1237"/>
      <w:bookmarkEnd w:id="1238"/>
      <w:bookmarkEnd w:id="1239"/>
      <w:bookmarkEnd w:id="1240"/>
      <w:bookmarkEnd w:id="1241"/>
      <w:bookmarkEnd w:id="1242"/>
      <w:bookmarkEnd w:id="1243"/>
      <w:bookmarkEnd w:id="1244"/>
      <w:bookmarkEnd w:id="1245"/>
    </w:p>
    <w:p>
      <w:pPr>
        <w:pStyle w:val="2"/>
        <w:ind w:firstLine="560"/>
      </w:pPr>
      <w:r>
        <w:rPr>
          <w:rFonts w:hint="eastAsia"/>
          <w:color w:val="000000" w:themeColor="text1"/>
        </w:rPr>
        <w:t>本次评价所采用的评价方法的介绍见报告附件3。</w:t>
      </w:r>
    </w:p>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Pr>
        <w:topLinePunct/>
        <w:ind w:firstLine="560"/>
        <w:rPr>
          <w:rFonts w:ascii="宋体" w:hAnsi="宋体"/>
          <w:color w:val="000000" w:themeColor="text1"/>
          <w:szCs w:val="28"/>
        </w:rPr>
      </w:pPr>
    </w:p>
    <w:bookmarkEnd w:id="936"/>
    <w:bookmarkEnd w:id="937"/>
    <w:bookmarkEnd w:id="938"/>
    <w:p>
      <w:pPr>
        <w:pStyle w:val="3"/>
        <w:rPr>
          <w:rFonts w:ascii="宋体" w:hAnsi="宋体" w:eastAsia="宋体" w:cs="宋体"/>
          <w:b/>
          <w:bCs w:val="0"/>
          <w:color w:val="000000" w:themeColor="text1"/>
          <w:sz w:val="32"/>
          <w:szCs w:val="32"/>
        </w:rPr>
      </w:pPr>
      <w:bookmarkStart w:id="1261" w:name="_Toc7458"/>
      <w:bookmarkStart w:id="1262" w:name="_Toc16259"/>
      <w:bookmarkStart w:id="1263" w:name="_Toc22693"/>
      <w:bookmarkStart w:id="1264" w:name="_Toc128056449"/>
      <w:bookmarkStart w:id="1265" w:name="_Toc6780"/>
      <w:bookmarkStart w:id="1266" w:name="_Toc27557"/>
      <w:bookmarkStart w:id="1267" w:name="_Toc17637"/>
      <w:bookmarkStart w:id="1268" w:name="_Toc26069"/>
      <w:bookmarkStart w:id="1269" w:name="_Toc25718"/>
      <w:bookmarkStart w:id="1270" w:name="_Toc19395"/>
      <w:bookmarkStart w:id="1271" w:name="_Toc8547"/>
      <w:bookmarkStart w:id="1272" w:name="_Toc15225"/>
      <w:bookmarkStart w:id="1273" w:name="_Toc16563"/>
      <w:bookmarkStart w:id="1274" w:name="_Toc1330"/>
      <w:bookmarkStart w:id="1275" w:name="_Toc29835"/>
      <w:bookmarkStart w:id="1276" w:name="_Toc22335"/>
      <w:bookmarkStart w:id="1277" w:name="_Toc17084"/>
      <w:bookmarkStart w:id="1278" w:name="_Toc11219"/>
      <w:bookmarkStart w:id="1279" w:name="_Toc29752"/>
      <w:bookmarkStart w:id="1280" w:name="_Toc27444"/>
      <w:bookmarkStart w:id="1281" w:name="_Toc20723"/>
      <w:bookmarkStart w:id="1282" w:name="_Toc5421"/>
      <w:bookmarkStart w:id="1283" w:name="_Toc30357"/>
      <w:bookmarkStart w:id="1284" w:name="_Toc31324"/>
      <w:bookmarkStart w:id="1285" w:name="_Toc30351"/>
      <w:bookmarkStart w:id="1286" w:name="_Toc128056431"/>
      <w:bookmarkStart w:id="1287" w:name="_Toc21480"/>
      <w:bookmarkStart w:id="1288" w:name="_Toc16348"/>
      <w:r>
        <w:rPr>
          <w:rFonts w:hint="eastAsia" w:ascii="宋体" w:hAnsi="宋体" w:eastAsia="宋体" w:cs="宋体"/>
          <w:b/>
          <w:bCs w:val="0"/>
          <w:color w:val="000000" w:themeColor="text1"/>
          <w:sz w:val="32"/>
          <w:szCs w:val="32"/>
        </w:rPr>
        <w:t xml:space="preserve">5  </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Start w:id="1289" w:name="_Toc62740951"/>
      <w:r>
        <w:rPr>
          <w:rFonts w:hint="eastAsia" w:ascii="宋体" w:hAnsi="宋体" w:eastAsia="宋体"/>
          <w:b/>
          <w:bCs w:val="0"/>
          <w:color w:val="auto"/>
          <w:sz w:val="32"/>
          <w:szCs w:val="32"/>
        </w:rPr>
        <w:t>安全条件和安全生产条件分析评价结果</w:t>
      </w:r>
      <w:bookmarkEnd w:id="1281"/>
      <w:bookmarkEnd w:id="1282"/>
      <w:bookmarkEnd w:id="1283"/>
      <w:bookmarkEnd w:id="1284"/>
      <w:bookmarkEnd w:id="1289"/>
    </w:p>
    <w:p>
      <w:pPr>
        <w:pStyle w:val="2"/>
        <w:ind w:firstLine="560"/>
        <w:rPr>
          <w:b/>
          <w:bCs w:val="0"/>
          <w:sz w:val="32"/>
          <w:szCs w:val="32"/>
        </w:rPr>
      </w:pPr>
      <w:bookmarkStart w:id="1290" w:name="_Toc17416"/>
      <w:bookmarkStart w:id="1291" w:name="_Toc6900"/>
      <w:bookmarkStart w:id="1292" w:name="_Toc128056450"/>
      <w:bookmarkStart w:id="1293" w:name="_Toc21081"/>
      <w:bookmarkStart w:id="1294" w:name="_Toc9995"/>
      <w:bookmarkStart w:id="1295" w:name="_Toc42724661"/>
      <w:bookmarkStart w:id="1296" w:name="_Toc15557"/>
      <w:bookmarkStart w:id="1297" w:name="_Toc10618"/>
      <w:bookmarkStart w:id="1298" w:name="_Toc32637"/>
      <w:bookmarkStart w:id="1299" w:name="_Toc16613"/>
      <w:bookmarkStart w:id="1300" w:name="_Toc24387"/>
      <w:bookmarkStart w:id="1301" w:name="_Toc518768110"/>
      <w:bookmarkStart w:id="1302" w:name="_Toc23530"/>
      <w:bookmarkStart w:id="1303" w:name="_Toc11704"/>
      <w:bookmarkStart w:id="1304" w:name="_Toc24664"/>
      <w:bookmarkStart w:id="1305" w:name="_Toc3133"/>
      <w:bookmarkStart w:id="1306" w:name="_Toc128056451"/>
      <w:bookmarkStart w:id="1307" w:name="_Toc503269894"/>
    </w:p>
    <w:bookmarkEnd w:id="1290"/>
    <w:bookmarkEnd w:id="1291"/>
    <w:bookmarkEnd w:id="1292"/>
    <w:bookmarkEnd w:id="1293"/>
    <w:bookmarkEnd w:id="1294"/>
    <w:bookmarkEnd w:id="1295"/>
    <w:bookmarkEnd w:id="1296"/>
    <w:bookmarkEnd w:id="1297"/>
    <w:bookmarkEnd w:id="1298"/>
    <w:bookmarkEnd w:id="1299"/>
    <w:bookmarkEnd w:id="1300"/>
    <w:bookmarkEnd w:id="1301"/>
    <w:bookmarkEnd w:id="1302"/>
    <w:p>
      <w:pPr>
        <w:pStyle w:val="4"/>
        <w:ind w:left="562" w:firstLine="0" w:firstLineChars="0"/>
        <w:rPr>
          <w:color w:val="000000" w:themeColor="text1"/>
        </w:rPr>
      </w:pPr>
      <w:bookmarkStart w:id="1308" w:name="_Toc20605"/>
      <w:bookmarkStart w:id="1309" w:name="_Toc8170"/>
      <w:bookmarkStart w:id="1310" w:name="_Toc12821"/>
      <w:bookmarkStart w:id="1311" w:name="_Toc6033"/>
      <w:bookmarkStart w:id="1312" w:name="_Toc5937"/>
      <w:bookmarkStart w:id="1313" w:name="_Toc3735"/>
      <w:bookmarkStart w:id="1314" w:name="_Toc16089"/>
      <w:bookmarkStart w:id="1315" w:name="_Toc10518"/>
      <w:bookmarkStart w:id="1316" w:name="_Toc7207"/>
      <w:bookmarkStart w:id="1317" w:name="_Toc16701"/>
      <w:bookmarkStart w:id="1318" w:name="_Toc32578"/>
      <w:bookmarkStart w:id="1319" w:name="_Toc17624"/>
      <w:bookmarkStart w:id="1320" w:name="_Toc16281"/>
      <w:bookmarkStart w:id="1321" w:name="_Toc29005"/>
      <w:bookmarkStart w:id="1322" w:name="_Toc6523"/>
      <w:bookmarkStart w:id="1323" w:name="_Toc20813"/>
      <w:bookmarkStart w:id="1324" w:name="_Toc28183"/>
      <w:bookmarkStart w:id="1325" w:name="_Toc18238"/>
      <w:bookmarkStart w:id="1326" w:name="_Toc32686"/>
      <w:bookmarkStart w:id="1327" w:name="_Toc32716"/>
      <w:r>
        <w:rPr>
          <w:rFonts w:hint="eastAsia"/>
          <w:color w:val="000000" w:themeColor="text1"/>
        </w:rPr>
        <w:t>5.</w:t>
      </w:r>
      <w:r>
        <w:rPr>
          <w:rFonts w:hint="eastAsia"/>
          <w:color w:val="000000" w:themeColor="text1"/>
          <w:lang w:val="en-US" w:eastAsia="zh-CN"/>
        </w:rPr>
        <w:t>1</w:t>
      </w:r>
      <w:r>
        <w:rPr>
          <w:rFonts w:hint="eastAsia"/>
          <w:color w:val="000000" w:themeColor="text1"/>
        </w:rPr>
        <w:t xml:space="preserve"> 厂址及总平面布置单元评价结果</w:t>
      </w:r>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Start w:id="1328" w:name="_Toc62740953"/>
      <w:bookmarkStart w:id="1329" w:name="_Toc503269895"/>
      <w:bookmarkStart w:id="1330" w:name="_Toc472693308"/>
      <w:bookmarkStart w:id="1331" w:name="_Toc128056455"/>
      <w:bookmarkStart w:id="1332" w:name="_Toc15071"/>
      <w:bookmarkStart w:id="1333" w:name="_Toc30358"/>
      <w:bookmarkStart w:id="1334" w:name="_Toc4256"/>
    </w:p>
    <w:p>
      <w:pPr>
        <w:ind w:firstLine="560"/>
        <w:rPr>
          <w:color w:val="000000" w:themeColor="text1"/>
        </w:rPr>
      </w:pPr>
      <w:r>
        <w:rPr>
          <w:rFonts w:hint="eastAsia"/>
        </w:rPr>
        <w:t>根据报告附件4.</w:t>
      </w:r>
      <w:r>
        <w:rPr>
          <w:rFonts w:hint="eastAsia"/>
          <w:lang w:val="en-US" w:eastAsia="zh-CN"/>
        </w:rPr>
        <w:t>1</w:t>
      </w:r>
      <w:r>
        <w:rPr>
          <w:rFonts w:hint="eastAsia"/>
        </w:rPr>
        <w:t>“厂址及总平面布置评价单元”分析评价可知：</w:t>
      </w:r>
    </w:p>
    <w:p>
      <w:pPr>
        <w:ind w:firstLine="560"/>
        <w:rPr>
          <w:color w:val="000000" w:themeColor="text1"/>
        </w:rPr>
      </w:pPr>
      <w:r>
        <w:rPr>
          <w:rFonts w:hint="eastAsia"/>
          <w:color w:val="000000" w:themeColor="text1"/>
        </w:rPr>
        <w:t>1）</w:t>
      </w:r>
      <w:r>
        <w:rPr>
          <w:rFonts w:hint="eastAsia"/>
          <w:color w:val="000000" w:themeColor="text1"/>
          <w:lang w:eastAsia="zh-CN"/>
        </w:rPr>
        <w:t>昆明合起工贸有限公司澄江氟化分公司</w:t>
      </w:r>
      <w:r>
        <w:rPr>
          <w:rFonts w:hint="eastAsia"/>
          <w:color w:val="000000" w:themeColor="text1"/>
        </w:rPr>
        <w:t>厂址位于</w:t>
      </w:r>
      <w:r>
        <w:rPr>
          <w:rFonts w:hint="eastAsia" w:ascii="宋体" w:hAnsi="宋体"/>
          <w:color w:val="auto"/>
        </w:rPr>
        <w:t>云南省玉溪市澄江市九村镇干海子云南澄江天辰磷肥有限公司内</w:t>
      </w:r>
      <w:r>
        <w:rPr>
          <w:rFonts w:hint="eastAsia"/>
          <w:color w:val="000000" w:themeColor="text1"/>
          <w:lang w:val="zh-CN"/>
        </w:rPr>
        <w:t>，厂址周围无重点生态保护区，</w:t>
      </w:r>
      <w:r>
        <w:rPr>
          <w:color w:val="000000" w:themeColor="text1"/>
          <w:lang w:val="zh-CN"/>
        </w:rPr>
        <w:t>厂内按功能分区，布置合理</w:t>
      </w:r>
      <w:r>
        <w:rPr>
          <w:rFonts w:hint="eastAsia"/>
          <w:color w:val="000000" w:themeColor="text1"/>
          <w:lang w:val="zh-CN"/>
        </w:rPr>
        <w:t>，生产装置均位于厂区内部，</w:t>
      </w:r>
      <w:r>
        <w:rPr>
          <w:color w:val="000000" w:themeColor="text1"/>
        </w:rPr>
        <w:t>其</w:t>
      </w:r>
      <w:r>
        <w:rPr>
          <w:rFonts w:hint="eastAsia"/>
          <w:color w:val="000000" w:themeColor="text1"/>
        </w:rPr>
        <w:t>厂址及</w:t>
      </w:r>
      <w:r>
        <w:rPr>
          <w:color w:val="000000" w:themeColor="text1"/>
        </w:rPr>
        <w:t>总平面布置符合《工业企业总平面设计规范》(GB50187-2012)</w:t>
      </w:r>
      <w:r>
        <w:rPr>
          <w:rFonts w:hint="eastAsia"/>
          <w:color w:val="000000" w:themeColor="text1"/>
        </w:rPr>
        <w:t>、</w:t>
      </w:r>
      <w:r>
        <w:rPr>
          <w:color w:val="000000" w:themeColor="text1"/>
        </w:rPr>
        <w:t>《化工企业安全卫生设计规范》(HG20571-2014)、《建筑设计防火规范</w:t>
      </w:r>
      <w:r>
        <w:rPr>
          <w:rFonts w:hint="eastAsia"/>
          <w:color w:val="000000" w:themeColor="text1"/>
        </w:rPr>
        <w:t>（</w:t>
      </w:r>
      <w:r>
        <w:rPr>
          <w:color w:val="000000" w:themeColor="text1"/>
        </w:rPr>
        <w:t>2018年版</w:t>
      </w:r>
      <w:r>
        <w:rPr>
          <w:rFonts w:hint="eastAsia"/>
          <w:color w:val="000000" w:themeColor="text1"/>
        </w:rPr>
        <w:t>）</w:t>
      </w:r>
      <w:r>
        <w:rPr>
          <w:rFonts w:hint="eastAsia"/>
          <w:color w:val="000000" w:themeColor="text1"/>
          <w:lang w:eastAsia="zh-CN"/>
        </w:rPr>
        <w:t>》</w:t>
      </w:r>
      <w:r>
        <w:rPr>
          <w:color w:val="000000" w:themeColor="text1"/>
        </w:rPr>
        <w:t>(GB50016-2014)等标准、规范的要求。</w:t>
      </w:r>
    </w:p>
    <w:p>
      <w:pPr>
        <w:ind w:firstLine="560"/>
        <w:rPr>
          <w:color w:val="000000" w:themeColor="text1"/>
          <w:lang w:val="zh-CN"/>
        </w:rPr>
      </w:pPr>
      <w:r>
        <w:rPr>
          <w:rFonts w:hint="eastAsia"/>
          <w:color w:val="000000" w:themeColor="text1"/>
        </w:rPr>
        <w:t>2）</w:t>
      </w:r>
      <w:r>
        <w:rPr>
          <w:rFonts w:hint="eastAsia"/>
          <w:color w:val="000000" w:themeColor="text1"/>
          <w:lang w:val="zh-CN"/>
        </w:rPr>
        <w:t>氟化分公司</w:t>
      </w:r>
      <w:r>
        <w:rPr>
          <w:color w:val="000000" w:themeColor="text1"/>
          <w:lang w:val="zh-CN"/>
        </w:rPr>
        <w:t>与周边设施的</w:t>
      </w:r>
      <w:r>
        <w:rPr>
          <w:rFonts w:hint="eastAsia"/>
          <w:color w:val="000000" w:themeColor="text1"/>
          <w:lang w:val="zh-CN"/>
        </w:rPr>
        <w:t>防火</w:t>
      </w:r>
      <w:r>
        <w:rPr>
          <w:color w:val="000000" w:themeColor="text1"/>
          <w:lang w:val="zh-CN"/>
        </w:rPr>
        <w:t>距离</w:t>
      </w:r>
      <w:r>
        <w:rPr>
          <w:rFonts w:hint="eastAsia"/>
          <w:color w:val="000000" w:themeColor="text1"/>
        </w:rPr>
        <w:t>及氟化分公司</w:t>
      </w:r>
      <w:r>
        <w:rPr>
          <w:color w:val="000000" w:themeColor="text1"/>
        </w:rPr>
        <w:t>区域内各建构筑物间的防火距离</w:t>
      </w:r>
      <w:r>
        <w:rPr>
          <w:rFonts w:hint="eastAsia"/>
          <w:color w:val="000000" w:themeColor="text1"/>
          <w:lang w:val="zh-CN"/>
        </w:rPr>
        <w:t>符合</w:t>
      </w:r>
      <w:r>
        <w:rPr>
          <w:color w:val="000000" w:themeColor="text1"/>
        </w:rPr>
        <w:t>《建筑设计防火规范</w:t>
      </w:r>
      <w:r>
        <w:rPr>
          <w:rFonts w:hint="eastAsia"/>
          <w:color w:val="000000" w:themeColor="text1"/>
        </w:rPr>
        <w:t>（</w:t>
      </w:r>
      <w:r>
        <w:rPr>
          <w:color w:val="000000" w:themeColor="text1"/>
        </w:rPr>
        <w:t>2018年版</w:t>
      </w:r>
      <w:r>
        <w:rPr>
          <w:rFonts w:hint="eastAsia"/>
          <w:color w:val="000000" w:themeColor="text1"/>
        </w:rPr>
        <w:t>）</w:t>
      </w:r>
      <w:r>
        <w:rPr>
          <w:rFonts w:hint="eastAsia"/>
          <w:color w:val="000000" w:themeColor="text1"/>
          <w:lang w:eastAsia="zh-CN"/>
        </w:rPr>
        <w:t>》</w:t>
      </w:r>
      <w:r>
        <w:rPr>
          <w:color w:val="000000" w:themeColor="text1"/>
        </w:rPr>
        <w:t>(GB50016-2014)</w:t>
      </w:r>
      <w:r>
        <w:rPr>
          <w:rFonts w:hint="eastAsia"/>
          <w:color w:val="000000" w:themeColor="text1"/>
        </w:rPr>
        <w:t>及</w:t>
      </w:r>
      <w:r>
        <w:rPr>
          <w:rFonts w:hint="eastAsia"/>
          <w:color w:val="auto"/>
        </w:rPr>
        <w:t>《危险化学品生产装置和储存设施外部安全防护距离确定方法》（GB/T37243-2019）的</w:t>
      </w:r>
      <w:r>
        <w:rPr>
          <w:rFonts w:hint="eastAsia"/>
          <w:color w:val="000000" w:themeColor="text1"/>
          <w:lang w:val="zh-CN"/>
        </w:rPr>
        <w:t>要求。</w:t>
      </w:r>
    </w:p>
    <w:p>
      <w:pPr>
        <w:ind w:firstLine="560"/>
        <w:rPr>
          <w:rFonts w:ascii="宋体" w:hAnsi="宋体"/>
          <w:color w:val="000000" w:themeColor="text1"/>
        </w:rPr>
      </w:pPr>
      <w:r>
        <w:rPr>
          <w:rFonts w:hint="eastAsia"/>
          <w:color w:val="000000" w:themeColor="text1"/>
        </w:rPr>
        <w:t>3</w:t>
      </w:r>
      <w:r>
        <w:rPr>
          <w:rFonts w:hint="eastAsia"/>
          <w:color w:val="000000" w:themeColor="text1"/>
          <w:lang w:val="zh-CN"/>
        </w:rPr>
        <w:t>）当厂内发生事故时，对厂外周边企业、居民生活不会产生影响。厂区外部周边企业的正常生活对其生产不会产生影响。</w:t>
      </w:r>
    </w:p>
    <w:p>
      <w:pPr>
        <w:ind w:firstLine="560"/>
        <w:rPr>
          <w:rFonts w:ascii="宋体" w:hAnsi="宋体"/>
          <w:color w:val="000000" w:themeColor="text1"/>
        </w:rPr>
      </w:pPr>
      <w:r>
        <w:rPr>
          <w:rFonts w:hint="eastAsia" w:ascii="宋体" w:hAnsi="宋体"/>
          <w:color w:val="000000" w:themeColor="text1"/>
          <w:szCs w:val="28"/>
        </w:rPr>
        <w:t>4</w:t>
      </w:r>
      <w:r>
        <w:rPr>
          <w:rFonts w:hint="eastAsia" w:ascii="宋体" w:hAnsi="宋体"/>
          <w:color w:val="000000" w:themeColor="text1"/>
          <w:szCs w:val="28"/>
          <w:lang w:val="zh-CN"/>
        </w:rPr>
        <w:t>）氟化分公司</w:t>
      </w:r>
      <w:r>
        <w:rPr>
          <w:rFonts w:ascii="宋体" w:hAnsi="宋体"/>
          <w:color w:val="000000" w:themeColor="text1"/>
          <w:szCs w:val="28"/>
          <w:lang w:val="zh-CN"/>
        </w:rPr>
        <w:t>所在地的自然条件对该</w:t>
      </w:r>
      <w:r>
        <w:rPr>
          <w:rFonts w:hint="eastAsia" w:ascii="宋体" w:hAnsi="宋体"/>
          <w:color w:val="000000" w:themeColor="text1"/>
          <w:szCs w:val="28"/>
          <w:lang w:val="zh-CN"/>
        </w:rPr>
        <w:t>建设项目</w:t>
      </w:r>
      <w:r>
        <w:rPr>
          <w:rFonts w:ascii="宋体" w:hAnsi="宋体"/>
          <w:color w:val="000000" w:themeColor="text1"/>
          <w:szCs w:val="28"/>
          <w:lang w:val="zh-CN"/>
        </w:rPr>
        <w:t>的影响在可接受和可控制的范围内，没有发现重大不利安全影响。</w:t>
      </w:r>
    </w:p>
    <w:p>
      <w:pPr>
        <w:pStyle w:val="4"/>
        <w:keepNext w:val="0"/>
        <w:keepLines w:val="0"/>
        <w:ind w:firstLine="562"/>
        <w:rPr>
          <w:color w:val="000000" w:themeColor="text1"/>
        </w:rPr>
      </w:pPr>
      <w:bookmarkStart w:id="1335" w:name="_Toc23036"/>
      <w:bookmarkStart w:id="1336" w:name="_Toc15853"/>
      <w:bookmarkStart w:id="1337" w:name="_Toc24068"/>
      <w:bookmarkStart w:id="1338" w:name="_Toc8723"/>
      <w:bookmarkStart w:id="1339" w:name="_Toc21261"/>
      <w:bookmarkStart w:id="1340" w:name="_Toc21493"/>
      <w:bookmarkStart w:id="1341" w:name="_Toc16235"/>
      <w:bookmarkStart w:id="1342" w:name="_Toc7189"/>
      <w:bookmarkStart w:id="1343" w:name="_Toc4245"/>
      <w:bookmarkStart w:id="1344" w:name="_Toc21715"/>
      <w:bookmarkStart w:id="1345" w:name="_Toc28391"/>
      <w:bookmarkStart w:id="1346" w:name="_Toc21060"/>
      <w:bookmarkStart w:id="1347" w:name="_Toc16380"/>
      <w:bookmarkStart w:id="1348" w:name="_Toc7562"/>
      <w:bookmarkStart w:id="1349" w:name="_Toc14452"/>
      <w:bookmarkStart w:id="1350" w:name="_Toc16838"/>
      <w:bookmarkStart w:id="1351" w:name="_Toc20459"/>
      <w:bookmarkStart w:id="1352" w:name="_Toc21412"/>
      <w:bookmarkStart w:id="1353" w:name="_Toc9122"/>
      <w:bookmarkStart w:id="1354" w:name="_Toc19293"/>
      <w:r>
        <w:rPr>
          <w:rFonts w:hint="eastAsia"/>
          <w:color w:val="000000" w:themeColor="text1"/>
        </w:rPr>
        <w:t>5.</w:t>
      </w:r>
      <w:r>
        <w:rPr>
          <w:rFonts w:hint="eastAsia"/>
          <w:color w:val="000000" w:themeColor="text1"/>
          <w:lang w:val="en-US" w:eastAsia="zh-CN"/>
        </w:rPr>
        <w:t>2</w:t>
      </w:r>
      <w:r>
        <w:rPr>
          <w:rFonts w:hint="eastAsia"/>
          <w:color w:val="000000" w:themeColor="text1"/>
        </w:rPr>
        <w:t>生产工艺及设备设施单元评价</w:t>
      </w:r>
      <w:bookmarkEnd w:id="1328"/>
      <w:bookmarkEnd w:id="1329"/>
      <w:bookmarkEnd w:id="1330"/>
      <w:r>
        <w:rPr>
          <w:rFonts w:hint="eastAsia"/>
          <w:color w:val="000000" w:themeColor="text1"/>
        </w:rPr>
        <w:t>结果</w:t>
      </w:r>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p>
    <w:p>
      <w:pPr>
        <w:topLinePunct/>
        <w:ind w:firstLine="560"/>
        <w:rPr>
          <w:rFonts w:ascii="宋体" w:hAnsi="宋体" w:cs="Tahoma"/>
          <w:color w:val="000000" w:themeColor="text1"/>
          <w:szCs w:val="28"/>
        </w:rPr>
      </w:pPr>
      <w:r>
        <w:rPr>
          <w:rFonts w:hint="eastAsia"/>
        </w:rPr>
        <w:t>根据报告附件</w:t>
      </w:r>
      <w:r>
        <w:rPr>
          <w:rFonts w:hint="eastAsia" w:ascii="宋体" w:hAnsi="宋体"/>
          <w:color w:val="000000" w:themeColor="text1"/>
          <w:szCs w:val="28"/>
        </w:rPr>
        <w:t>4.</w:t>
      </w:r>
      <w:r>
        <w:rPr>
          <w:rFonts w:hint="eastAsia" w:ascii="宋体" w:hAnsi="宋体"/>
          <w:color w:val="000000" w:themeColor="text1"/>
          <w:szCs w:val="28"/>
          <w:lang w:val="en-US" w:eastAsia="zh-CN"/>
        </w:rPr>
        <w:t>2</w:t>
      </w:r>
      <w:r>
        <w:rPr>
          <w:rFonts w:hint="eastAsia" w:ascii="宋体" w:hAnsi="宋体"/>
          <w:color w:val="000000" w:themeColor="text1"/>
          <w:szCs w:val="28"/>
        </w:rPr>
        <w:t>“生产工艺及设备设施评价单元”</w:t>
      </w:r>
      <w:r>
        <w:rPr>
          <w:rFonts w:hint="eastAsia"/>
        </w:rPr>
        <w:t>分析评价可知：</w:t>
      </w:r>
      <w:bookmarkStart w:id="1355" w:name="_Toc128056457"/>
      <w:bookmarkStart w:id="1356" w:name="_Toc4014"/>
      <w:bookmarkStart w:id="1357" w:name="_Toc16518"/>
      <w:bookmarkStart w:id="1358" w:name="_Toc8959"/>
      <w:r>
        <w:rPr>
          <w:rFonts w:hint="eastAsia" w:ascii="宋体" w:hAnsi="宋体" w:cs="Tahoma"/>
          <w:color w:val="000000" w:themeColor="text1"/>
          <w:szCs w:val="28"/>
        </w:rPr>
        <w:t>氟化分公司</w:t>
      </w:r>
      <w:r>
        <w:rPr>
          <w:rFonts w:ascii="宋体" w:hAnsi="宋体" w:cs="Tahoma"/>
          <w:color w:val="000000" w:themeColor="text1"/>
          <w:szCs w:val="28"/>
        </w:rPr>
        <w:t>生产工艺</w:t>
      </w:r>
      <w:r>
        <w:rPr>
          <w:rFonts w:hint="eastAsia" w:ascii="宋体" w:hAnsi="宋体" w:cs="Tahoma"/>
          <w:color w:val="000000" w:themeColor="text1"/>
          <w:szCs w:val="28"/>
        </w:rPr>
        <w:t>、</w:t>
      </w:r>
      <w:r>
        <w:rPr>
          <w:rFonts w:ascii="宋体" w:hAnsi="宋体" w:cs="Tahoma"/>
          <w:color w:val="000000" w:themeColor="text1"/>
          <w:szCs w:val="28"/>
        </w:rPr>
        <w:t>设备为国内成熟工艺</w:t>
      </w:r>
      <w:r>
        <w:rPr>
          <w:rFonts w:hint="eastAsia" w:ascii="宋体" w:hAnsi="宋体" w:cs="Tahoma"/>
          <w:color w:val="000000" w:themeColor="text1"/>
          <w:szCs w:val="28"/>
        </w:rPr>
        <w:t>、设备生产，不属于国家明令禁止使用或淘汰的。生产设备为正规厂家生产，生产设施、设备安全维护符合相关要求，生产工艺过程及作业场所符合相关安全规范。</w:t>
      </w:r>
    </w:p>
    <w:p>
      <w:pPr>
        <w:topLinePunct/>
        <w:ind w:firstLine="560"/>
        <w:rPr>
          <w:rFonts w:ascii="宋体" w:hAnsi="宋体" w:cs="Tahoma"/>
          <w:color w:val="auto"/>
          <w:szCs w:val="28"/>
        </w:rPr>
      </w:pPr>
      <w:r>
        <w:rPr>
          <w:rFonts w:hint="eastAsia" w:ascii="宋体" w:hAnsi="宋体" w:cs="Tahoma"/>
          <w:color w:val="auto"/>
          <w:szCs w:val="28"/>
        </w:rPr>
        <w:t>根据作业条件危险性评价法评价知，生产过程中，中毒窒息、灼烫、机械伤害、爆炸、化学腐蚀为可能危险等级，粉尘、淹溺、触电、噪声为稍有危险等级；</w:t>
      </w:r>
      <w:r>
        <w:rPr>
          <w:rFonts w:hint="eastAsia" w:ascii="宋体" w:hAnsi="宋体" w:cs="Tahoma"/>
          <w:color w:val="auto"/>
          <w:szCs w:val="28"/>
        </w:rPr>
        <w:tab/>
      </w:r>
      <w:r>
        <w:rPr>
          <w:rFonts w:hint="eastAsia" w:ascii="宋体" w:hAnsi="宋体" w:cs="Tahoma"/>
          <w:color w:val="auto"/>
          <w:szCs w:val="28"/>
        </w:rPr>
        <w:t>其中若发生触电、淹溺事故，</w:t>
      </w:r>
      <w:r>
        <w:rPr>
          <w:rFonts w:hint="eastAsia" w:ascii="宋体" w:hAnsi="宋体" w:cs="Tahoma"/>
          <w:color w:val="auto"/>
          <w:szCs w:val="28"/>
          <w:lang w:val="en-US" w:eastAsia="zh-CN"/>
        </w:rPr>
        <w:t>机械伤害、</w:t>
      </w:r>
      <w:r>
        <w:rPr>
          <w:rFonts w:hint="eastAsia" w:ascii="宋体" w:hAnsi="宋体" w:cs="Tahoma"/>
          <w:color w:val="auto"/>
          <w:szCs w:val="28"/>
        </w:rPr>
        <w:t>灼烫</w:t>
      </w:r>
      <w:r>
        <w:rPr>
          <w:rFonts w:hint="eastAsia" w:ascii="宋体" w:hAnsi="宋体" w:cs="Tahoma"/>
          <w:color w:val="auto"/>
          <w:szCs w:val="28"/>
          <w:lang w:val="en-US" w:eastAsia="zh-CN"/>
        </w:rPr>
        <w:t>等</w:t>
      </w:r>
      <w:r>
        <w:rPr>
          <w:rFonts w:hint="eastAsia" w:ascii="宋体" w:hAnsi="宋体" w:cs="Tahoma"/>
          <w:color w:val="auto"/>
          <w:szCs w:val="28"/>
        </w:rPr>
        <w:t>可能造成人员伤亡，企业在生产过程中的安全工作予以高度重视，并</w:t>
      </w:r>
      <w:r>
        <w:rPr>
          <w:rFonts w:hint="eastAsia" w:ascii="宋体" w:hAnsi="宋体" w:cs="Tahoma"/>
          <w:color w:val="auto"/>
          <w:szCs w:val="28"/>
          <w:lang w:val="en-US" w:eastAsia="zh-CN"/>
        </w:rPr>
        <w:t>加强</w:t>
      </w:r>
      <w:r>
        <w:rPr>
          <w:rFonts w:hint="eastAsia" w:ascii="宋体" w:hAnsi="宋体" w:cs="Tahoma"/>
          <w:color w:val="auto"/>
          <w:szCs w:val="28"/>
        </w:rPr>
        <w:t>作业场所的安全管理，防微杜渐，严防事故的发生。日常还要加强设备维护管理、精心操作，杜绝违章作业；不断加强对操作人员的技术、技能培训，提高操作水平和危险自救互救能力。</w:t>
      </w:r>
    </w:p>
    <w:bookmarkEnd w:id="1355"/>
    <w:bookmarkEnd w:id="1356"/>
    <w:bookmarkEnd w:id="1357"/>
    <w:bookmarkEnd w:id="1358"/>
    <w:p>
      <w:pPr>
        <w:pStyle w:val="4"/>
        <w:keepNext w:val="0"/>
        <w:keepLines w:val="0"/>
        <w:ind w:firstLine="562"/>
        <w:rPr>
          <w:color w:val="000000" w:themeColor="text1"/>
        </w:rPr>
      </w:pPr>
      <w:bookmarkStart w:id="1359" w:name="_Toc31117"/>
      <w:bookmarkStart w:id="1360" w:name="_Toc31896"/>
      <w:bookmarkStart w:id="1361" w:name="_Toc15884"/>
      <w:bookmarkStart w:id="1362" w:name="_Toc12603"/>
      <w:bookmarkStart w:id="1363" w:name="_Toc10273"/>
      <w:bookmarkStart w:id="1364" w:name="_Toc10903"/>
      <w:bookmarkStart w:id="1365" w:name="_Toc3232"/>
      <w:bookmarkStart w:id="1366" w:name="_Toc24078"/>
      <w:bookmarkStart w:id="1367" w:name="_Toc3069"/>
      <w:bookmarkStart w:id="1368" w:name="_Toc26004"/>
      <w:bookmarkStart w:id="1369" w:name="_Toc11289"/>
      <w:bookmarkStart w:id="1370" w:name="_Toc13771"/>
      <w:bookmarkStart w:id="1371" w:name="_Toc2192"/>
      <w:bookmarkStart w:id="1372" w:name="_Toc10478"/>
      <w:bookmarkStart w:id="1373" w:name="_Toc20260"/>
      <w:bookmarkStart w:id="1374" w:name="_Toc11574"/>
      <w:bookmarkStart w:id="1375" w:name="_Toc975"/>
      <w:bookmarkStart w:id="1376" w:name="_Toc12889"/>
      <w:bookmarkStart w:id="1377" w:name="_Toc13203"/>
      <w:bookmarkStart w:id="1378" w:name="_Toc27373"/>
      <w:bookmarkStart w:id="1379" w:name="_Toc62740954"/>
      <w:bookmarkStart w:id="1380" w:name="_Toc27743"/>
      <w:bookmarkStart w:id="1381" w:name="_Toc26043"/>
      <w:bookmarkStart w:id="1382" w:name="_Toc128056458"/>
      <w:bookmarkStart w:id="1383" w:name="_Toc6366"/>
      <w:r>
        <w:rPr>
          <w:rFonts w:hint="eastAsia"/>
          <w:color w:val="000000" w:themeColor="text1"/>
        </w:rPr>
        <w:t>5.</w:t>
      </w:r>
      <w:r>
        <w:rPr>
          <w:rFonts w:hint="eastAsia"/>
          <w:color w:val="000000" w:themeColor="text1"/>
          <w:lang w:val="en-US" w:eastAsia="zh-CN"/>
        </w:rPr>
        <w:t>3</w:t>
      </w:r>
      <w:r>
        <w:rPr>
          <w:rFonts w:hint="eastAsia"/>
          <w:color w:val="000000" w:themeColor="text1"/>
        </w:rPr>
        <w:t>公用工程及辅助设施单元评价</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p>
    <w:p>
      <w:pPr>
        <w:ind w:firstLine="560"/>
      </w:pPr>
      <w:r>
        <w:rPr>
          <w:rFonts w:hint="eastAsia"/>
        </w:rPr>
        <w:t>根据报告附件</w:t>
      </w:r>
      <w:r>
        <w:rPr>
          <w:rFonts w:hint="eastAsia" w:ascii="宋体" w:hAnsi="宋体"/>
          <w:color w:val="000000" w:themeColor="text1"/>
          <w:szCs w:val="28"/>
        </w:rPr>
        <w:t>4.</w:t>
      </w:r>
      <w:r>
        <w:rPr>
          <w:rFonts w:hint="eastAsia"/>
          <w:lang w:val="en-US" w:eastAsia="zh-CN"/>
        </w:rPr>
        <w:t>3</w:t>
      </w:r>
      <w:r>
        <w:rPr>
          <w:rFonts w:hint="eastAsia" w:ascii="宋体" w:hAnsi="宋体"/>
          <w:color w:val="000000" w:themeColor="text1"/>
          <w:szCs w:val="28"/>
        </w:rPr>
        <w:t>“</w:t>
      </w:r>
      <w:r>
        <w:rPr>
          <w:rFonts w:hint="eastAsia"/>
        </w:rPr>
        <w:t>公用工程</w:t>
      </w:r>
      <w:r>
        <w:rPr>
          <w:rFonts w:hint="eastAsia" w:ascii="宋体" w:hAnsi="宋体"/>
          <w:color w:val="000000" w:themeColor="text1"/>
          <w:szCs w:val="28"/>
        </w:rPr>
        <w:t>及</w:t>
      </w:r>
      <w:r>
        <w:rPr>
          <w:rFonts w:hint="eastAsia"/>
        </w:rPr>
        <w:t>辅助</w:t>
      </w:r>
      <w:r>
        <w:rPr>
          <w:rFonts w:hint="eastAsia" w:ascii="宋体" w:hAnsi="宋体"/>
          <w:color w:val="000000" w:themeColor="text1"/>
          <w:szCs w:val="28"/>
        </w:rPr>
        <w:t>设施评价单元”</w:t>
      </w:r>
      <w:r>
        <w:rPr>
          <w:rFonts w:hint="eastAsia"/>
        </w:rPr>
        <w:t>分析评价可知：</w:t>
      </w:r>
    </w:p>
    <w:p>
      <w:pPr>
        <w:ind w:firstLine="560"/>
        <w:rPr>
          <w:color w:val="000000" w:themeColor="text1"/>
        </w:rPr>
      </w:pPr>
      <w:r>
        <w:rPr>
          <w:rFonts w:hint="eastAsia"/>
          <w:color w:val="000000" w:themeColor="text1"/>
        </w:rPr>
        <w:t>1）</w:t>
      </w:r>
      <w:r>
        <w:rPr>
          <w:rFonts w:hint="eastAsia"/>
          <w:color w:val="000000" w:themeColor="text1"/>
          <w:lang w:eastAsia="zh-CN"/>
        </w:rPr>
        <w:t>昆明合起工贸有限公司澄江氟化分公司</w:t>
      </w:r>
      <w:r>
        <w:rPr>
          <w:rFonts w:hint="eastAsia"/>
          <w:color w:val="000000" w:themeColor="text1"/>
        </w:rPr>
        <w:t>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ind w:firstLine="560"/>
        <w:rPr>
          <w:color w:val="000000" w:themeColor="text1"/>
        </w:rPr>
      </w:pPr>
      <w:r>
        <w:rPr>
          <w:rFonts w:hint="eastAsia"/>
          <w:color w:val="000000" w:themeColor="text1"/>
        </w:rPr>
        <w:t>2）</w:t>
      </w:r>
      <w:r>
        <w:rPr>
          <w:rFonts w:hint="eastAsia"/>
          <w:color w:val="000000" w:themeColor="text1"/>
          <w:lang w:eastAsia="zh-CN"/>
        </w:rPr>
        <w:t>昆明合起工贸有限公司澄江氟化分公司</w:t>
      </w:r>
      <w:r>
        <w:rPr>
          <w:rFonts w:hint="eastAsia"/>
          <w:color w:val="000000" w:themeColor="text1"/>
        </w:rPr>
        <w:t>的给排水系统均按国家相关的标准规范进行了安装、使用，符合《工业企业总平面设计规范》（GB50187-2012）等相关的规范要求，能满足生产的需要。</w:t>
      </w:r>
    </w:p>
    <w:p>
      <w:pPr>
        <w:ind w:firstLine="560"/>
        <w:rPr>
          <w:color w:val="000000" w:themeColor="text1"/>
        </w:rPr>
      </w:pPr>
      <w:r>
        <w:rPr>
          <w:rFonts w:hint="eastAsia"/>
          <w:color w:val="000000" w:themeColor="text1"/>
          <w:lang w:val="en-US" w:eastAsia="zh-CN"/>
        </w:rPr>
        <w:t>3）</w:t>
      </w:r>
      <w:r>
        <w:rPr>
          <w:rFonts w:hint="eastAsia"/>
          <w:color w:val="000000" w:themeColor="text1"/>
          <w:lang w:eastAsia="zh-CN"/>
        </w:rPr>
        <w:t>昆明合起工贸有限公司澄江氟化分公司</w:t>
      </w:r>
      <w:r>
        <w:rPr>
          <w:rFonts w:hint="eastAsia"/>
          <w:color w:val="000000" w:themeColor="text1"/>
        </w:rPr>
        <w:t>的消防设施符合《中华人民共和国消防法》（中华人民共和国主席令第81号）、《建筑灭火器配置设计规范》（GB50140-2005）、《建筑设计防火规范（2018年版）》（GB50016-2014）等规范的相关要求。</w:t>
      </w:r>
    </w:p>
    <w:p>
      <w:pPr>
        <w:pStyle w:val="4"/>
        <w:keepNext w:val="0"/>
        <w:keepLines w:val="0"/>
        <w:ind w:firstLine="562"/>
        <w:rPr>
          <w:color w:val="000000" w:themeColor="text1"/>
        </w:rPr>
      </w:pPr>
      <w:bookmarkStart w:id="1384" w:name="_Toc503269906"/>
      <w:bookmarkStart w:id="1385" w:name="_Toc31603"/>
      <w:bookmarkStart w:id="1386" w:name="_Toc7748"/>
      <w:bookmarkStart w:id="1387" w:name="_Toc7951"/>
      <w:bookmarkStart w:id="1388" w:name="_Toc21432"/>
      <w:bookmarkStart w:id="1389" w:name="_Toc4325"/>
      <w:bookmarkStart w:id="1390" w:name="_Toc13808"/>
      <w:bookmarkStart w:id="1391" w:name="_Toc27103"/>
      <w:bookmarkStart w:id="1392" w:name="_Toc26083"/>
      <w:bookmarkStart w:id="1393" w:name="_Toc25667"/>
      <w:bookmarkStart w:id="1394" w:name="_Toc3130"/>
      <w:bookmarkStart w:id="1395" w:name="_Toc6222"/>
      <w:bookmarkStart w:id="1396" w:name="_Toc19008"/>
      <w:bookmarkStart w:id="1397" w:name="_Toc17872"/>
      <w:bookmarkStart w:id="1398" w:name="_Toc29952"/>
      <w:bookmarkStart w:id="1399" w:name="_Toc11405"/>
      <w:bookmarkStart w:id="1400" w:name="_Toc12654"/>
      <w:bookmarkStart w:id="1401" w:name="_Toc24146"/>
      <w:bookmarkStart w:id="1402" w:name="_Toc4049"/>
      <w:bookmarkStart w:id="1403" w:name="_Toc23210"/>
      <w:bookmarkStart w:id="1404" w:name="_Toc7509"/>
      <w:bookmarkStart w:id="1405" w:name="_Toc128056464"/>
      <w:bookmarkStart w:id="1406" w:name="_Toc30209"/>
      <w:bookmarkStart w:id="1407" w:name="_Toc7636"/>
      <w:bookmarkStart w:id="1408" w:name="_Toc14167"/>
      <w:bookmarkStart w:id="1409" w:name="_Toc62740956"/>
      <w:r>
        <w:rPr>
          <w:rFonts w:hint="eastAsia"/>
          <w:color w:val="000000" w:themeColor="text1"/>
        </w:rPr>
        <w:t>5.</w:t>
      </w:r>
      <w:r>
        <w:rPr>
          <w:rFonts w:hint="eastAsia"/>
          <w:color w:val="000000" w:themeColor="text1"/>
          <w:lang w:val="en-US" w:eastAsia="zh-CN"/>
        </w:rPr>
        <w:t>4</w:t>
      </w:r>
      <w:r>
        <w:rPr>
          <w:rFonts w:hint="eastAsia"/>
          <w:color w:val="000000" w:themeColor="text1"/>
        </w:rPr>
        <w:t xml:space="preserve"> 安全管理及应急救援单元</w:t>
      </w:r>
      <w:bookmarkEnd w:id="1384"/>
      <w:r>
        <w:rPr>
          <w:rFonts w:hint="eastAsia"/>
          <w:color w:val="000000" w:themeColor="text1"/>
        </w:rPr>
        <w:t>评价结果</w:t>
      </w:r>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pPr>
        <w:ind w:firstLine="560"/>
      </w:pPr>
      <w:bookmarkStart w:id="1410" w:name="_Toc496104984"/>
      <w:bookmarkStart w:id="1411" w:name="_Toc503269907"/>
      <w:r>
        <w:rPr>
          <w:rFonts w:hint="eastAsia"/>
        </w:rPr>
        <w:t>根据报告附件</w:t>
      </w:r>
      <w:r>
        <w:rPr>
          <w:rFonts w:hint="eastAsia" w:ascii="宋体" w:hAnsi="宋体"/>
          <w:color w:val="000000" w:themeColor="text1"/>
          <w:szCs w:val="28"/>
        </w:rPr>
        <w:t>4.</w:t>
      </w:r>
      <w:r>
        <w:rPr>
          <w:rFonts w:hint="eastAsia"/>
          <w:lang w:val="en-US" w:eastAsia="zh-CN"/>
        </w:rPr>
        <w:t>4</w:t>
      </w:r>
      <w:r>
        <w:rPr>
          <w:rFonts w:hint="eastAsia" w:ascii="宋体" w:hAnsi="宋体"/>
          <w:color w:val="000000" w:themeColor="text1"/>
          <w:szCs w:val="28"/>
        </w:rPr>
        <w:t>“</w:t>
      </w:r>
      <w:r>
        <w:rPr>
          <w:rFonts w:hint="eastAsia"/>
        </w:rPr>
        <w:t>安全管理及应急救援</w:t>
      </w:r>
      <w:r>
        <w:rPr>
          <w:rFonts w:hint="eastAsia" w:ascii="宋体" w:hAnsi="宋体"/>
          <w:color w:val="000000" w:themeColor="text1"/>
          <w:szCs w:val="28"/>
        </w:rPr>
        <w:t>评价单元”</w:t>
      </w:r>
      <w:r>
        <w:rPr>
          <w:rFonts w:hint="eastAsia"/>
        </w:rPr>
        <w:t>分析评价可知：</w:t>
      </w:r>
    </w:p>
    <w:bookmarkEnd w:id="1410"/>
    <w:bookmarkEnd w:id="1411"/>
    <w:p>
      <w:pPr>
        <w:ind w:firstLine="560"/>
        <w:rPr>
          <w:rFonts w:ascii="宋体" w:hAnsi="宋体"/>
          <w:color w:val="000000" w:themeColor="text1"/>
          <w:szCs w:val="28"/>
        </w:rPr>
      </w:pPr>
      <w:r>
        <w:rPr>
          <w:rFonts w:hint="eastAsia" w:ascii="宋体" w:hAnsi="宋体"/>
          <w:color w:val="000000" w:themeColor="text1"/>
          <w:szCs w:val="28"/>
        </w:rPr>
        <w:t>氟化分公司主要负责人及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w:t>
      </w:r>
      <w:r>
        <w:rPr>
          <w:rFonts w:hint="eastAsia" w:ascii="宋体" w:hAnsi="宋体" w:cs="宋体"/>
          <w:szCs w:val="28"/>
        </w:rPr>
        <w:t>生产安全事故</w:t>
      </w:r>
      <w:r>
        <w:rPr>
          <w:rFonts w:hint="eastAsia" w:hAnsi="宋体"/>
          <w:color w:val="000000" w:themeColor="text1"/>
        </w:rPr>
        <w:t>应急预案并到应急管理局备案；</w:t>
      </w:r>
      <w:r>
        <w:rPr>
          <w:rFonts w:hint="eastAsia" w:ascii="宋体" w:hAnsi="宋体"/>
          <w:color w:val="000000" w:themeColor="text1"/>
          <w:szCs w:val="28"/>
        </w:rPr>
        <w:t>配备了应急器材及设施，并定期组织演练。</w:t>
      </w:r>
    </w:p>
    <w:p>
      <w:pPr>
        <w:pStyle w:val="4"/>
        <w:ind w:firstLine="562"/>
      </w:pPr>
      <w:bookmarkStart w:id="1412" w:name="_Toc16030"/>
      <w:bookmarkStart w:id="1413" w:name="_Toc23646"/>
      <w:bookmarkStart w:id="1414" w:name="_Toc3360"/>
      <w:bookmarkStart w:id="1415" w:name="_Toc4526"/>
      <w:bookmarkStart w:id="1416" w:name="_Toc30224"/>
      <w:bookmarkStart w:id="1417" w:name="_Toc28480"/>
      <w:bookmarkStart w:id="1418" w:name="_Toc11893"/>
      <w:bookmarkStart w:id="1419" w:name="_Toc2238"/>
      <w:bookmarkStart w:id="1420" w:name="_Toc23928"/>
      <w:bookmarkStart w:id="1421" w:name="_Toc17593"/>
      <w:bookmarkStart w:id="1422" w:name="_Toc7699"/>
      <w:bookmarkStart w:id="1423" w:name="_Toc8114"/>
      <w:bookmarkStart w:id="1424" w:name="_Toc2584"/>
      <w:bookmarkStart w:id="1425" w:name="_Toc15711"/>
      <w:bookmarkStart w:id="1426" w:name="_Toc11532"/>
      <w:bookmarkStart w:id="1427" w:name="_Toc26135"/>
      <w:bookmarkStart w:id="1428" w:name="_Toc31298"/>
      <w:bookmarkStart w:id="1429" w:name="_Toc31543"/>
      <w:bookmarkStart w:id="1430" w:name="_Toc4925"/>
      <w:bookmarkStart w:id="1431" w:name="_Toc22569"/>
      <w:r>
        <w:rPr>
          <w:rFonts w:hint="eastAsia"/>
        </w:rPr>
        <w:t>5.</w:t>
      </w:r>
      <w:r>
        <w:rPr>
          <w:rFonts w:hint="eastAsia"/>
          <w:lang w:val="en-US" w:eastAsia="zh-CN"/>
        </w:rPr>
        <w:t>5</w:t>
      </w:r>
      <w:r>
        <w:rPr>
          <w:rFonts w:hint="eastAsia"/>
        </w:rPr>
        <w:t xml:space="preserve"> 重大安全隐患判定符合性分析结果</w:t>
      </w:r>
      <w:bookmarkEnd w:id="1379"/>
      <w:bookmarkEnd w:id="1380"/>
      <w:bookmarkEnd w:id="1381"/>
      <w:bookmarkEnd w:id="1382"/>
      <w:bookmarkEnd w:id="1383"/>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p>
    <w:p>
      <w:pPr>
        <w:ind w:firstLine="560"/>
      </w:pPr>
      <w:r>
        <w:rPr>
          <w:rFonts w:hint="eastAsia"/>
        </w:rPr>
        <w:t>根据报告附件</w:t>
      </w:r>
      <w:r>
        <w:rPr>
          <w:rFonts w:hint="eastAsia" w:ascii="宋体" w:hAnsi="宋体"/>
          <w:color w:val="000000" w:themeColor="text1"/>
          <w:szCs w:val="28"/>
        </w:rPr>
        <w:t>4.</w:t>
      </w:r>
      <w:r>
        <w:rPr>
          <w:rFonts w:hint="eastAsia"/>
          <w:lang w:val="en-US" w:eastAsia="zh-CN"/>
        </w:rPr>
        <w:t>5</w:t>
      </w:r>
      <w:r>
        <w:rPr>
          <w:rFonts w:hint="eastAsia" w:ascii="宋体" w:hAnsi="宋体"/>
          <w:color w:val="000000" w:themeColor="text1"/>
          <w:szCs w:val="28"/>
        </w:rPr>
        <w:t>“</w:t>
      </w:r>
      <w:r>
        <w:rPr>
          <w:rFonts w:hint="eastAsia"/>
        </w:rPr>
        <w:t>重大安全隐患判定符合性分析</w:t>
      </w:r>
      <w:r>
        <w:rPr>
          <w:rFonts w:hint="eastAsia" w:ascii="宋体" w:hAnsi="宋体"/>
          <w:color w:val="000000" w:themeColor="text1"/>
          <w:szCs w:val="28"/>
        </w:rPr>
        <w:t>评价单元”</w:t>
      </w:r>
      <w:r>
        <w:rPr>
          <w:rFonts w:hint="eastAsia"/>
        </w:rPr>
        <w:t>分析评价可知：</w:t>
      </w:r>
      <w:bookmarkStart w:id="1432" w:name="_Toc128056465"/>
      <w:bookmarkStart w:id="1433" w:name="_Toc25543"/>
      <w:bookmarkStart w:id="1434" w:name="_Toc62740957"/>
      <w:bookmarkStart w:id="1435" w:name="_Toc15925"/>
      <w:bookmarkStart w:id="1436" w:name="_Toc8462"/>
      <w:bookmarkStart w:id="1437" w:name="_Toc496104985"/>
      <w:bookmarkStart w:id="1438" w:name="_Toc503269908"/>
      <w:r>
        <w:rPr>
          <w:rFonts w:hint="eastAsia"/>
          <w:color w:val="000000" w:themeColor="text1"/>
          <w:lang w:eastAsia="zh-CN"/>
        </w:rPr>
        <w:t>昆明合起工贸有限公司澄江氟化分公司</w:t>
      </w:r>
      <w:r>
        <w:rPr>
          <w:rFonts w:hint="eastAsia"/>
          <w:color w:val="000000" w:themeColor="text1"/>
        </w:rPr>
        <w:t>不存在《国家安全监管总局关于印发&lt;化工和危险化学品生产经营单位重大生产安全事故隐患判定标准（试行）&gt;的通知》（安监总管三[2017]121号）规定的重大事故隐患。</w:t>
      </w:r>
    </w:p>
    <w:p>
      <w:pPr>
        <w:pStyle w:val="4"/>
        <w:ind w:firstLine="562"/>
      </w:pPr>
      <w:bookmarkStart w:id="1439" w:name="_Toc19339"/>
      <w:bookmarkStart w:id="1440" w:name="_Toc29842"/>
      <w:bookmarkStart w:id="1441" w:name="_Toc9337"/>
      <w:bookmarkStart w:id="1442" w:name="_Toc2807"/>
      <w:bookmarkStart w:id="1443" w:name="_Toc24051"/>
      <w:bookmarkStart w:id="1444" w:name="_Toc29510"/>
      <w:bookmarkStart w:id="1445" w:name="_Toc15404"/>
      <w:bookmarkStart w:id="1446" w:name="_Toc23000"/>
      <w:bookmarkStart w:id="1447" w:name="_Toc30197"/>
      <w:bookmarkStart w:id="1448" w:name="_Toc32706"/>
      <w:bookmarkStart w:id="1449" w:name="_Toc30424"/>
      <w:bookmarkStart w:id="1450" w:name="_Toc29167"/>
      <w:bookmarkStart w:id="1451" w:name="_Toc10524"/>
      <w:bookmarkStart w:id="1452" w:name="_Toc11678"/>
      <w:bookmarkStart w:id="1453" w:name="_Toc29741"/>
      <w:bookmarkStart w:id="1454" w:name="_Toc24409"/>
      <w:bookmarkStart w:id="1455" w:name="_Toc12530"/>
      <w:bookmarkStart w:id="1456" w:name="_Toc13831"/>
      <w:bookmarkStart w:id="1457" w:name="_Toc31808"/>
      <w:bookmarkStart w:id="1458" w:name="_Toc9492"/>
      <w:r>
        <w:rPr>
          <w:rFonts w:hint="eastAsia"/>
        </w:rPr>
        <w:t>5.</w:t>
      </w:r>
      <w:r>
        <w:rPr>
          <w:rFonts w:hint="eastAsia"/>
          <w:lang w:val="en-US" w:eastAsia="zh-CN"/>
        </w:rPr>
        <w:t>6</w:t>
      </w:r>
      <w:r>
        <w:rPr>
          <w:rFonts w:hint="eastAsia"/>
        </w:rPr>
        <w:t>危险化学品生产单位申请换证条件单元评价结果</w:t>
      </w:r>
      <w:bookmarkEnd w:id="1432"/>
      <w:bookmarkEnd w:id="1433"/>
      <w:bookmarkEnd w:id="1434"/>
      <w:bookmarkEnd w:id="1435"/>
      <w:bookmarkEnd w:id="1436"/>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bookmarkEnd w:id="1437"/>
    <w:bookmarkEnd w:id="1438"/>
    <w:p>
      <w:pPr>
        <w:ind w:firstLine="560"/>
        <w:rPr>
          <w:color w:val="000000" w:themeColor="text1"/>
        </w:rPr>
      </w:pPr>
      <w:r>
        <w:rPr>
          <w:rFonts w:hint="eastAsia"/>
        </w:rPr>
        <w:t>根据报告附件</w:t>
      </w:r>
      <w:r>
        <w:rPr>
          <w:rFonts w:hint="eastAsia" w:ascii="宋体" w:hAnsi="宋体"/>
          <w:color w:val="000000" w:themeColor="text1"/>
          <w:szCs w:val="28"/>
        </w:rPr>
        <w:t>4.</w:t>
      </w:r>
      <w:r>
        <w:rPr>
          <w:rFonts w:hint="eastAsia"/>
          <w:lang w:val="en-US" w:eastAsia="zh-CN"/>
        </w:rPr>
        <w:t>6</w:t>
      </w:r>
      <w:r>
        <w:rPr>
          <w:rFonts w:hint="eastAsia" w:ascii="宋体" w:hAnsi="宋体"/>
          <w:color w:val="000000" w:themeColor="text1"/>
          <w:szCs w:val="28"/>
        </w:rPr>
        <w:t>“</w:t>
      </w:r>
      <w:r>
        <w:rPr>
          <w:rFonts w:hint="eastAsia"/>
          <w:bCs/>
        </w:rPr>
        <w:t>危险化学品生产单位申请换证条件</w:t>
      </w:r>
      <w:r>
        <w:rPr>
          <w:rFonts w:hint="eastAsia" w:ascii="宋体" w:hAnsi="宋体"/>
          <w:color w:val="000000" w:themeColor="text1"/>
          <w:szCs w:val="28"/>
        </w:rPr>
        <w:t>评价单元”</w:t>
      </w:r>
      <w:r>
        <w:rPr>
          <w:rFonts w:hint="eastAsia"/>
        </w:rPr>
        <w:t>分析评价可知：</w:t>
      </w:r>
      <w:r>
        <w:rPr>
          <w:rFonts w:hint="eastAsia"/>
          <w:color w:val="000000" w:themeColor="text1"/>
          <w:lang w:eastAsia="zh-CN"/>
        </w:rPr>
        <w:t>昆明合起工贸有限公司澄江氟化分公司</w:t>
      </w:r>
      <w:r>
        <w:rPr>
          <w:rFonts w:hint="eastAsia"/>
          <w:color w:val="000000" w:themeColor="text1"/>
        </w:rPr>
        <w:t>安全生产条件符合《危险化学品生产企业安全生产许可证实施办法》(</w:t>
      </w:r>
      <w:r>
        <w:rPr>
          <w:color w:val="000000" w:themeColor="text1"/>
        </w:rPr>
        <w:t>国家安全生产监督管理总局令第41号，第79号第一次修正，第89号第二次修正</w:t>
      </w:r>
      <w:r>
        <w:rPr>
          <w:rFonts w:hint="eastAsia"/>
          <w:color w:val="000000" w:themeColor="text1"/>
        </w:rPr>
        <w:t>)的相关要求。</w:t>
      </w:r>
    </w:p>
    <w:bookmarkEnd w:id="1285"/>
    <w:bookmarkEnd w:id="1286"/>
    <w:bookmarkEnd w:id="1287"/>
    <w:bookmarkEnd w:id="1288"/>
    <w:p>
      <w:pPr>
        <w:topLinePunct/>
        <w:ind w:firstLine="560"/>
        <w:rPr>
          <w:rFonts w:ascii="宋体" w:hAnsi="宋体"/>
          <w:color w:val="000000" w:themeColor="text1"/>
          <w:szCs w:val="28"/>
        </w:rPr>
      </w:pPr>
    </w:p>
    <w:p>
      <w:pPr>
        <w:pStyle w:val="3"/>
        <w:rPr>
          <w:rFonts w:ascii="宋体" w:hAnsi="宋体" w:eastAsia="宋体" w:cs="宋体"/>
          <w:b/>
          <w:bCs w:val="0"/>
          <w:color w:val="000000" w:themeColor="text1"/>
          <w:sz w:val="32"/>
          <w:szCs w:val="32"/>
        </w:rPr>
      </w:pPr>
      <w:bookmarkStart w:id="1459" w:name="_Toc740"/>
      <w:bookmarkStart w:id="1460" w:name="_Toc28904"/>
      <w:bookmarkStart w:id="1461" w:name="_Toc24911"/>
      <w:bookmarkStart w:id="1462" w:name="_Toc8607"/>
      <w:bookmarkStart w:id="1463" w:name="_Toc31937"/>
      <w:bookmarkStart w:id="1464" w:name="_Toc128056466"/>
      <w:bookmarkStart w:id="1465" w:name="_Toc9415"/>
      <w:bookmarkStart w:id="1466" w:name="_Toc15562"/>
      <w:bookmarkStart w:id="1467" w:name="_Toc18933"/>
      <w:bookmarkStart w:id="1468" w:name="_Toc10874"/>
      <w:bookmarkStart w:id="1469" w:name="_Toc21910"/>
      <w:bookmarkStart w:id="1470" w:name="_Toc31254"/>
      <w:bookmarkStart w:id="1471" w:name="_Toc1047"/>
      <w:bookmarkStart w:id="1472" w:name="_Toc20665"/>
      <w:bookmarkStart w:id="1473" w:name="_Toc9461"/>
      <w:bookmarkStart w:id="1474" w:name="_Toc11628"/>
      <w:bookmarkStart w:id="1475" w:name="_Toc21390"/>
      <w:bookmarkStart w:id="1476" w:name="_Toc4153"/>
      <w:bookmarkStart w:id="1477" w:name="_Toc14820"/>
      <w:bookmarkStart w:id="1478" w:name="_Toc21822"/>
      <w:bookmarkStart w:id="1479" w:name="_Toc22120"/>
      <w:bookmarkStart w:id="1480" w:name="_Toc29636"/>
      <w:bookmarkStart w:id="1481" w:name="_Toc14580"/>
      <w:bookmarkStart w:id="1482" w:name="_Toc11076"/>
      <w:bookmarkStart w:id="1483" w:name="_Toc503269909"/>
      <w:bookmarkStart w:id="1484" w:name="_Toc62740958"/>
      <w:r>
        <w:rPr>
          <w:rFonts w:hint="eastAsia" w:ascii="宋体" w:hAnsi="宋体" w:eastAsia="宋体" w:cs="宋体"/>
          <w:b/>
          <w:bCs w:val="0"/>
          <w:color w:val="000000" w:themeColor="text1"/>
          <w:sz w:val="32"/>
          <w:szCs w:val="32"/>
        </w:rPr>
        <w:t>6  可能发生事故后果预测结果</w:t>
      </w:r>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p>
    <w:p>
      <w:pPr>
        <w:pStyle w:val="2"/>
        <w:ind w:firstLine="560"/>
        <w:rPr>
          <w:b/>
          <w:bCs w:val="0"/>
          <w:sz w:val="32"/>
          <w:szCs w:val="32"/>
        </w:rPr>
      </w:pPr>
      <w:bookmarkStart w:id="1485" w:name="6.1可能发生的重大事故"/>
      <w:bookmarkEnd w:id="1485"/>
      <w:bookmarkStart w:id="1486" w:name="_bookmark132"/>
      <w:bookmarkEnd w:id="1486"/>
      <w:bookmarkStart w:id="1487" w:name="_Toc1102"/>
      <w:bookmarkStart w:id="1488" w:name="_Toc23337"/>
      <w:bookmarkStart w:id="1489" w:name="_Toc488"/>
      <w:bookmarkStart w:id="1490" w:name="_Toc118297957"/>
      <w:bookmarkStart w:id="1491" w:name="_Toc26538"/>
      <w:bookmarkStart w:id="1492" w:name="_Toc30965"/>
      <w:bookmarkStart w:id="1493" w:name="_Toc9565"/>
      <w:bookmarkStart w:id="1494" w:name="_Toc32276"/>
    </w:p>
    <w:p>
      <w:pPr>
        <w:pStyle w:val="4"/>
        <w:ind w:firstLine="562"/>
      </w:pPr>
      <w:bookmarkStart w:id="1495" w:name="_Toc22964"/>
      <w:bookmarkStart w:id="1496" w:name="_Toc638"/>
      <w:bookmarkStart w:id="1497" w:name="_Toc14734"/>
      <w:bookmarkStart w:id="1498" w:name="_Toc27248"/>
      <w:bookmarkStart w:id="1499" w:name="_Toc28806"/>
      <w:bookmarkStart w:id="1500" w:name="_Toc778"/>
      <w:bookmarkStart w:id="1501" w:name="_Toc31103"/>
      <w:bookmarkStart w:id="1502" w:name="_Toc18135"/>
      <w:bookmarkStart w:id="1503" w:name="_Toc26059"/>
      <w:bookmarkStart w:id="1504" w:name="_Toc16732"/>
      <w:bookmarkStart w:id="1505" w:name="_Toc30229"/>
      <w:bookmarkStart w:id="1506" w:name="_Toc17068"/>
      <w:bookmarkStart w:id="1507" w:name="_Toc4870"/>
      <w:r>
        <w:rPr>
          <w:rFonts w:hint="eastAsia"/>
        </w:rPr>
        <w:t xml:space="preserve">6.1 </w:t>
      </w:r>
      <w:r>
        <w:t>可能发生的重大事故</w:t>
      </w:r>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p>
    <w:p>
      <w:pPr>
        <w:ind w:firstLine="560"/>
      </w:pPr>
      <w:r>
        <w:t>通过对</w:t>
      </w:r>
      <w:r>
        <w:rPr>
          <w:rFonts w:hint="eastAsia"/>
        </w:rPr>
        <w:t>氟化分公司</w:t>
      </w:r>
      <w:r>
        <w:t>进行现场检查，</w:t>
      </w:r>
      <w:r>
        <w:rPr>
          <w:rFonts w:hint="eastAsia"/>
          <w:lang w:eastAsia="zh-CN"/>
        </w:rPr>
        <w:t>危险和有害因素</w:t>
      </w:r>
      <w:r>
        <w:t>辨识及参考一些事故案例及类比过程后，评价组认为</w:t>
      </w:r>
      <w:r>
        <w:rPr>
          <w:rFonts w:hint="eastAsia"/>
        </w:rPr>
        <w:t>氟化分公司</w:t>
      </w:r>
      <w:r>
        <w:t>在生产过程中可能发生的重大事故主要有：</w:t>
      </w:r>
      <w:r>
        <w:rPr>
          <w:rFonts w:hint="eastAsia" w:ascii="宋体" w:hAnsi="宋体" w:cs="Tahoma"/>
          <w:color w:val="auto"/>
          <w:szCs w:val="28"/>
        </w:rPr>
        <w:t>灼烫、机械伤害</w:t>
      </w:r>
      <w:r>
        <w:t>。</w:t>
      </w:r>
    </w:p>
    <w:p>
      <w:pPr>
        <w:pStyle w:val="4"/>
        <w:ind w:firstLine="562"/>
      </w:pPr>
      <w:bookmarkStart w:id="1508" w:name="6.2事故后果预测"/>
      <w:bookmarkEnd w:id="1508"/>
      <w:bookmarkStart w:id="1509" w:name="_bookmark133"/>
      <w:bookmarkEnd w:id="1509"/>
      <w:bookmarkStart w:id="1510" w:name="_Toc22406"/>
      <w:bookmarkStart w:id="1511" w:name="_Toc8261"/>
      <w:bookmarkStart w:id="1512" w:name="_Toc8136"/>
      <w:bookmarkStart w:id="1513" w:name="_Toc26705"/>
      <w:bookmarkStart w:id="1514" w:name="_Toc3387"/>
      <w:bookmarkStart w:id="1515" w:name="_Toc31449"/>
      <w:bookmarkStart w:id="1516" w:name="_Toc17174"/>
      <w:bookmarkStart w:id="1517" w:name="_Toc13220"/>
      <w:bookmarkStart w:id="1518" w:name="_Toc18121"/>
      <w:bookmarkStart w:id="1519" w:name="_Toc118297958"/>
      <w:bookmarkStart w:id="1520" w:name="_Toc7065"/>
      <w:bookmarkStart w:id="1521" w:name="_Toc14670"/>
      <w:bookmarkStart w:id="1522" w:name="_Toc20825"/>
      <w:bookmarkStart w:id="1523" w:name="_Toc12147"/>
      <w:bookmarkStart w:id="1524" w:name="_Toc7374"/>
      <w:bookmarkStart w:id="1525" w:name="_Toc20455"/>
      <w:bookmarkStart w:id="1526" w:name="_Toc11079"/>
      <w:bookmarkStart w:id="1527" w:name="_Toc272"/>
      <w:bookmarkStart w:id="1528" w:name="_Toc28213"/>
      <w:bookmarkStart w:id="1529" w:name="_Toc28141"/>
      <w:bookmarkStart w:id="1530" w:name="_Toc11930"/>
      <w:r>
        <w:rPr>
          <w:rFonts w:hint="eastAsia"/>
        </w:rPr>
        <w:t xml:space="preserve">6.2 </w:t>
      </w:r>
      <w:r>
        <w:t>事故后果预测</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p>
    <w:p>
      <w:pPr>
        <w:ind w:firstLine="560"/>
      </w:pPr>
      <w:r>
        <w:t>根据</w:t>
      </w:r>
      <w:r>
        <w:rPr>
          <w:rFonts w:hint="eastAsia"/>
        </w:rPr>
        <w:t>报告</w:t>
      </w:r>
      <w:r>
        <w:t>附件</w:t>
      </w:r>
      <w:r>
        <w:rPr>
          <w:rFonts w:hint="eastAsia"/>
        </w:rPr>
        <w:t>2.5.2“生产工艺及设备设施危险性分析”</w:t>
      </w:r>
      <w:r>
        <w:t>，本项目发生</w:t>
      </w:r>
      <w:r>
        <w:rPr>
          <w:rFonts w:hint="eastAsia"/>
        </w:rPr>
        <w:t>事故主要为</w:t>
      </w:r>
      <w:r>
        <w:rPr>
          <w:rFonts w:hint="eastAsia" w:ascii="宋体" w:hAnsi="宋体" w:cs="Tahoma"/>
          <w:color w:val="auto"/>
          <w:szCs w:val="28"/>
        </w:rPr>
        <w:t>灼烫、机械伤害</w:t>
      </w:r>
      <w:r>
        <w:rPr>
          <w:rFonts w:hint="eastAsia" w:ascii="宋体" w:hAnsi="宋体" w:cs="Tahoma"/>
          <w:color w:val="auto"/>
          <w:szCs w:val="28"/>
          <w:lang w:eastAsia="zh-CN"/>
        </w:rPr>
        <w:t>、</w:t>
      </w:r>
      <w:r>
        <w:rPr>
          <w:rFonts w:hint="eastAsia" w:ascii="宋体" w:hAnsi="宋体" w:cs="Tahoma"/>
          <w:color w:val="auto"/>
          <w:szCs w:val="28"/>
          <w:lang w:val="en-US" w:eastAsia="zh-CN"/>
        </w:rPr>
        <w:t>中毒和酸性腐蚀</w:t>
      </w:r>
      <w:r>
        <w:t>。</w:t>
      </w:r>
    </w:p>
    <w:p>
      <w:pPr>
        <w:ind w:firstLine="560"/>
      </w:pPr>
      <w:r>
        <w:t>本项目发生重大事故的后果分析见表6</w:t>
      </w:r>
      <w:r>
        <w:rPr>
          <w:rFonts w:hint="eastAsia"/>
        </w:rPr>
        <w:t>.2</w:t>
      </w:r>
      <w:r>
        <w:t>-1。</w:t>
      </w:r>
    </w:p>
    <w:p>
      <w:pPr>
        <w:pStyle w:val="89"/>
        <w:rPr>
          <w:sz w:val="24"/>
          <w:szCs w:val="24"/>
        </w:rPr>
      </w:pPr>
      <w:r>
        <w:rPr>
          <w:rFonts w:hint="eastAsia"/>
          <w:sz w:val="24"/>
          <w:szCs w:val="24"/>
        </w:rPr>
        <w:t>表6.2-1 重大事故后果定性分析表</w:t>
      </w:r>
    </w:p>
    <w:tbl>
      <w:tblPr>
        <w:tblStyle w:val="86"/>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2"/>
        <w:gridCol w:w="76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b/>
                <w:sz w:val="21"/>
                <w:szCs w:val="21"/>
                <w:lang w:eastAsia="en-US"/>
              </w:rPr>
            </w:pPr>
            <w:r>
              <w:rPr>
                <w:b/>
                <w:sz w:val="21"/>
                <w:szCs w:val="21"/>
                <w:lang w:eastAsia="en-US"/>
              </w:rPr>
              <w:t>事</w:t>
            </w:r>
            <w:r>
              <w:rPr>
                <w:rFonts w:hint="eastAsia"/>
                <w:b/>
                <w:sz w:val="21"/>
                <w:szCs w:val="21"/>
                <w:lang w:eastAsia="en-US"/>
              </w:rPr>
              <w:t xml:space="preserve"> </w:t>
            </w:r>
            <w:r>
              <w:rPr>
                <w:b/>
                <w:sz w:val="21"/>
                <w:szCs w:val="21"/>
                <w:lang w:eastAsia="en-US"/>
              </w:rPr>
              <w:t>故</w:t>
            </w:r>
            <w:r>
              <w:rPr>
                <w:rFonts w:hint="eastAsia"/>
                <w:b/>
                <w:sz w:val="21"/>
                <w:szCs w:val="21"/>
                <w:lang w:eastAsia="en-US"/>
              </w:rPr>
              <w:t xml:space="preserve"> </w:t>
            </w:r>
            <w:r>
              <w:rPr>
                <w:b/>
                <w:sz w:val="21"/>
                <w:szCs w:val="21"/>
                <w:lang w:eastAsia="en-US"/>
              </w:rPr>
              <w:t>可</w:t>
            </w:r>
            <w:r>
              <w:rPr>
                <w:rFonts w:hint="eastAsia"/>
                <w:b/>
                <w:sz w:val="21"/>
                <w:szCs w:val="21"/>
                <w:lang w:eastAsia="en-US"/>
              </w:rPr>
              <w:t xml:space="preserve"> </w:t>
            </w:r>
            <w:r>
              <w:rPr>
                <w:b/>
                <w:sz w:val="21"/>
                <w:szCs w:val="21"/>
                <w:lang w:eastAsia="en-US"/>
              </w:rPr>
              <w:t>能</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b/>
                <w:sz w:val="21"/>
                <w:szCs w:val="21"/>
                <w:lang w:eastAsia="en-US"/>
              </w:rPr>
            </w:pPr>
            <w:r>
              <w:rPr>
                <w:b/>
                <w:sz w:val="21"/>
                <w:szCs w:val="21"/>
                <w:lang w:eastAsia="en-US"/>
              </w:rPr>
              <w:t>后</w:t>
            </w:r>
            <w:r>
              <w:rPr>
                <w:rFonts w:hint="eastAsia"/>
                <w:b/>
                <w:sz w:val="21"/>
                <w:szCs w:val="21"/>
                <w:lang w:eastAsia="en-US"/>
              </w:rPr>
              <w:t xml:space="preserve">  </w:t>
            </w:r>
            <w:r>
              <w:rPr>
                <w:b/>
                <w:sz w:val="21"/>
                <w:szCs w:val="21"/>
                <w:lang w:eastAsia="en-US"/>
              </w:rPr>
              <w:t>果</w:t>
            </w:r>
            <w:r>
              <w:rPr>
                <w:rFonts w:hint="eastAsia"/>
                <w:b/>
                <w:sz w:val="21"/>
                <w:szCs w:val="21"/>
                <w:lang w:eastAsia="en-US"/>
              </w:rPr>
              <w:t xml:space="preserve">  </w:t>
            </w:r>
            <w:r>
              <w:rPr>
                <w:b/>
                <w:sz w:val="21"/>
                <w:szCs w:val="21"/>
                <w:lang w:eastAsia="en-US"/>
              </w:rPr>
              <w:t>预</w:t>
            </w:r>
            <w:r>
              <w:rPr>
                <w:rFonts w:hint="eastAsia"/>
                <w:b/>
                <w:sz w:val="21"/>
                <w:szCs w:val="21"/>
                <w:lang w:eastAsia="en-US"/>
              </w:rPr>
              <w:t xml:space="preserve">  </w:t>
            </w:r>
            <w:r>
              <w:rPr>
                <w:b/>
                <w:sz w:val="21"/>
                <w:szCs w:val="21"/>
                <w:lang w:eastAsia="en-US"/>
              </w:rPr>
              <w:t>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sz w:val="21"/>
                <w:szCs w:val="21"/>
                <w:lang w:eastAsia="en-US"/>
              </w:rPr>
            </w:pPr>
            <w:r>
              <w:rPr>
                <w:rFonts w:hint="eastAsia" w:ascii="宋体" w:hAnsi="宋体" w:cs="Tahoma"/>
                <w:color w:val="auto"/>
                <w:sz w:val="21"/>
                <w:szCs w:val="21"/>
              </w:rPr>
              <w:t>灼烫</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sz w:val="21"/>
                <w:szCs w:val="21"/>
                <w:lang w:eastAsia="en-US"/>
              </w:rPr>
            </w:pPr>
            <w:r>
              <w:rPr>
                <w:rFonts w:hint="eastAsia" w:ascii="宋体" w:hAnsi="宋体" w:cs="Arial"/>
                <w:color w:val="333333"/>
                <w:sz w:val="21"/>
                <w:szCs w:val="21"/>
              </w:rPr>
              <w:t>人员伤亡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hint="eastAsia" w:ascii="宋体" w:hAnsi="宋体" w:cs="Tahoma"/>
                <w:color w:val="auto"/>
                <w:sz w:val="21"/>
                <w:szCs w:val="21"/>
                <w:lang w:eastAsia="en-US"/>
              </w:rPr>
            </w:pPr>
            <w:bookmarkStart w:id="1531" w:name="_Toc128056467"/>
            <w:bookmarkStart w:id="1532" w:name="_Toc6983"/>
            <w:bookmarkStart w:id="1533" w:name="_Toc10967"/>
            <w:bookmarkStart w:id="1534" w:name="_Toc27372"/>
            <w:bookmarkStart w:id="1535" w:name="_Toc15323"/>
            <w:bookmarkStart w:id="1536" w:name="_Toc27241"/>
            <w:bookmarkStart w:id="1537" w:name="_Toc8018"/>
            <w:bookmarkStart w:id="1538" w:name="_Toc30960"/>
            <w:bookmarkStart w:id="1539" w:name="_Toc13587"/>
            <w:bookmarkStart w:id="1540" w:name="_Toc24010"/>
            <w:bookmarkStart w:id="1541" w:name="_Toc24895"/>
            <w:r>
              <w:rPr>
                <w:rFonts w:hint="eastAsia" w:ascii="宋体" w:hAnsi="宋体" w:cs="Tahoma"/>
                <w:color w:val="auto"/>
                <w:sz w:val="21"/>
                <w:szCs w:val="21"/>
              </w:rPr>
              <w:t>机械伤害</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hint="eastAsia" w:cs="宋体"/>
                <w:sz w:val="21"/>
                <w:szCs w:val="21"/>
                <w:lang w:eastAsia="zh-CN"/>
              </w:rPr>
            </w:pPr>
            <w:r>
              <w:rPr>
                <w:rFonts w:hint="eastAsia" w:ascii="宋体" w:hAnsi="宋体" w:cs="宋体"/>
                <w:sz w:val="21"/>
                <w:szCs w:val="21"/>
              </w:rPr>
              <w:t>主要对人体引起挤压、碰撞、冲击、剪切、卷入、绞绕、甩出、切割、切断、刺扎等伤害，受伤者轻则皮肉受伤，重则伤筋动骨、断肢致残，甚至危及生命。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hint="eastAsia" w:ascii="宋体" w:hAnsi="宋体" w:eastAsia="宋体" w:cs="Tahoma"/>
                <w:color w:val="auto"/>
                <w:sz w:val="21"/>
                <w:szCs w:val="21"/>
                <w:lang w:val="en-US" w:eastAsia="zh-CN"/>
              </w:rPr>
            </w:pPr>
            <w:r>
              <w:rPr>
                <w:rFonts w:hint="eastAsia" w:ascii="宋体" w:hAnsi="宋体" w:cs="Tahoma"/>
                <w:color w:val="auto"/>
                <w:sz w:val="21"/>
                <w:szCs w:val="21"/>
                <w:lang w:val="en-US" w:eastAsia="zh-CN"/>
              </w:rPr>
              <w:t>中毒</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hint="eastAsia" w:ascii="宋体" w:hAnsi="宋体" w:cs="宋体"/>
                <w:sz w:val="21"/>
                <w:szCs w:val="21"/>
              </w:rPr>
            </w:pPr>
            <w:r>
              <w:rPr>
                <w:rFonts w:hint="eastAsia" w:ascii="宋体" w:hAnsi="宋体" w:cs="宋体"/>
                <w:sz w:val="21"/>
                <w:szCs w:val="21"/>
              </w:rPr>
              <w:t>可引起眼及呼吸道黏膜刺激症状,严重者可发生支气管炎、肺炎或肺水肿,甚至发生反射性窒息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hint="default" w:ascii="宋体" w:hAnsi="宋体" w:eastAsia="宋体" w:cs="Tahoma"/>
                <w:color w:val="auto"/>
                <w:sz w:val="21"/>
                <w:szCs w:val="21"/>
                <w:lang w:val="en-US" w:eastAsia="zh-CN"/>
              </w:rPr>
            </w:pPr>
            <w:r>
              <w:rPr>
                <w:rFonts w:hint="eastAsia" w:ascii="宋体" w:hAnsi="宋体" w:cs="Tahoma"/>
                <w:color w:val="auto"/>
                <w:sz w:val="21"/>
                <w:szCs w:val="21"/>
                <w:lang w:val="en-US" w:eastAsia="zh-CN"/>
              </w:rPr>
              <w:t>酸性腐蚀</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hint="eastAsia" w:ascii="宋体" w:hAnsi="宋体" w:cs="宋体"/>
                <w:sz w:val="21"/>
                <w:szCs w:val="21"/>
              </w:rPr>
            </w:pPr>
            <w:r>
              <w:rPr>
                <w:rFonts w:hint="eastAsia" w:ascii="宋体" w:hAnsi="宋体" w:cs="宋体"/>
                <w:sz w:val="21"/>
                <w:szCs w:val="21"/>
              </w:rPr>
              <w:t>能引起人体组织灼伤或使组织坏死</w:t>
            </w:r>
          </w:p>
        </w:tc>
      </w:tr>
    </w:tbl>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560"/>
      </w:pPr>
    </w:p>
    <w:p>
      <w:pPr>
        <w:pStyle w:val="2"/>
        <w:ind w:firstLine="0" w:firstLineChars="0"/>
      </w:pPr>
    </w:p>
    <w:p>
      <w:pPr>
        <w:pStyle w:val="3"/>
        <w:widowControl w:val="0"/>
        <w:kinsoku/>
        <w:wordWrap/>
        <w:overflowPunct/>
        <w:topLinePunct w:val="0"/>
        <w:autoSpaceDE/>
        <w:autoSpaceDN/>
        <w:bidi w:val="0"/>
        <w:adjustRightInd w:val="0"/>
        <w:snapToGrid w:val="0"/>
        <w:jc w:val="center"/>
        <w:textAlignment w:val="auto"/>
        <w:rPr>
          <w:rFonts w:ascii="宋体" w:hAnsi="宋体" w:eastAsia="宋体" w:cs="宋体"/>
          <w:b/>
          <w:bCs w:val="0"/>
          <w:sz w:val="32"/>
          <w:szCs w:val="32"/>
        </w:rPr>
      </w:pPr>
      <w:bookmarkStart w:id="1542" w:name="_Toc12102"/>
      <w:bookmarkStart w:id="1543" w:name="_Toc31300"/>
      <w:bookmarkStart w:id="1544" w:name="_Toc26525"/>
      <w:bookmarkStart w:id="1545" w:name="_Toc24000"/>
      <w:bookmarkStart w:id="1546" w:name="_Toc1203"/>
      <w:bookmarkStart w:id="1547" w:name="_Toc23920"/>
      <w:bookmarkStart w:id="1548" w:name="_Toc25446"/>
      <w:bookmarkStart w:id="1549" w:name="_Toc23851"/>
      <w:bookmarkStart w:id="1550" w:name="_Toc27577"/>
      <w:bookmarkStart w:id="1551" w:name="_Toc18370"/>
      <w:bookmarkStart w:id="1552" w:name="_Toc32079"/>
      <w:bookmarkStart w:id="1553" w:name="_Toc12403"/>
      <w:bookmarkStart w:id="1554" w:name="_Toc3333"/>
      <w:r>
        <w:rPr>
          <w:rFonts w:hint="eastAsia" w:ascii="宋体" w:hAnsi="宋体" w:eastAsia="宋体" w:cs="宋体"/>
          <w:b/>
          <w:bCs w:val="0"/>
          <w:sz w:val="32"/>
          <w:szCs w:val="32"/>
        </w:rPr>
        <w:t>7  存在问题、建议及整改情况、安全对策措施</w:t>
      </w:r>
      <w:bookmarkEnd w:id="1483"/>
      <w:r>
        <w:rPr>
          <w:rFonts w:hint="eastAsia" w:ascii="宋体" w:hAnsi="宋体" w:eastAsia="宋体" w:cs="宋体"/>
          <w:b/>
          <w:bCs w:val="0"/>
          <w:sz w:val="32"/>
          <w:szCs w:val="32"/>
        </w:rPr>
        <w:t>与建议和结论</w:t>
      </w:r>
      <w:bookmarkEnd w:id="1484"/>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p>
    <w:p>
      <w:pPr>
        <w:pStyle w:val="2"/>
        <w:widowControl w:val="0"/>
        <w:kinsoku/>
        <w:wordWrap/>
        <w:overflowPunct/>
        <w:topLinePunct w:val="0"/>
        <w:autoSpaceDE/>
        <w:autoSpaceDN/>
        <w:bidi w:val="0"/>
        <w:adjustRightInd w:val="0"/>
        <w:snapToGrid w:val="0"/>
        <w:ind w:firstLine="560"/>
        <w:jc w:val="center"/>
        <w:textAlignment w:val="auto"/>
        <w:rPr>
          <w:b/>
          <w:bCs w:val="0"/>
          <w:sz w:val="32"/>
          <w:szCs w:val="32"/>
        </w:rPr>
      </w:pPr>
      <w:bookmarkStart w:id="1555" w:name="_Toc84"/>
      <w:bookmarkStart w:id="1556" w:name="_Toc19627"/>
      <w:bookmarkStart w:id="1557" w:name="_Toc24481"/>
      <w:bookmarkStart w:id="1558" w:name="_Toc503269910"/>
      <w:bookmarkStart w:id="1559" w:name="_Toc19159"/>
      <w:bookmarkStart w:id="1560" w:name="_Toc19211"/>
      <w:bookmarkStart w:id="1561" w:name="_Toc8096"/>
      <w:bookmarkStart w:id="1562" w:name="_Toc62740959"/>
      <w:bookmarkStart w:id="1563" w:name="_Toc23216"/>
      <w:bookmarkStart w:id="1564" w:name="_Toc17127"/>
      <w:bookmarkStart w:id="1565" w:name="_Toc464803681"/>
      <w:bookmarkStart w:id="1566" w:name="_Toc128056468"/>
      <w:bookmarkStart w:id="1567" w:name="_Toc31993"/>
      <w:bookmarkStart w:id="1568" w:name="_Toc8216"/>
    </w:p>
    <w:p>
      <w:pPr>
        <w:pStyle w:val="4"/>
        <w:ind w:firstLine="562"/>
        <w:rPr>
          <w:color w:val="000000" w:themeColor="text1"/>
        </w:rPr>
      </w:pPr>
      <w:bookmarkStart w:id="1569" w:name="_Toc27148"/>
      <w:bookmarkStart w:id="1570" w:name="_Toc16260"/>
      <w:bookmarkStart w:id="1571" w:name="_Toc402"/>
      <w:bookmarkStart w:id="1572" w:name="_Toc31832"/>
      <w:bookmarkStart w:id="1573" w:name="_Toc2621"/>
      <w:bookmarkStart w:id="1574" w:name="_Toc12326"/>
      <w:bookmarkStart w:id="1575" w:name="_Toc79"/>
      <w:bookmarkStart w:id="1576" w:name="_Toc29128"/>
      <w:bookmarkStart w:id="1577" w:name="_Toc4631"/>
      <w:bookmarkStart w:id="1578" w:name="_Toc15378"/>
      <w:bookmarkStart w:id="1579" w:name="_Toc6949"/>
      <w:bookmarkStart w:id="1580" w:name="_Toc11204"/>
      <w:bookmarkStart w:id="1581" w:name="_Toc18355"/>
      <w:r>
        <w:rPr>
          <w:rFonts w:hint="eastAsia"/>
          <w:color w:val="000000" w:themeColor="text1"/>
        </w:rPr>
        <w:t>7.1 主要存在问题及整改情况说明</w:t>
      </w:r>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p>
    <w:p>
      <w:pPr>
        <w:pStyle w:val="5"/>
        <w:ind w:firstLine="562"/>
      </w:pPr>
      <w:bookmarkStart w:id="1582" w:name="_Toc32411"/>
      <w:bookmarkStart w:id="1583" w:name="_Toc32373"/>
      <w:bookmarkStart w:id="1584" w:name="_Toc2426"/>
      <w:bookmarkStart w:id="1585" w:name="_Toc18610"/>
      <w:bookmarkStart w:id="1586" w:name="_Toc26372"/>
      <w:bookmarkStart w:id="1587" w:name="_Toc30146"/>
      <w:bookmarkStart w:id="1588" w:name="_Toc8505"/>
      <w:bookmarkStart w:id="1589" w:name="_Toc24756"/>
      <w:bookmarkStart w:id="1590" w:name="_Toc25182"/>
      <w:bookmarkStart w:id="1591" w:name="_Toc31483"/>
      <w:bookmarkStart w:id="1592" w:name="_Toc128056469"/>
      <w:bookmarkStart w:id="1593" w:name="_Toc9485"/>
      <w:bookmarkStart w:id="1594" w:name="_Toc12321"/>
      <w:bookmarkStart w:id="1595" w:name="_Toc22413"/>
      <w:r>
        <w:rPr>
          <w:rFonts w:hint="eastAsia"/>
        </w:rPr>
        <w:t>7.1.1 主要存在问题</w:t>
      </w:r>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p>
    <w:p>
      <w:pPr>
        <w:ind w:firstLine="560"/>
      </w:pPr>
      <w:r>
        <w:rPr>
          <w:rFonts w:hint="eastAsia"/>
        </w:rPr>
        <w:t>经评价组9月23日现场检查及分单元分析评价，梳理出该项目还存在以下主要问题：</w:t>
      </w:r>
    </w:p>
    <w:p>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u w:val="none" w:color="auto"/>
          <w:lang w:val="en-US" w:eastAsia="zh-CN"/>
        </w:rPr>
      </w:pPr>
      <w:bookmarkStart w:id="1596" w:name="_Toc32695"/>
      <w:bookmarkStart w:id="1597" w:name="_Toc163"/>
      <w:bookmarkStart w:id="1598" w:name="_Toc6443"/>
      <w:bookmarkStart w:id="1599" w:name="_Toc20028"/>
      <w:bookmarkStart w:id="1600" w:name="_Toc14202"/>
      <w:bookmarkStart w:id="1601" w:name="_Toc128056470"/>
      <w:bookmarkStart w:id="1602" w:name="_Toc27242"/>
      <w:bookmarkStart w:id="1603" w:name="_Toc26689"/>
      <w:bookmarkStart w:id="1604" w:name="_Toc6657"/>
      <w:bookmarkStart w:id="1605" w:name="_Toc6548"/>
      <w:r>
        <w:rPr>
          <w:rFonts w:hint="eastAsia" w:ascii="宋体" w:hAnsi="宋体" w:eastAsia="宋体" w:cs="宋体"/>
          <w:sz w:val="28"/>
          <w:szCs w:val="28"/>
          <w:u w:val="none" w:color="auto"/>
          <w:lang w:val="en-US" w:eastAsia="zh-CN"/>
        </w:rPr>
        <w:t>1</w:t>
      </w:r>
      <w:r>
        <w:rPr>
          <w:rFonts w:hint="eastAsia" w:hAnsi="宋体" w:cs="宋体"/>
          <w:sz w:val="28"/>
          <w:szCs w:val="28"/>
          <w:u w:val="none" w:color="auto"/>
          <w:lang w:val="en-US" w:eastAsia="zh-CN"/>
        </w:rPr>
        <w:t>）</w:t>
      </w:r>
      <w:r>
        <w:rPr>
          <w:rFonts w:hint="eastAsia" w:hAnsi="宋体" w:eastAsia="宋体" w:cs="宋体"/>
          <w:sz w:val="28"/>
          <w:szCs w:val="28"/>
          <w:u w:val="none" w:color="auto"/>
          <w:lang w:val="en-US" w:eastAsia="zh-CN"/>
        </w:rPr>
        <w:t>电机风扇罩损坏；</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rPr>
      </w:pPr>
      <w:r>
        <w:rPr>
          <w:rFonts w:hint="eastAsia" w:hAnsi="宋体" w:cs="宋体"/>
          <w:sz w:val="28"/>
          <w:szCs w:val="28"/>
          <w:u w:val="none" w:color="auto"/>
          <w:lang w:val="en-US" w:eastAsia="zh-CN"/>
        </w:rPr>
        <w:t>2）</w:t>
      </w:r>
      <w:r>
        <w:rPr>
          <w:rFonts w:hint="eastAsia" w:hAnsi="宋体" w:eastAsia="宋体" w:cs="宋体"/>
          <w:sz w:val="28"/>
          <w:szCs w:val="28"/>
          <w:u w:val="none" w:color="auto"/>
          <w:lang w:val="en-US" w:eastAsia="zh-CN"/>
        </w:rPr>
        <w:t>物品堆放不符合规范要求：</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hAnsi="宋体" w:eastAsia="宋体" w:cs="宋体"/>
          <w:sz w:val="28"/>
          <w:szCs w:val="28"/>
          <w:u w:val="none" w:color="auto"/>
          <w:lang w:val="en-US" w:eastAsia="zh-CN"/>
        </w:rPr>
      </w:pPr>
      <w:r>
        <w:rPr>
          <w:rFonts w:hint="eastAsia" w:hAnsi="宋体" w:cs="宋体"/>
          <w:b w:val="0"/>
          <w:bCs w:val="0"/>
          <w:sz w:val="28"/>
          <w:szCs w:val="28"/>
          <w:u w:val="none" w:color="auto"/>
          <w:lang w:val="en-US" w:eastAsia="zh-CN"/>
        </w:rPr>
        <w:t>3）</w:t>
      </w:r>
      <w:r>
        <w:rPr>
          <w:rFonts w:hint="eastAsia" w:hAnsi="宋体" w:eastAsia="宋体" w:cs="宋体"/>
          <w:b w:val="0"/>
          <w:bCs w:val="0"/>
          <w:sz w:val="28"/>
          <w:szCs w:val="28"/>
          <w:u w:val="none" w:color="auto"/>
          <w:lang w:val="en-US" w:eastAsia="zh-CN"/>
        </w:rPr>
        <w:t>现场不用的配电柜处电源线零乱</w:t>
      </w:r>
      <w:r>
        <w:rPr>
          <w:rFonts w:hint="eastAsia" w:hAnsi="宋体" w:eastAsia="宋体" w:cs="宋体"/>
          <w:sz w:val="28"/>
          <w:szCs w:val="28"/>
          <w:u w:val="none" w:color="auto"/>
          <w:lang w:val="en-US" w:eastAsia="zh-CN"/>
        </w:rPr>
        <w:t>；</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hAnsi="宋体" w:eastAsia="宋体" w:cs="宋体"/>
          <w:sz w:val="28"/>
          <w:szCs w:val="28"/>
          <w:u w:val="none" w:color="auto"/>
          <w:lang w:val="en-US" w:eastAsia="zh-CN"/>
        </w:rPr>
      </w:pPr>
      <w:r>
        <w:rPr>
          <w:rFonts w:hint="eastAsia" w:hAnsi="宋体" w:cs="宋体"/>
          <w:sz w:val="28"/>
          <w:szCs w:val="28"/>
          <w:u w:val="none" w:color="auto"/>
          <w:lang w:val="en-US" w:eastAsia="zh-CN"/>
        </w:rPr>
        <w:t>4）</w:t>
      </w:r>
      <w:r>
        <w:rPr>
          <w:rFonts w:hint="eastAsia" w:hAnsi="宋体" w:eastAsia="宋体" w:cs="宋体"/>
          <w:sz w:val="28"/>
          <w:szCs w:val="28"/>
          <w:u w:val="none" w:color="auto"/>
          <w:lang w:val="en-US" w:eastAsia="zh-CN"/>
        </w:rPr>
        <w:t>开关箱内电源线零乱，无漏电保护装置，未可靠接地</w:t>
      </w:r>
      <w:r>
        <w:rPr>
          <w:rFonts w:hint="eastAsia" w:hAnsi="宋体" w:cs="宋体"/>
          <w:sz w:val="28"/>
          <w:szCs w:val="28"/>
          <w:u w:val="none" w:color="auto"/>
          <w:lang w:val="en-US" w:eastAsia="zh-CN"/>
        </w:rPr>
        <w:t>，</w:t>
      </w:r>
      <w:r>
        <w:rPr>
          <w:rFonts w:hint="eastAsia" w:hAnsi="宋体" w:eastAsia="宋体" w:cs="宋体"/>
          <w:sz w:val="28"/>
          <w:szCs w:val="28"/>
          <w:u w:val="none" w:color="auto"/>
          <w:lang w:val="en-US" w:eastAsia="zh-CN"/>
        </w:rPr>
        <w:t>摆放临时用电插座</w:t>
      </w:r>
      <w:r>
        <w:rPr>
          <w:rFonts w:hint="eastAsia" w:hAnsi="宋体" w:cs="宋体"/>
          <w:sz w:val="28"/>
          <w:szCs w:val="28"/>
          <w:u w:val="none" w:color="auto"/>
          <w:lang w:val="en-US" w:eastAsia="zh-CN"/>
        </w:rPr>
        <w:t>。</w:t>
      </w:r>
    </w:p>
    <w:p>
      <w:pPr>
        <w:pStyle w:val="5"/>
        <w:ind w:firstLine="562"/>
      </w:pPr>
      <w:bookmarkStart w:id="1606" w:name="_Toc25480"/>
      <w:bookmarkStart w:id="1607" w:name="_Toc4669"/>
      <w:bookmarkStart w:id="1608" w:name="_Toc5799"/>
      <w:bookmarkStart w:id="1609" w:name="_Toc2403"/>
      <w:r>
        <w:rPr>
          <w:rFonts w:hint="eastAsia"/>
        </w:rPr>
        <w:t>7.1.2 整改建议及整改情况说明</w:t>
      </w:r>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p>
    <w:p>
      <w:pPr>
        <w:topLinePunct/>
        <w:ind w:firstLine="560"/>
        <w:rPr>
          <w:rFonts w:ascii="宋体" w:hAnsi="宋体"/>
          <w:color w:val="000000" w:themeColor="text1"/>
        </w:rPr>
      </w:pPr>
      <w:r>
        <w:rPr>
          <w:rFonts w:hint="eastAsia" w:ascii="宋体" w:hAnsi="宋体"/>
          <w:color w:val="000000" w:themeColor="text1"/>
        </w:rPr>
        <w:t>氟化分公司针对现场存在的安全隐患，积极组织了相关人员进行整改，于10月25日完成整改。具体整改情况如下：</w:t>
      </w:r>
    </w:p>
    <w:p>
      <w:pPr>
        <w:topLinePunct/>
        <w:ind w:firstLine="560"/>
        <w:rPr>
          <w:rFonts w:ascii="宋体" w:hAnsi="宋体"/>
          <w:color w:val="000000" w:themeColor="text1"/>
        </w:rPr>
      </w:pPr>
      <w:r>
        <w:rPr>
          <w:rFonts w:hint="eastAsia" w:ascii="宋体" w:hAnsi="宋体"/>
          <w:color w:val="000000" w:themeColor="text1"/>
        </w:rPr>
        <w:t>1）现场整改情况</w:t>
      </w:r>
    </w:p>
    <w:p>
      <w:pPr>
        <w:pStyle w:val="89"/>
        <w:rPr>
          <w:sz w:val="24"/>
          <w:szCs w:val="24"/>
        </w:rPr>
      </w:pPr>
      <w:r>
        <w:rPr>
          <w:rFonts w:hint="eastAsia"/>
          <w:sz w:val="24"/>
          <w:szCs w:val="24"/>
        </w:rPr>
        <w:t>表7.1-1 现场安全隐患整改情况一览表</w:t>
      </w:r>
    </w:p>
    <w:tbl>
      <w:tblPr>
        <w:tblStyle w:val="36"/>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2832"/>
        <w:gridCol w:w="1134"/>
        <w:gridCol w:w="2268"/>
        <w:gridCol w:w="1077"/>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blHeader/>
          <w:jc w:val="center"/>
        </w:trPr>
        <w:tc>
          <w:tcPr>
            <w:tcW w:w="680"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序号</w:t>
            </w:r>
          </w:p>
        </w:tc>
        <w:tc>
          <w:tcPr>
            <w:tcW w:w="2832"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现场存在的安全隐患</w:t>
            </w:r>
          </w:p>
        </w:tc>
        <w:tc>
          <w:tcPr>
            <w:tcW w:w="1134"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隐患等级</w:t>
            </w:r>
          </w:p>
        </w:tc>
        <w:tc>
          <w:tcPr>
            <w:tcW w:w="2268"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整 改 措 施</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整改情况</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b/>
                <w:color w:val="000000" w:themeColor="text1"/>
                <w:sz w:val="21"/>
                <w:szCs w:val="21"/>
              </w:rPr>
            </w:pPr>
            <w:r>
              <w:rPr>
                <w:rFonts w:hint="eastAsia" w:ascii="宋体" w:hAnsi="宋体" w:eastAsia="宋体" w:cs="宋体"/>
                <w:b/>
                <w:color w:val="000000" w:themeColor="text1"/>
                <w:sz w:val="21"/>
                <w:szCs w:val="21"/>
              </w:rPr>
              <w:t>整改结论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1</w:t>
            </w:r>
          </w:p>
        </w:tc>
        <w:tc>
          <w:tcPr>
            <w:tcW w:w="2832"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sz w:val="21"/>
                <w:szCs w:val="21"/>
                <w:u w:val="none" w:color="auto"/>
                <w:lang w:val="en-US" w:eastAsia="zh-CN"/>
              </w:rPr>
              <w:t>电机风扇罩损坏；</w:t>
            </w:r>
          </w:p>
        </w:tc>
        <w:tc>
          <w:tcPr>
            <w:tcW w:w="1134"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一般隐患</w:t>
            </w:r>
          </w:p>
        </w:tc>
        <w:tc>
          <w:tcPr>
            <w:tcW w:w="2268"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sz w:val="21"/>
                <w:szCs w:val="21"/>
                <w:u w:val="none" w:color="auto"/>
                <w:lang w:val="en-US" w:eastAsia="zh-CN"/>
              </w:rPr>
              <w:t>更换损坏的电机风扇罩。</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已整改</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2</w:t>
            </w:r>
          </w:p>
        </w:tc>
        <w:tc>
          <w:tcPr>
            <w:tcW w:w="2832"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sz w:val="21"/>
                <w:szCs w:val="21"/>
                <w:u w:val="none" w:color="auto"/>
                <w:lang w:val="en-US" w:eastAsia="zh-CN"/>
              </w:rPr>
              <w:t>物品堆放不符合规范要求：</w:t>
            </w:r>
          </w:p>
        </w:tc>
        <w:tc>
          <w:tcPr>
            <w:tcW w:w="1134"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一般隐患</w:t>
            </w:r>
          </w:p>
        </w:tc>
        <w:tc>
          <w:tcPr>
            <w:tcW w:w="2268"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b w:val="0"/>
                <w:bCs w:val="0"/>
                <w:sz w:val="21"/>
                <w:szCs w:val="21"/>
                <w:u w:val="none" w:color="auto"/>
                <w:lang w:val="en-US" w:eastAsia="zh-CN"/>
              </w:rPr>
              <w:t>按规范要求堆放</w:t>
            </w:r>
            <w:r>
              <w:rPr>
                <w:rFonts w:hint="eastAsia" w:ascii="宋体" w:hAnsi="宋体" w:eastAsia="宋体" w:cs="宋体"/>
                <w:sz w:val="21"/>
                <w:szCs w:val="21"/>
                <w:u w:val="none" w:color="auto"/>
                <w:lang w:val="en-US" w:eastAsia="zh-CN"/>
              </w:rPr>
              <w:t>。</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已整改</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3</w:t>
            </w:r>
          </w:p>
        </w:tc>
        <w:tc>
          <w:tcPr>
            <w:tcW w:w="2832" w:type="dxa"/>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rPr>
            </w:pPr>
            <w:r>
              <w:rPr>
                <w:rFonts w:hint="eastAsia" w:ascii="宋体" w:hAnsi="宋体" w:eastAsia="宋体" w:cs="宋体"/>
                <w:b w:val="0"/>
                <w:bCs w:val="0"/>
                <w:sz w:val="21"/>
                <w:szCs w:val="21"/>
                <w:u w:val="none" w:color="auto"/>
                <w:lang w:val="en-US" w:eastAsia="zh-CN"/>
              </w:rPr>
              <w:t>现场不用的配电柜处电源线零乱</w:t>
            </w:r>
            <w:r>
              <w:rPr>
                <w:rFonts w:hint="eastAsia" w:ascii="宋体" w:hAnsi="宋体" w:eastAsia="宋体" w:cs="宋体"/>
                <w:sz w:val="21"/>
                <w:szCs w:val="21"/>
                <w:u w:val="none" w:color="auto"/>
                <w:lang w:val="en-US" w:eastAsia="zh-CN"/>
              </w:rPr>
              <w:t>；</w:t>
            </w:r>
          </w:p>
        </w:tc>
        <w:tc>
          <w:tcPr>
            <w:tcW w:w="1134"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一般隐患</w:t>
            </w:r>
          </w:p>
        </w:tc>
        <w:tc>
          <w:tcPr>
            <w:tcW w:w="2268"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rPr>
              <w:t>整理零乱的电源线</w:t>
            </w:r>
            <w:r>
              <w:rPr>
                <w:rFonts w:hint="eastAsia" w:ascii="宋体" w:hAnsi="宋体" w:eastAsia="宋体" w:cs="宋体"/>
                <w:color w:val="000000" w:themeColor="text1"/>
                <w:sz w:val="21"/>
                <w:szCs w:val="21"/>
                <w:lang w:eastAsia="zh-CN"/>
              </w:rPr>
              <w:t>，</w:t>
            </w:r>
            <w:r>
              <w:rPr>
                <w:rFonts w:hint="eastAsia" w:ascii="宋体" w:hAnsi="宋体" w:eastAsia="宋体" w:cs="宋体"/>
                <w:color w:val="000000" w:themeColor="text1"/>
                <w:sz w:val="21"/>
                <w:szCs w:val="21"/>
                <w:lang w:val="en-US" w:eastAsia="zh-CN"/>
              </w:rPr>
              <w:t>并挂闲置牌。</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已整改</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4</w:t>
            </w:r>
          </w:p>
        </w:tc>
        <w:tc>
          <w:tcPr>
            <w:tcW w:w="2832" w:type="dxa"/>
            <w:vAlign w:val="center"/>
          </w:tcPr>
          <w:p>
            <w:pPr>
              <w:keepNext/>
              <w:keepLines/>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宋体" w:hAnsi="宋体" w:eastAsia="宋体" w:cs="宋体"/>
                <w:color w:val="000000" w:themeColor="text1"/>
                <w:sz w:val="21"/>
                <w:szCs w:val="21"/>
              </w:rPr>
            </w:pPr>
            <w:r>
              <w:rPr>
                <w:rFonts w:hint="eastAsia" w:ascii="宋体" w:hAnsi="宋体" w:eastAsia="宋体" w:cs="宋体"/>
                <w:sz w:val="21"/>
                <w:szCs w:val="21"/>
                <w:u w:val="none" w:color="auto"/>
                <w:lang w:val="en-US" w:eastAsia="zh-CN"/>
              </w:rPr>
              <w:t>开关箱内电源线零乱，无漏电保护装置，未可靠接地,摆放</w:t>
            </w:r>
            <w:r>
              <w:rPr>
                <w:rFonts w:hint="eastAsia" w:hAnsi="宋体" w:eastAsia="宋体" w:cs="宋体"/>
                <w:sz w:val="21"/>
                <w:szCs w:val="21"/>
                <w:u w:val="none" w:color="auto"/>
                <w:lang w:val="en-US" w:eastAsia="zh-CN"/>
              </w:rPr>
              <w:t>临时用电插座</w:t>
            </w:r>
            <w:r>
              <w:rPr>
                <w:rFonts w:hint="eastAsia" w:ascii="宋体" w:hAnsi="宋体" w:eastAsia="宋体" w:cs="宋体"/>
                <w:sz w:val="21"/>
                <w:szCs w:val="21"/>
                <w:u w:val="none" w:color="auto"/>
                <w:lang w:val="en-US" w:eastAsia="zh-CN"/>
              </w:rPr>
              <w:t>：</w:t>
            </w:r>
          </w:p>
        </w:tc>
        <w:tc>
          <w:tcPr>
            <w:tcW w:w="1134"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一般隐患</w:t>
            </w:r>
          </w:p>
        </w:tc>
        <w:tc>
          <w:tcPr>
            <w:tcW w:w="2268" w:type="dxa"/>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b w:val="0"/>
                <w:bCs w:val="0"/>
                <w:sz w:val="21"/>
                <w:szCs w:val="21"/>
                <w:u w:val="none" w:color="auto"/>
                <w:lang w:val="en-US" w:eastAsia="zh-CN"/>
              </w:rPr>
              <w:t>整理</w:t>
            </w:r>
            <w:r>
              <w:rPr>
                <w:rFonts w:hint="eastAsia" w:ascii="宋体" w:hAnsi="宋体" w:eastAsia="宋体" w:cs="宋体"/>
                <w:sz w:val="21"/>
                <w:szCs w:val="21"/>
                <w:u w:val="none" w:color="auto"/>
                <w:lang w:val="en-US" w:eastAsia="zh-CN"/>
              </w:rPr>
              <w:t>零乱的电源线，安装漏电保护装置，可靠接地，临时用电插座移出。</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已整改</w:t>
            </w:r>
          </w:p>
        </w:tc>
        <w:tc>
          <w:tcPr>
            <w:tcW w:w="1077" w:type="dxa"/>
            <w:vAlign w:val="center"/>
          </w:tcPr>
          <w:p>
            <w:pPr>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符合要求</w:t>
            </w:r>
          </w:p>
        </w:tc>
      </w:tr>
    </w:tbl>
    <w:p>
      <w:pPr>
        <w:ind w:firstLine="560"/>
        <w:rPr>
          <w:color w:val="000000" w:themeColor="text1"/>
        </w:rPr>
      </w:pPr>
    </w:p>
    <w:p>
      <w:pPr>
        <w:numPr>
          <w:ilvl w:val="0"/>
          <w:numId w:val="0"/>
        </w:numPr>
        <w:ind w:firstLine="560" w:firstLineChars="200"/>
        <w:rPr>
          <w:rFonts w:hint="eastAsia"/>
          <w:lang w:eastAsia="zh-CN"/>
        </w:rPr>
      </w:pPr>
      <w:r>
        <w:rPr>
          <w:rFonts w:hint="eastAsia" w:ascii="Times New Roman" w:hAnsi="Times New Roman" w:eastAsia="宋体" w:cs="Times New Roman"/>
          <w:color w:val="000000" w:themeColor="text1"/>
          <w:kern w:val="2"/>
          <w:sz w:val="28"/>
          <w:szCs w:val="24"/>
          <w:lang w:val="en-US" w:eastAsia="zh-CN" w:bidi="ar-SA"/>
        </w:rPr>
        <w:t>2）</w:t>
      </w:r>
      <w:r>
        <w:rPr>
          <w:rFonts w:hint="eastAsia"/>
          <w:color w:val="000000" w:themeColor="text1"/>
        </w:rPr>
        <w:t>隐患整改照片</w:t>
      </w:r>
    </w:p>
    <w:p>
      <w:pPr>
        <w:pStyle w:val="89"/>
        <w:rPr>
          <w:rFonts w:hint="eastAsia"/>
          <w:sz w:val="24"/>
          <w:szCs w:val="24"/>
        </w:rPr>
      </w:pPr>
    </w:p>
    <w:p>
      <w:pPr>
        <w:pStyle w:val="89"/>
        <w:rPr>
          <w:rFonts w:hint="eastAsia"/>
          <w:sz w:val="24"/>
          <w:szCs w:val="24"/>
        </w:rPr>
      </w:pPr>
    </w:p>
    <w:p>
      <w:pPr>
        <w:pStyle w:val="89"/>
        <w:rPr>
          <w:sz w:val="24"/>
          <w:szCs w:val="24"/>
        </w:rPr>
      </w:pPr>
      <w:r>
        <w:rPr>
          <w:rFonts w:hint="eastAsia"/>
          <w:sz w:val="24"/>
          <w:szCs w:val="24"/>
        </w:rPr>
        <w:t>表7.1-2 安全隐患整改前后对比照片</w:t>
      </w:r>
    </w:p>
    <w:tbl>
      <w:tblPr>
        <w:tblStyle w:val="36"/>
        <w:tblW w:w="48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437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b/>
                <w:color w:val="000000" w:themeColor="text1"/>
                <w:sz w:val="21"/>
                <w:szCs w:val="21"/>
              </w:rPr>
            </w:pPr>
            <w:r>
              <w:rPr>
                <w:rFonts w:hint="eastAsia" w:ascii="宋体" w:hAnsi="宋体" w:eastAsia="宋体"/>
                <w:b/>
                <w:color w:val="000000" w:themeColor="text1"/>
                <w:sz w:val="21"/>
                <w:szCs w:val="21"/>
              </w:rPr>
              <w:t>序号</w:t>
            </w:r>
          </w:p>
        </w:tc>
        <w:tc>
          <w:tcPr>
            <w:tcW w:w="2416" w:type="pc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b/>
                <w:color w:val="000000" w:themeColor="text1"/>
                <w:sz w:val="21"/>
                <w:szCs w:val="21"/>
              </w:rPr>
            </w:pPr>
            <w:r>
              <w:rPr>
                <w:rFonts w:hint="eastAsia" w:ascii="宋体" w:hAnsi="宋体" w:eastAsia="宋体"/>
                <w:b/>
                <w:color w:val="000000" w:themeColor="text1"/>
                <w:sz w:val="21"/>
                <w:szCs w:val="21"/>
              </w:rPr>
              <w:t>整  改  前  的  照  片</w:t>
            </w:r>
          </w:p>
        </w:tc>
        <w:tc>
          <w:tcPr>
            <w:tcW w:w="2264" w:type="pc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b/>
                <w:color w:val="000000" w:themeColor="text1"/>
                <w:sz w:val="21"/>
                <w:szCs w:val="21"/>
              </w:rPr>
            </w:pPr>
            <w:r>
              <w:rPr>
                <w:rFonts w:hint="eastAsia" w:ascii="宋体" w:hAnsi="宋体" w:eastAsia="宋体"/>
                <w:b/>
                <w:color w:val="000000" w:themeColor="text1"/>
                <w:sz w:val="21"/>
                <w:szCs w:val="21"/>
              </w:rPr>
              <w:t>整  改  后  的  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19" w:type="pct"/>
            <w:vMerge w:val="restar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b/>
                <w:color w:val="000000" w:themeColor="text1"/>
                <w:sz w:val="21"/>
                <w:szCs w:val="21"/>
              </w:rPr>
            </w:pPr>
            <w:r>
              <w:rPr>
                <w:rFonts w:hint="eastAsia" w:ascii="宋体" w:hAnsi="宋体" w:eastAsia="宋体"/>
                <w:color w:val="000000" w:themeColor="text1"/>
                <w:sz w:val="21"/>
                <w:szCs w:val="21"/>
              </w:rPr>
              <w:t>1</w:t>
            </w:r>
          </w:p>
        </w:tc>
        <w:tc>
          <w:tcPr>
            <w:tcW w:w="4680" w:type="pct"/>
            <w:gridSpan w:val="2"/>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olor w:val="000000" w:themeColor="text1"/>
                <w:sz w:val="21"/>
                <w:szCs w:val="21"/>
              </w:rPr>
            </w:pPr>
            <w:r>
              <w:rPr>
                <w:rFonts w:hint="eastAsia" w:hAnsi="宋体" w:eastAsia="宋体" w:cs="宋体"/>
                <w:sz w:val="21"/>
                <w:szCs w:val="21"/>
                <w:u w:val="none" w:color="auto"/>
                <w:lang w:val="en-US" w:eastAsia="zh-CN"/>
              </w:rPr>
              <w:t>电机风扇罩损坏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0" w:hRule="atLeast"/>
          <w:jc w:val="center"/>
        </w:trPr>
        <w:tc>
          <w:tcPr>
            <w:tcW w:w="319" w:type="pct"/>
            <w:vMerge w:val="continue"/>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p>
        </w:tc>
        <w:tc>
          <w:tcPr>
            <w:tcW w:w="2416"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hAnsi="宋体" w:eastAsia="宋体" w:cs="宋体"/>
                <w:sz w:val="21"/>
                <w:szCs w:val="21"/>
                <w:u w:val="none" w:color="auto"/>
                <w:lang w:val="en-US" w:eastAsia="zh-CN"/>
              </w:rPr>
              <w:drawing>
                <wp:inline distT="0" distB="0" distL="114300" distR="114300">
                  <wp:extent cx="2393950" cy="2155190"/>
                  <wp:effectExtent l="0" t="0" r="6350" b="16510"/>
                  <wp:docPr id="3" name="图片 3" descr="电机风扇无防护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电机风扇无防护罩"/>
                          <pic:cNvPicPr>
                            <a:picLocks noChangeAspect="1"/>
                          </pic:cNvPicPr>
                        </pic:nvPicPr>
                        <pic:blipFill>
                          <a:blip r:embed="rId33"/>
                          <a:stretch>
                            <a:fillRect/>
                          </a:stretch>
                        </pic:blipFill>
                        <pic:spPr>
                          <a:xfrm>
                            <a:off x="0" y="0"/>
                            <a:ext cx="2393950" cy="2155190"/>
                          </a:xfrm>
                          <a:prstGeom prst="rect">
                            <a:avLst/>
                          </a:prstGeom>
                        </pic:spPr>
                      </pic:pic>
                    </a:graphicData>
                  </a:graphic>
                </wp:inline>
              </w:drawing>
            </w:r>
          </w:p>
        </w:tc>
        <w:tc>
          <w:tcPr>
            <w:tcW w:w="2264"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ascii="宋体" w:hAnsi="宋体" w:eastAsia="宋体" w:cs="宋体"/>
                <w:sz w:val="28"/>
                <w:szCs w:val="28"/>
                <w:u w:val="none" w:color="auto"/>
                <w:lang w:val="en-US" w:eastAsia="zh-CN"/>
              </w:rPr>
              <w:drawing>
                <wp:anchor distT="0" distB="0" distL="114300" distR="114300" simplePos="0" relativeHeight="251664384" behindDoc="0" locked="0" layoutInCell="1" allowOverlap="1">
                  <wp:simplePos x="0" y="0"/>
                  <wp:positionH relativeFrom="column">
                    <wp:posOffset>226060</wp:posOffset>
                  </wp:positionH>
                  <wp:positionV relativeFrom="paragraph">
                    <wp:posOffset>74295</wp:posOffset>
                  </wp:positionV>
                  <wp:extent cx="2051050" cy="2239645"/>
                  <wp:effectExtent l="0" t="0" r="6350" b="8255"/>
                  <wp:wrapNone/>
                  <wp:docPr id="13" name="图片 13" descr="整改后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整改后图片1"/>
                          <pic:cNvPicPr>
                            <a:picLocks noChangeAspect="1"/>
                          </pic:cNvPicPr>
                        </pic:nvPicPr>
                        <pic:blipFill>
                          <a:blip r:embed="rId34"/>
                          <a:stretch>
                            <a:fillRect/>
                          </a:stretch>
                        </pic:blipFill>
                        <pic:spPr>
                          <a:xfrm>
                            <a:off x="0" y="0"/>
                            <a:ext cx="2051050" cy="223964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Merge w:val="restar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r>
              <w:rPr>
                <w:rFonts w:hint="eastAsia" w:ascii="宋体" w:hAnsi="宋体" w:eastAsia="宋体"/>
                <w:color w:val="000000" w:themeColor="text1"/>
                <w:sz w:val="21"/>
                <w:szCs w:val="21"/>
              </w:rPr>
              <w:t>2</w:t>
            </w:r>
          </w:p>
        </w:tc>
        <w:tc>
          <w:tcPr>
            <w:tcW w:w="4680" w:type="pct"/>
            <w:gridSpan w:val="2"/>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r>
              <w:rPr>
                <w:rFonts w:hint="eastAsia" w:hAnsi="宋体" w:eastAsia="宋体" w:cs="宋体"/>
                <w:sz w:val="21"/>
                <w:szCs w:val="21"/>
                <w:u w:val="none" w:color="auto"/>
                <w:lang w:val="en-US" w:eastAsia="zh-CN"/>
              </w:rPr>
              <w:t>物品堆放不符合规范要求：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0" w:hRule="atLeast"/>
          <w:jc w:val="center"/>
        </w:trPr>
        <w:tc>
          <w:tcPr>
            <w:tcW w:w="319" w:type="pct"/>
            <w:vMerge w:val="continue"/>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p>
        </w:tc>
        <w:tc>
          <w:tcPr>
            <w:tcW w:w="2416"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default" w:ascii="宋体" w:hAnsi="宋体" w:eastAsia="宋体" w:cs="宋体"/>
                <w:b w:val="0"/>
                <w:bCs w:val="0"/>
                <w:kern w:val="2"/>
                <w:sz w:val="21"/>
                <w:szCs w:val="21"/>
                <w:u w:val="none" w:color="auto"/>
                <w:lang w:val="en-US" w:eastAsia="zh-CN" w:bidi="ar-SA"/>
              </w:rPr>
              <w:drawing>
                <wp:inline distT="0" distB="0" distL="114300" distR="114300">
                  <wp:extent cx="2447925" cy="2256790"/>
                  <wp:effectExtent l="0" t="0" r="9525" b="10160"/>
                  <wp:docPr id="6" name="图片 6" descr="微信图片_20231010095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1010095729"/>
                          <pic:cNvPicPr>
                            <a:picLocks noChangeAspect="1"/>
                          </pic:cNvPicPr>
                        </pic:nvPicPr>
                        <pic:blipFill>
                          <a:blip r:embed="rId35"/>
                          <a:stretch>
                            <a:fillRect/>
                          </a:stretch>
                        </pic:blipFill>
                        <pic:spPr>
                          <a:xfrm>
                            <a:off x="0" y="0"/>
                            <a:ext cx="2447925" cy="2256790"/>
                          </a:xfrm>
                          <a:prstGeom prst="rect">
                            <a:avLst/>
                          </a:prstGeom>
                        </pic:spPr>
                      </pic:pic>
                    </a:graphicData>
                  </a:graphic>
                </wp:inline>
              </w:drawing>
            </w:r>
          </w:p>
        </w:tc>
        <w:tc>
          <w:tcPr>
            <w:tcW w:w="2264" w:type="pct"/>
            <w:vMerge w:val="restar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ascii="宋体" w:hAnsi="宋体" w:eastAsia="宋体" w:cs="宋体"/>
                <w:b w:val="0"/>
                <w:bCs w:val="0"/>
                <w:kern w:val="2"/>
                <w:sz w:val="28"/>
                <w:szCs w:val="28"/>
                <w:u w:val="none" w:color="auto"/>
                <w:lang w:val="en-US" w:eastAsia="zh-CN" w:bidi="ar-SA"/>
              </w:rPr>
              <w:drawing>
                <wp:anchor distT="0" distB="0" distL="114300" distR="114300" simplePos="0" relativeHeight="251665408" behindDoc="0" locked="0" layoutInCell="1" allowOverlap="1">
                  <wp:simplePos x="0" y="0"/>
                  <wp:positionH relativeFrom="column">
                    <wp:posOffset>274955</wp:posOffset>
                  </wp:positionH>
                  <wp:positionV relativeFrom="paragraph">
                    <wp:posOffset>-121285</wp:posOffset>
                  </wp:positionV>
                  <wp:extent cx="1988820" cy="2401570"/>
                  <wp:effectExtent l="0" t="0" r="17780" b="11430"/>
                  <wp:wrapNone/>
                  <wp:docPr id="16"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
                          <pic:cNvPicPr>
                            <a:picLocks noChangeAspect="1"/>
                          </pic:cNvPicPr>
                        </pic:nvPicPr>
                        <pic:blipFill>
                          <a:blip r:embed="rId36"/>
                          <a:stretch>
                            <a:fillRect/>
                          </a:stretch>
                        </pic:blipFill>
                        <pic:spPr>
                          <a:xfrm rot="5400000">
                            <a:off x="0" y="0"/>
                            <a:ext cx="1988820" cy="240157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0" w:hRule="atLeast"/>
          <w:jc w:val="center"/>
        </w:trPr>
        <w:tc>
          <w:tcPr>
            <w:tcW w:w="319" w:type="pc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p>
        </w:tc>
        <w:tc>
          <w:tcPr>
            <w:tcW w:w="2416"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hint="default" w:ascii="宋体" w:hAnsi="宋体" w:eastAsia="宋体" w:cs="宋体"/>
                <w:b w:val="0"/>
                <w:bCs w:val="0"/>
                <w:kern w:val="2"/>
                <w:sz w:val="21"/>
                <w:szCs w:val="21"/>
                <w:u w:val="none" w:color="auto"/>
                <w:lang w:val="en-US" w:eastAsia="zh-CN" w:bidi="ar-SA"/>
              </w:rPr>
            </w:pPr>
            <w:r>
              <w:rPr>
                <w:rFonts w:hint="eastAsia" w:hAnsi="宋体" w:eastAsia="宋体" w:cs="宋体"/>
                <w:sz w:val="21"/>
                <w:szCs w:val="21"/>
                <w:u w:val="none" w:color="auto"/>
                <w:lang w:val="en-US" w:eastAsia="zh-CN"/>
              </w:rPr>
              <w:drawing>
                <wp:inline distT="0" distB="0" distL="114300" distR="114300">
                  <wp:extent cx="2540635" cy="2285365"/>
                  <wp:effectExtent l="0" t="0" r="12065" b="635"/>
                  <wp:docPr id="10" name="图片 10" descr="微信图片_20231010095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31010095816"/>
                          <pic:cNvPicPr>
                            <a:picLocks noChangeAspect="1"/>
                          </pic:cNvPicPr>
                        </pic:nvPicPr>
                        <pic:blipFill>
                          <a:blip r:embed="rId37"/>
                          <a:stretch>
                            <a:fillRect/>
                          </a:stretch>
                        </pic:blipFill>
                        <pic:spPr>
                          <a:xfrm>
                            <a:off x="0" y="0"/>
                            <a:ext cx="2540635" cy="2285365"/>
                          </a:xfrm>
                          <a:prstGeom prst="rect">
                            <a:avLst/>
                          </a:prstGeom>
                        </pic:spPr>
                      </pic:pic>
                    </a:graphicData>
                  </a:graphic>
                </wp:inline>
              </w:drawing>
            </w:r>
          </w:p>
        </w:tc>
        <w:tc>
          <w:tcPr>
            <w:tcW w:w="2264" w:type="pct"/>
            <w:vMerge w:val="continue"/>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hint="eastAsia" w:hAnsi="宋体" w:eastAsia="宋体" w:cs="宋体"/>
                <w:sz w:val="21"/>
                <w:szCs w:val="21"/>
                <w:u w:val="none" w:color="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Merge w:val="restar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r>
              <w:rPr>
                <w:rFonts w:hint="eastAsia" w:ascii="宋体" w:hAnsi="宋体" w:eastAsia="宋体"/>
                <w:color w:val="000000" w:themeColor="text1"/>
                <w:sz w:val="21"/>
                <w:szCs w:val="21"/>
              </w:rPr>
              <w:t>3</w:t>
            </w:r>
          </w:p>
        </w:tc>
        <w:tc>
          <w:tcPr>
            <w:tcW w:w="4680" w:type="pct"/>
            <w:gridSpan w:val="2"/>
            <w:shd w:val="clear" w:color="auto" w:fill="auto"/>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宋体" w:hAnsi="宋体"/>
                <w:color w:val="000000" w:themeColor="text1"/>
                <w:sz w:val="21"/>
                <w:szCs w:val="21"/>
              </w:rPr>
            </w:pPr>
            <w:r>
              <w:rPr>
                <w:rFonts w:hint="eastAsia" w:hAnsi="宋体" w:eastAsia="宋体" w:cs="宋体"/>
                <w:b w:val="0"/>
                <w:bCs w:val="0"/>
                <w:sz w:val="21"/>
                <w:szCs w:val="21"/>
                <w:u w:val="none" w:color="auto"/>
                <w:lang w:val="en-US" w:eastAsia="zh-CN"/>
              </w:rPr>
              <w:t>现场不用的配电柜处电源线零乱</w:t>
            </w:r>
            <w:r>
              <w:rPr>
                <w:rFonts w:hint="eastAsia" w:hAnsi="宋体" w:eastAsia="宋体" w:cs="宋体"/>
                <w:sz w:val="21"/>
                <w:szCs w:val="21"/>
                <w:u w:val="none" w:color="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1" w:hRule="atLeast"/>
          <w:jc w:val="center"/>
        </w:trPr>
        <w:tc>
          <w:tcPr>
            <w:tcW w:w="319" w:type="pct"/>
            <w:vMerge w:val="continue"/>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p>
        </w:tc>
        <w:tc>
          <w:tcPr>
            <w:tcW w:w="2416"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hAnsi="宋体" w:eastAsia="宋体" w:cs="宋体"/>
                <w:sz w:val="21"/>
                <w:szCs w:val="21"/>
                <w:u w:val="none" w:color="auto"/>
                <w:lang w:val="en-US" w:eastAsia="zh-CN"/>
              </w:rPr>
              <w:drawing>
                <wp:inline distT="0" distB="0" distL="114300" distR="114300">
                  <wp:extent cx="2185670" cy="2330450"/>
                  <wp:effectExtent l="0" t="0" r="5080" b="12700"/>
                  <wp:docPr id="11" name="图片 11" descr="IMG_20231009_15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0231009_152723"/>
                          <pic:cNvPicPr>
                            <a:picLocks noChangeAspect="1"/>
                          </pic:cNvPicPr>
                        </pic:nvPicPr>
                        <pic:blipFill>
                          <a:blip r:embed="rId38"/>
                          <a:stretch>
                            <a:fillRect/>
                          </a:stretch>
                        </pic:blipFill>
                        <pic:spPr>
                          <a:xfrm>
                            <a:off x="0" y="0"/>
                            <a:ext cx="2185670" cy="2330450"/>
                          </a:xfrm>
                          <a:prstGeom prst="rect">
                            <a:avLst/>
                          </a:prstGeom>
                        </pic:spPr>
                      </pic:pic>
                    </a:graphicData>
                  </a:graphic>
                </wp:inline>
              </w:drawing>
            </w:r>
          </w:p>
        </w:tc>
        <w:tc>
          <w:tcPr>
            <w:tcW w:w="2264"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ascii="宋体" w:hAnsi="宋体" w:eastAsia="宋体" w:cs="宋体"/>
                <w:sz w:val="28"/>
                <w:szCs w:val="28"/>
                <w:u w:val="none" w:color="auto"/>
                <w:lang w:val="en-US" w:eastAsia="zh-CN"/>
              </w:rPr>
              <w:drawing>
                <wp:anchor distT="0" distB="0" distL="114300" distR="114300" simplePos="0" relativeHeight="251666432" behindDoc="0" locked="0" layoutInCell="1" allowOverlap="1">
                  <wp:simplePos x="0" y="0"/>
                  <wp:positionH relativeFrom="column">
                    <wp:posOffset>48895</wp:posOffset>
                  </wp:positionH>
                  <wp:positionV relativeFrom="paragraph">
                    <wp:posOffset>116205</wp:posOffset>
                  </wp:positionV>
                  <wp:extent cx="2211070" cy="2259965"/>
                  <wp:effectExtent l="0" t="0" r="17780" b="6985"/>
                  <wp:wrapNone/>
                  <wp:docPr id="17" name="图片 17" descr="整改后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整改后图片3"/>
                          <pic:cNvPicPr>
                            <a:picLocks noChangeAspect="1"/>
                          </pic:cNvPicPr>
                        </pic:nvPicPr>
                        <pic:blipFill>
                          <a:blip r:embed="rId39"/>
                          <a:stretch>
                            <a:fillRect/>
                          </a:stretch>
                        </pic:blipFill>
                        <pic:spPr>
                          <a:xfrm>
                            <a:off x="0" y="0"/>
                            <a:ext cx="2211070" cy="225996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Merge w:val="restart"/>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r>
              <w:rPr>
                <w:rFonts w:hint="eastAsia" w:ascii="宋体" w:hAnsi="宋体" w:eastAsia="宋体"/>
                <w:color w:val="000000" w:themeColor="text1"/>
                <w:sz w:val="21"/>
                <w:szCs w:val="21"/>
              </w:rPr>
              <w:t>4</w:t>
            </w:r>
          </w:p>
        </w:tc>
        <w:tc>
          <w:tcPr>
            <w:tcW w:w="4680" w:type="pct"/>
            <w:gridSpan w:val="2"/>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hAnsi="宋体" w:eastAsia="宋体" w:cs="宋体"/>
                <w:sz w:val="21"/>
                <w:szCs w:val="21"/>
                <w:u w:val="none" w:color="auto"/>
                <w:lang w:val="en-US" w:eastAsia="zh-CN"/>
              </w:rPr>
              <w:t>开关箱内电源线零乱，无漏电保护装置，未可靠接地,摆放：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1" w:hRule="atLeast"/>
          <w:jc w:val="center"/>
        </w:trPr>
        <w:tc>
          <w:tcPr>
            <w:tcW w:w="319" w:type="pct"/>
            <w:vMerge w:val="continue"/>
            <w:shd w:val="clear" w:color="auto" w:fill="auto"/>
            <w:vAlign w:val="center"/>
          </w:tcPr>
          <w:p>
            <w:pPr>
              <w:pStyle w:val="57"/>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eastAsia="宋体"/>
                <w:color w:val="000000" w:themeColor="text1"/>
                <w:sz w:val="21"/>
                <w:szCs w:val="21"/>
              </w:rPr>
            </w:pPr>
          </w:p>
        </w:tc>
        <w:tc>
          <w:tcPr>
            <w:tcW w:w="2416"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default" w:hAnsi="宋体" w:eastAsia="宋体" w:cs="宋体"/>
                <w:sz w:val="21"/>
                <w:szCs w:val="21"/>
                <w:u w:val="none" w:color="auto"/>
                <w:lang w:val="en-US" w:eastAsia="zh-CN"/>
              </w:rPr>
              <w:drawing>
                <wp:inline distT="0" distB="0" distL="114300" distR="114300">
                  <wp:extent cx="2365375" cy="2439670"/>
                  <wp:effectExtent l="0" t="0" r="15875" b="17780"/>
                  <wp:docPr id="12" name="图片 12" descr="微信图片_2023101009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31010095824"/>
                          <pic:cNvPicPr>
                            <a:picLocks noChangeAspect="1"/>
                          </pic:cNvPicPr>
                        </pic:nvPicPr>
                        <pic:blipFill>
                          <a:blip r:embed="rId40"/>
                          <a:stretch>
                            <a:fillRect/>
                          </a:stretch>
                        </pic:blipFill>
                        <pic:spPr>
                          <a:xfrm>
                            <a:off x="0" y="0"/>
                            <a:ext cx="2365375" cy="2439670"/>
                          </a:xfrm>
                          <a:prstGeom prst="rect">
                            <a:avLst/>
                          </a:prstGeom>
                        </pic:spPr>
                      </pic:pic>
                    </a:graphicData>
                  </a:graphic>
                </wp:inline>
              </w:drawing>
            </w:r>
          </w:p>
        </w:tc>
        <w:tc>
          <w:tcPr>
            <w:tcW w:w="2264" w:type="pct"/>
            <w:shd w:val="clear" w:color="auto" w:fill="auto"/>
            <w:vAlign w:val="center"/>
          </w:tcPr>
          <w:p>
            <w:pPr>
              <w:keepNext w:val="0"/>
              <w:keepLines w:val="0"/>
              <w:pageBreakBefore w:val="0"/>
              <w:widowControl w:val="0"/>
              <w:kinsoku/>
              <w:wordWrap/>
              <w:overflowPunct/>
              <w:topLinePunct/>
              <w:autoSpaceDE/>
              <w:autoSpaceDN/>
              <w:bidi w:val="0"/>
              <w:spacing w:line="240" w:lineRule="auto"/>
              <w:ind w:firstLine="0" w:firstLineChars="0"/>
              <w:jc w:val="center"/>
              <w:textAlignment w:val="auto"/>
              <w:rPr>
                <w:rFonts w:ascii="宋体" w:hAnsi="宋体"/>
                <w:color w:val="000000" w:themeColor="text1"/>
                <w:sz w:val="21"/>
                <w:szCs w:val="21"/>
              </w:rPr>
            </w:pPr>
            <w:r>
              <w:rPr>
                <w:rFonts w:hint="eastAsia" w:ascii="宋体" w:hAnsi="宋体" w:eastAsia="宋体" w:cs="宋体"/>
                <w:sz w:val="28"/>
                <w:szCs w:val="28"/>
                <w:u w:val="none" w:color="auto"/>
                <w:lang w:val="en-US" w:eastAsia="zh-CN"/>
              </w:rPr>
              <w:drawing>
                <wp:anchor distT="0" distB="0" distL="114300" distR="114300" simplePos="0" relativeHeight="251667456" behindDoc="0" locked="0" layoutInCell="1" allowOverlap="1">
                  <wp:simplePos x="0" y="0"/>
                  <wp:positionH relativeFrom="column">
                    <wp:posOffset>69850</wp:posOffset>
                  </wp:positionH>
                  <wp:positionV relativeFrom="paragraph">
                    <wp:posOffset>85725</wp:posOffset>
                  </wp:positionV>
                  <wp:extent cx="2368550" cy="2378710"/>
                  <wp:effectExtent l="0" t="0" r="2540" b="12700"/>
                  <wp:wrapNone/>
                  <wp:docPr id="18" name="图片 1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
                          <pic:cNvPicPr>
                            <a:picLocks noChangeAspect="1"/>
                          </pic:cNvPicPr>
                        </pic:nvPicPr>
                        <pic:blipFill>
                          <a:blip r:embed="rId41"/>
                          <a:stretch>
                            <a:fillRect/>
                          </a:stretch>
                        </pic:blipFill>
                        <pic:spPr>
                          <a:xfrm rot="5400000">
                            <a:off x="0" y="0"/>
                            <a:ext cx="2368550" cy="2378710"/>
                          </a:xfrm>
                          <a:prstGeom prst="rect">
                            <a:avLst/>
                          </a:prstGeom>
                        </pic:spPr>
                      </pic:pic>
                    </a:graphicData>
                  </a:graphic>
                </wp:anchor>
              </w:drawing>
            </w:r>
          </w:p>
        </w:tc>
      </w:tr>
    </w:tbl>
    <w:p>
      <w:pPr>
        <w:ind w:firstLine="560"/>
        <w:rPr>
          <w:color w:val="000000" w:themeColor="text1"/>
        </w:rPr>
      </w:pPr>
    </w:p>
    <w:p>
      <w:pPr>
        <w:ind w:firstLine="560"/>
        <w:rPr>
          <w:color w:val="000000" w:themeColor="text1"/>
        </w:rPr>
      </w:pPr>
      <w:r>
        <w:rPr>
          <w:rFonts w:hint="eastAsia"/>
          <w:color w:val="000000" w:themeColor="text1"/>
        </w:rPr>
        <w:t>3）隐患整改结论</w:t>
      </w:r>
    </w:p>
    <w:p>
      <w:pPr>
        <w:ind w:firstLine="560"/>
        <w:rPr>
          <w:rFonts w:hint="default" w:eastAsia="宋体"/>
          <w:color w:val="000000" w:themeColor="text1"/>
          <w:lang w:val="en-US" w:eastAsia="zh-CN"/>
        </w:rPr>
      </w:pPr>
      <w:r>
        <w:rPr>
          <w:rFonts w:hint="eastAsia"/>
          <w:color w:val="000000" w:themeColor="text1"/>
        </w:rPr>
        <w:t>氟化分公司对现场存在的安全隐患实施了整改，整改后危险和有害因素的危害程度在可接受范围内，整改结果符合要求。</w:t>
      </w:r>
      <w:bookmarkStart w:id="1610" w:name="_Toc520297563"/>
      <w:bookmarkStart w:id="1611" w:name="_Toc515540397"/>
      <w:r>
        <w:rPr>
          <w:rFonts w:hint="eastAsia"/>
          <w:color w:val="000000" w:themeColor="text1"/>
        </w:rPr>
        <w:t>现状评价存在问题整改回复</w:t>
      </w:r>
      <w:r>
        <w:rPr>
          <w:rFonts w:hint="eastAsia"/>
          <w:color w:val="000000" w:themeColor="text1"/>
          <w:lang w:val="en-US" w:eastAsia="zh-CN"/>
        </w:rPr>
        <w:t>详见报告附件6.35。</w:t>
      </w:r>
    </w:p>
    <w:p>
      <w:pPr>
        <w:pStyle w:val="4"/>
        <w:keepNext w:val="0"/>
        <w:keepLines w:val="0"/>
        <w:ind w:firstLine="562"/>
        <w:rPr>
          <w:b w:val="0"/>
          <w:color w:val="000000" w:themeColor="text1"/>
        </w:rPr>
      </w:pPr>
      <w:bookmarkStart w:id="1612" w:name="_Toc13949"/>
      <w:bookmarkStart w:id="1613" w:name="_Toc27362"/>
      <w:bookmarkStart w:id="1614" w:name="_Toc29437"/>
      <w:bookmarkStart w:id="1615" w:name="_Toc5484"/>
      <w:bookmarkStart w:id="1616" w:name="_Toc14850"/>
      <w:bookmarkStart w:id="1617" w:name="_Toc11835"/>
      <w:bookmarkStart w:id="1618" w:name="_Toc1090"/>
      <w:bookmarkStart w:id="1619" w:name="_Toc8263"/>
      <w:bookmarkStart w:id="1620" w:name="_Toc13216"/>
      <w:bookmarkStart w:id="1621" w:name="_Toc21944"/>
      <w:bookmarkStart w:id="1622" w:name="_Toc27518"/>
      <w:bookmarkStart w:id="1623" w:name="_Toc11321"/>
      <w:bookmarkStart w:id="1624" w:name="_Toc32449"/>
      <w:bookmarkStart w:id="1625" w:name="_Toc20388"/>
      <w:bookmarkStart w:id="1626" w:name="_Toc18572"/>
      <w:bookmarkStart w:id="1627" w:name="_Toc62740960"/>
      <w:bookmarkStart w:id="1628" w:name="_Toc5651"/>
      <w:bookmarkStart w:id="1629" w:name="_Toc8887"/>
      <w:bookmarkStart w:id="1630" w:name="_Toc1352"/>
      <w:bookmarkStart w:id="1631" w:name="_Toc128056471"/>
      <w:bookmarkStart w:id="1632" w:name="_Toc26980"/>
      <w:bookmarkStart w:id="1633" w:name="_Toc10481"/>
      <w:bookmarkStart w:id="1634" w:name="_Toc24494"/>
      <w:bookmarkStart w:id="1635" w:name="_Toc6759"/>
      <w:bookmarkStart w:id="1636" w:name="_Toc8921"/>
      <w:r>
        <w:rPr>
          <w:rFonts w:hint="eastAsia"/>
          <w:color w:val="000000" w:themeColor="text1"/>
        </w:rPr>
        <w:t>7.2 安全对策措施</w:t>
      </w:r>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p>
    <w:p>
      <w:pPr>
        <w:pStyle w:val="5"/>
        <w:keepNext w:val="0"/>
        <w:keepLines w:val="0"/>
        <w:ind w:firstLine="562"/>
      </w:pPr>
      <w:bookmarkStart w:id="1637" w:name="_Toc520297564"/>
      <w:bookmarkStart w:id="1638" w:name="_Toc17058"/>
      <w:bookmarkStart w:id="1639" w:name="_Toc32103"/>
      <w:bookmarkStart w:id="1640" w:name="_Toc22452"/>
      <w:bookmarkStart w:id="1641" w:name="_Toc128056472"/>
      <w:bookmarkStart w:id="1642" w:name="_Toc17807"/>
      <w:bookmarkStart w:id="1643" w:name="_Toc1803"/>
      <w:bookmarkStart w:id="1644" w:name="_Toc515540398"/>
      <w:bookmarkStart w:id="1645" w:name="_Toc1523"/>
      <w:bookmarkStart w:id="1646" w:name="_Toc17455"/>
      <w:bookmarkStart w:id="1647" w:name="_Toc12255"/>
      <w:bookmarkStart w:id="1648" w:name="_Toc28471"/>
      <w:bookmarkStart w:id="1649" w:name="_Toc19748"/>
      <w:bookmarkStart w:id="1650" w:name="_Toc27026"/>
      <w:bookmarkStart w:id="1651" w:name="_Toc2431"/>
      <w:bookmarkStart w:id="1652" w:name="_Toc5644"/>
      <w:r>
        <w:rPr>
          <w:rFonts w:hint="eastAsia"/>
        </w:rPr>
        <w:t>7.2.1 安全生产条件对策措施及建议</w:t>
      </w:r>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p>
    <w:p>
      <w:pPr>
        <w:ind w:firstLine="560"/>
      </w:pPr>
      <w:r>
        <w:rPr>
          <w:rFonts w:hint="eastAsia"/>
        </w:rPr>
        <w:t>1）企业应严格执行国家安全生产方面的法律、法规、标准、规范。</w:t>
      </w:r>
    </w:p>
    <w:p>
      <w:pPr>
        <w:ind w:firstLine="560"/>
      </w:pPr>
      <w:r>
        <w:rPr>
          <w:rFonts w:hint="eastAsia"/>
        </w:rPr>
        <w:t>2）尽快落实评价组现场检查和报告编制过程中提出的存在问题的整改。</w:t>
      </w:r>
    </w:p>
    <w:p>
      <w:pPr>
        <w:ind w:firstLine="560"/>
        <w:rPr>
          <w:color w:val="000000" w:themeColor="text1"/>
        </w:rPr>
      </w:pPr>
      <w:r>
        <w:rPr>
          <w:rFonts w:hint="eastAsia"/>
          <w:color w:val="000000" w:themeColor="text1"/>
        </w:rPr>
        <w:t>3）企业应保障安全经费的投入，不断完善安全生产条件，并定期对安全设施进行检查，保证其有效。</w:t>
      </w:r>
    </w:p>
    <w:p>
      <w:pPr>
        <w:ind w:firstLine="560"/>
        <w:rPr>
          <w:color w:val="000000" w:themeColor="text1"/>
        </w:rPr>
      </w:pPr>
      <w:r>
        <w:rPr>
          <w:rFonts w:hint="eastAsia"/>
          <w:color w:val="000000" w:themeColor="text1"/>
        </w:rPr>
        <w:t>4）完善厂区安全警示标识的设置，安全标志牌应至少每半年检查一次，如发现有破损、变形、褪色等不符合要求时，应及时修正或更换。</w:t>
      </w:r>
    </w:p>
    <w:p>
      <w:pPr>
        <w:ind w:firstLine="560"/>
        <w:rPr>
          <w:color w:val="000000" w:themeColor="text1"/>
        </w:rPr>
      </w:pPr>
      <w:r>
        <w:rPr>
          <w:rFonts w:hint="eastAsia"/>
          <w:color w:val="000000" w:themeColor="text1"/>
        </w:rPr>
        <w:t>5）作业现场应杜绝堵塞消防通道，消火栓、灭火器应杜绝遮挡，灭火器的设置应满足《建筑灭火器配置设计规范》（GB50140-2005）的要求：</w:t>
      </w:r>
    </w:p>
    <w:p>
      <w:pPr>
        <w:ind w:firstLine="560"/>
        <w:rPr>
          <w:color w:val="000000" w:themeColor="text1"/>
        </w:rPr>
      </w:pPr>
      <w:r>
        <w:rPr>
          <w:rFonts w:hint="eastAsia"/>
          <w:color w:val="000000" w:themeColor="text1"/>
          <w:lang w:eastAsia="zh-CN"/>
        </w:rPr>
        <w:t>（</w:t>
      </w:r>
      <w:r>
        <w:rPr>
          <w:rFonts w:hint="eastAsia"/>
          <w:color w:val="000000" w:themeColor="text1"/>
        </w:rPr>
        <w:t>1）灭火器应设置在位置明显和便于取用的地点，且不得影响安全疏散，摆放应稳固，其铭牌应朝外；</w:t>
      </w:r>
    </w:p>
    <w:p>
      <w:pPr>
        <w:ind w:firstLine="560"/>
        <w:rPr>
          <w:color w:val="000000" w:themeColor="text1"/>
        </w:rPr>
      </w:pPr>
      <w:r>
        <w:rPr>
          <w:rFonts w:hint="eastAsia"/>
          <w:color w:val="000000" w:themeColor="text1"/>
          <w:lang w:eastAsia="zh-CN"/>
        </w:rPr>
        <w:t>（</w:t>
      </w:r>
      <w:r>
        <w:rPr>
          <w:rFonts w:hint="eastAsia"/>
          <w:color w:val="000000" w:themeColor="text1"/>
        </w:rPr>
        <w:t>2）手提式灭火器宜设置在灭火器箱内或挂钩、托架上，其顶部离地面高度不应大于1.50m；底部离地面高度不宜小于0.08m；</w:t>
      </w:r>
    </w:p>
    <w:p>
      <w:pPr>
        <w:ind w:firstLine="560"/>
        <w:rPr>
          <w:color w:val="000000" w:themeColor="text1"/>
        </w:rPr>
      </w:pPr>
      <w:r>
        <w:rPr>
          <w:rFonts w:hint="eastAsia"/>
          <w:color w:val="000000" w:themeColor="text1"/>
          <w:lang w:eastAsia="zh-CN"/>
        </w:rPr>
        <w:t>（</w:t>
      </w:r>
      <w:r>
        <w:rPr>
          <w:rFonts w:hint="eastAsia"/>
          <w:color w:val="000000" w:themeColor="text1"/>
        </w:rPr>
        <w:t>3）灭火器箱不得上锁，灭火器不宜设置在潮湿或强腐蚀性的地点。当必须设置时，应有相应的保护措施；</w:t>
      </w:r>
    </w:p>
    <w:p>
      <w:pPr>
        <w:ind w:firstLine="560"/>
        <w:rPr>
          <w:color w:val="000000" w:themeColor="text1"/>
        </w:rPr>
      </w:pPr>
      <w:r>
        <w:rPr>
          <w:rFonts w:hint="eastAsia"/>
          <w:color w:val="000000" w:themeColor="text1"/>
          <w:lang w:eastAsia="zh-CN"/>
        </w:rPr>
        <w:t>（</w:t>
      </w:r>
      <w:r>
        <w:rPr>
          <w:rFonts w:hint="eastAsia"/>
          <w:color w:val="000000" w:themeColor="text1"/>
        </w:rPr>
        <w:t>4）灭火器设置在室外时，应有相应的保护措施；</w:t>
      </w:r>
    </w:p>
    <w:p>
      <w:pPr>
        <w:ind w:firstLine="560"/>
        <w:rPr>
          <w:color w:val="000000" w:themeColor="text1"/>
        </w:rPr>
      </w:pPr>
      <w:r>
        <w:rPr>
          <w:rFonts w:hint="eastAsia"/>
          <w:color w:val="000000" w:themeColor="text1"/>
          <w:lang w:eastAsia="zh-CN"/>
        </w:rPr>
        <w:t>（</w:t>
      </w:r>
      <w:r>
        <w:rPr>
          <w:rFonts w:hint="eastAsia"/>
          <w:color w:val="000000" w:themeColor="text1"/>
        </w:rPr>
        <w:t>5）一个计算单元内配置的灭火器数量不得少于2具；每个设置点的灭火器数量不宜多于5具。</w:t>
      </w:r>
    </w:p>
    <w:p>
      <w:pPr>
        <w:ind w:firstLine="560"/>
        <w:rPr>
          <w:color w:val="000000" w:themeColor="text1"/>
        </w:rPr>
      </w:pPr>
      <w:r>
        <w:rPr>
          <w:rFonts w:hint="eastAsia"/>
          <w:color w:val="000000" w:themeColor="text1"/>
        </w:rPr>
        <w:t>6）应规范车间内物品的摆放，按照规范分类管理、定置摆放，并留出安全通道。</w:t>
      </w:r>
    </w:p>
    <w:p>
      <w:pPr>
        <w:ind w:firstLine="560"/>
        <w:rPr>
          <w:color w:val="000000" w:themeColor="text1"/>
        </w:rPr>
      </w:pPr>
      <w:r>
        <w:rPr>
          <w:rFonts w:hint="eastAsia"/>
          <w:color w:val="000000" w:themeColor="text1"/>
        </w:rPr>
        <w:t>7）作业现场应定置管理，杜绝电气线路裸露及私拉乱接，定期检查电气线路及设备并保留检查记录，按照规范设置作业现场的临时用电；作业现场的照明用电应按照规范使用安全电压。</w:t>
      </w:r>
    </w:p>
    <w:p>
      <w:pPr>
        <w:ind w:firstLine="560"/>
      </w:pPr>
      <w:r>
        <w:rPr>
          <w:rFonts w:hint="eastAsia"/>
        </w:rPr>
        <w:t>8）应按国家规范要求进行职业危害及检测结果的现场告知；对现场作业人员配发相应的劳动防护用品（如防护口罩、防静电工作服等）并督促使用。</w:t>
      </w:r>
    </w:p>
    <w:p>
      <w:pPr>
        <w:ind w:firstLine="560"/>
      </w:pPr>
      <w:r>
        <w:rPr>
          <w:rFonts w:hint="eastAsia"/>
        </w:rPr>
        <w:t>9）设备检修、清理工作，应进行安全交底，严格执行工作票制、安全确认制度、挂牌制、监护制、锁具制，做好现场的安全措施和现场的安全交底等。</w:t>
      </w:r>
    </w:p>
    <w:p>
      <w:pPr>
        <w:ind w:firstLine="560"/>
      </w:pPr>
      <w:r>
        <w:rPr>
          <w:rFonts w:hint="eastAsia"/>
        </w:rPr>
        <w:t>10）检修、清理中拆除的安全装置，检修、清理完毕应及时恢复。</w:t>
      </w:r>
    </w:p>
    <w:p>
      <w:pPr>
        <w:ind w:firstLine="560"/>
      </w:pPr>
      <w:r>
        <w:rPr>
          <w:rFonts w:hint="eastAsia"/>
        </w:rPr>
        <w:t>11）应加强检修等高处作业的管理，采取有效的防坠落措施（配备安全帽、安全带），并督促执行。</w:t>
      </w:r>
    </w:p>
    <w:p>
      <w:pPr>
        <w:pStyle w:val="5"/>
        <w:keepNext w:val="0"/>
        <w:keepLines w:val="0"/>
        <w:ind w:firstLine="562"/>
      </w:pPr>
      <w:bookmarkStart w:id="1653" w:name="_Toc515540399"/>
      <w:bookmarkStart w:id="1654" w:name="_Toc28305"/>
      <w:bookmarkStart w:id="1655" w:name="_Toc29999"/>
      <w:bookmarkStart w:id="1656" w:name="_Toc21941"/>
      <w:bookmarkStart w:id="1657" w:name="_Toc19973"/>
      <w:bookmarkStart w:id="1658" w:name="_Toc27858"/>
      <w:bookmarkStart w:id="1659" w:name="_Toc4260"/>
      <w:bookmarkStart w:id="1660" w:name="_Toc16031"/>
      <w:bookmarkStart w:id="1661" w:name="_Toc128056473"/>
      <w:bookmarkStart w:id="1662" w:name="_Toc520297565"/>
      <w:bookmarkStart w:id="1663" w:name="_Toc18154"/>
      <w:bookmarkStart w:id="1664" w:name="_Toc9014"/>
      <w:bookmarkStart w:id="1665" w:name="_Toc30405"/>
      <w:bookmarkStart w:id="1666" w:name="_Toc10896"/>
      <w:bookmarkStart w:id="1667" w:name="_Toc4602"/>
      <w:bookmarkStart w:id="1668" w:name="_Toc18288"/>
      <w:r>
        <w:rPr>
          <w:rFonts w:hint="eastAsia"/>
        </w:rPr>
        <w:t>7.2.2 安全管理对策措施及建议</w:t>
      </w:r>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w:t>
      </w:r>
      <w:r>
        <w:rPr>
          <w:rFonts w:hint="eastAsia"/>
        </w:rPr>
        <w:t>安全生产知识和管理能力考核合格证</w:t>
      </w:r>
      <w:r>
        <w:rPr>
          <w:color w:val="000000" w:themeColor="text1"/>
        </w:rPr>
        <w:t>应定期复审，</w:t>
      </w:r>
      <w:r>
        <w:rPr>
          <w:rFonts w:hint="eastAsia"/>
          <w:color w:val="000000" w:themeColor="text1"/>
        </w:rPr>
        <w:t>配备</w:t>
      </w:r>
      <w:r>
        <w:rPr>
          <w:color w:val="000000" w:themeColor="text1"/>
        </w:rPr>
        <w:t>注册安全工程师进行安全管理工作</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w:t>
      </w:r>
      <w:r>
        <w:rPr>
          <w:color w:val="000000" w:themeColor="text1"/>
        </w:rPr>
        <w:t>对强制检测附件定期检测</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w:t>
      </w:r>
      <w:r>
        <w:rPr>
          <w:color w:val="000000" w:themeColor="text1"/>
        </w:rPr>
        <w:t>请有资质的单位定期检测防雷装置</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w:t>
      </w:r>
      <w:r>
        <w:rPr>
          <w:color w:val="000000" w:themeColor="text1"/>
        </w:rPr>
        <w:t>定期对设备设施进行维护，保证安全防护设施有效，并定期检查厂内灭火器等消防设施，及时更换过期、失效的消防器材</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w:t>
      </w:r>
      <w:r>
        <w:rPr>
          <w:rFonts w:hint="eastAsia" w:ascii="宋体" w:hAnsi="宋体" w:cs="宋体"/>
          <w:color w:val="auto"/>
          <w:szCs w:val="28"/>
          <w:shd w:val="clear" w:color="auto" w:fill="FFFFFF"/>
        </w:rPr>
        <w:t>安全生产管理人员</w:t>
      </w:r>
      <w:r>
        <w:rPr>
          <w:color w:val="000000" w:themeColor="text1"/>
        </w:rPr>
        <w:t>应不断提高自身的综合安全管理水平，加强对</w:t>
      </w:r>
      <w:r>
        <w:rPr>
          <w:rFonts w:hint="eastAsia"/>
          <w:color w:val="000000" w:themeColor="text1"/>
        </w:rPr>
        <w:t>员</w:t>
      </w:r>
      <w:r>
        <w:rPr>
          <w:color w:val="000000" w:themeColor="text1"/>
        </w:rPr>
        <w:t>工及新进人员的安全教育工作，提高全体员工的安全意识和自我保护能力；并做好日常的安全教育培训记录；严禁违章作业、违章指挥；安全</w:t>
      </w:r>
      <w:r>
        <w:rPr>
          <w:rFonts w:hint="eastAsia"/>
          <w:color w:val="000000" w:themeColor="text1"/>
        </w:rPr>
        <w:t>生产</w:t>
      </w:r>
      <w:r>
        <w:rPr>
          <w:color w:val="000000" w:themeColor="text1"/>
        </w:rPr>
        <w:t>管理人员及特种作业人员应全员参加培训，经考核合格后，持证上岗</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6）</w:t>
      </w:r>
      <w:r>
        <w:rPr>
          <w:color w:val="000000" w:themeColor="text1"/>
        </w:rPr>
        <w:t>根据生产的实际情况，不断完善安全生产管理规章制度；完善生产、检修等作业的安全操作规程；加强作业现场检维修管理</w:t>
      </w:r>
      <w:r>
        <w:rPr>
          <w:rFonts w:hint="eastAsia"/>
          <w:color w:val="000000" w:themeColor="text1"/>
        </w:rPr>
        <w:t>，</w:t>
      </w:r>
      <w:r>
        <w:rPr>
          <w:color w:val="000000" w:themeColor="text1"/>
        </w:rPr>
        <w:t>做好安全管理台帐</w:t>
      </w:r>
      <w:r>
        <w:rPr>
          <w:rFonts w:hint="eastAsia"/>
          <w:color w:val="000000" w:themeColor="text1"/>
        </w:rPr>
        <w:t>（</w:t>
      </w:r>
      <w:r>
        <w:rPr>
          <w:color w:val="000000" w:themeColor="text1"/>
        </w:rPr>
        <w:t>作业票票证管理</w:t>
      </w:r>
      <w:r>
        <w:rPr>
          <w:rFonts w:hint="eastAsia"/>
          <w:color w:val="000000" w:themeColor="text1"/>
        </w:rPr>
        <w:t>）</w:t>
      </w:r>
      <w:r>
        <w:rPr>
          <w:color w:val="000000" w:themeColor="text1"/>
        </w:rPr>
        <w:t>的记录</w:t>
      </w:r>
      <w:r>
        <w:rPr>
          <w:rFonts w:hint="eastAsia"/>
          <w:color w:val="000000" w:themeColor="text1"/>
        </w:rPr>
        <w:t>。</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7）</w:t>
      </w:r>
      <w:r>
        <w:rPr>
          <w:color w:val="000000" w:themeColor="text1"/>
        </w:rPr>
        <w:t>保证每年安全生产所需要的资金投入，使公司具备安全生产条件，安全资金主要用在以下方面</w:t>
      </w:r>
      <w:r>
        <w:rPr>
          <w:rFonts w:hint="eastAsia"/>
          <w:color w:val="000000" w:themeColor="text1"/>
        </w:rPr>
        <w:t>：</w:t>
      </w:r>
    </w:p>
    <w:p>
      <w:pPr>
        <w:ind w:firstLine="560"/>
        <w:rPr>
          <w:rFonts w:ascii="宋体" w:hAnsi="宋体"/>
        </w:rPr>
      </w:pPr>
      <w:r>
        <w:rPr>
          <w:rFonts w:hint="eastAsia" w:ascii="宋体" w:hAnsi="宋体"/>
          <w:lang w:eastAsia="zh-CN"/>
        </w:rPr>
        <w:t>（</w:t>
      </w:r>
      <w:r>
        <w:rPr>
          <w:rFonts w:hint="eastAsia" w:ascii="宋体" w:hAnsi="宋体"/>
        </w:rPr>
        <w:t>1）完善、改造和维护安全防护设施设备支出（不含“三同时”要求初期投入的安全设施），包括车间、库房、罐区等作业场所的监控、监测、通风、防晒、调温、防火、灭火、防爆、泄压、防毒、消毒、中和、防潮、防雷、防静电、防腐、防渗漏、防护围堤和隔离操作等设施设备支出；</w:t>
      </w:r>
    </w:p>
    <w:p>
      <w:pPr>
        <w:ind w:firstLine="560"/>
        <w:rPr>
          <w:rFonts w:ascii="宋体" w:hAnsi="宋体"/>
        </w:rPr>
      </w:pPr>
      <w:r>
        <w:rPr>
          <w:rFonts w:hint="eastAsia" w:ascii="宋体" w:hAnsi="宋体"/>
          <w:lang w:eastAsia="zh-CN"/>
        </w:rPr>
        <w:t>（</w:t>
      </w:r>
      <w:r>
        <w:rPr>
          <w:rFonts w:hint="eastAsia" w:ascii="宋体" w:hAnsi="宋体"/>
        </w:rPr>
        <w:t>2）配备、维护、保养应急救援器材、设备支出和应急救援队伍建设、应急预案制修订与应急演练支出；</w:t>
      </w:r>
    </w:p>
    <w:p>
      <w:pPr>
        <w:ind w:firstLine="560"/>
        <w:rPr>
          <w:rFonts w:ascii="宋体" w:hAnsi="宋体"/>
        </w:rPr>
      </w:pPr>
      <w:r>
        <w:rPr>
          <w:rFonts w:hint="eastAsia" w:ascii="宋体" w:hAnsi="宋体"/>
          <w:lang w:eastAsia="zh-CN"/>
        </w:rPr>
        <w:t>（</w:t>
      </w:r>
      <w:r>
        <w:rPr>
          <w:rFonts w:hint="eastAsia" w:ascii="宋体" w:hAnsi="宋体"/>
        </w:rPr>
        <w:t>3）开展安全风险分级管控和事故隐患排查整改支出，安全生产风险监测预警系统等安全生产信息系统建设、运维和网络安全支出；</w:t>
      </w:r>
    </w:p>
    <w:p>
      <w:pPr>
        <w:ind w:firstLine="560"/>
        <w:rPr>
          <w:rFonts w:ascii="宋体" w:hAnsi="宋体"/>
        </w:rPr>
      </w:pPr>
      <w:r>
        <w:rPr>
          <w:rFonts w:hint="eastAsia" w:ascii="宋体" w:hAnsi="宋体"/>
          <w:lang w:eastAsia="zh-CN"/>
        </w:rPr>
        <w:t>（</w:t>
      </w:r>
      <w:r>
        <w:rPr>
          <w:rFonts w:hint="eastAsia" w:ascii="宋体" w:hAnsi="宋体"/>
        </w:rPr>
        <w:t>4）安全生产检查、评估评价（不含新建、改建、扩建项目安全评价）、咨询和标准化建设支出；</w:t>
      </w:r>
    </w:p>
    <w:p>
      <w:pPr>
        <w:ind w:firstLine="560"/>
        <w:rPr>
          <w:rFonts w:ascii="宋体" w:hAnsi="宋体"/>
        </w:rPr>
      </w:pPr>
      <w:r>
        <w:rPr>
          <w:rFonts w:hint="eastAsia" w:ascii="宋体" w:hAnsi="宋体"/>
          <w:lang w:eastAsia="zh-CN"/>
        </w:rPr>
        <w:t>（</w:t>
      </w:r>
      <w:r>
        <w:rPr>
          <w:rFonts w:hint="eastAsia" w:ascii="宋体" w:hAnsi="宋体"/>
        </w:rPr>
        <w:t>5）配备和更新现场作业人员安全防护用品支出；</w:t>
      </w:r>
    </w:p>
    <w:p>
      <w:pPr>
        <w:ind w:firstLine="560"/>
        <w:rPr>
          <w:rFonts w:ascii="宋体" w:hAnsi="宋体"/>
        </w:rPr>
      </w:pPr>
      <w:r>
        <w:rPr>
          <w:rFonts w:hint="eastAsia" w:ascii="宋体" w:hAnsi="宋体"/>
          <w:lang w:eastAsia="zh-CN"/>
        </w:rPr>
        <w:t>（</w:t>
      </w:r>
      <w:r>
        <w:rPr>
          <w:rFonts w:hint="eastAsia" w:ascii="宋体" w:hAnsi="宋体"/>
        </w:rPr>
        <w:t>6）安全生产宣传、教育、培训和从业人员发现并报告事故隐患的奖励支出；</w:t>
      </w:r>
    </w:p>
    <w:p>
      <w:pPr>
        <w:ind w:firstLine="560"/>
        <w:rPr>
          <w:rFonts w:ascii="宋体" w:hAnsi="宋体"/>
        </w:rPr>
      </w:pPr>
      <w:r>
        <w:rPr>
          <w:rFonts w:hint="eastAsia" w:ascii="宋体" w:hAnsi="宋体"/>
          <w:lang w:eastAsia="zh-CN"/>
        </w:rPr>
        <w:t>（</w:t>
      </w:r>
      <w:r>
        <w:rPr>
          <w:rFonts w:hint="eastAsia" w:ascii="宋体" w:hAnsi="宋体"/>
        </w:rPr>
        <w:t>7）安全生产适用的新技术、新标准、新工艺、新装备的推广应用支出；</w:t>
      </w:r>
    </w:p>
    <w:p>
      <w:pPr>
        <w:ind w:firstLine="560"/>
        <w:rPr>
          <w:rFonts w:ascii="宋体" w:hAnsi="宋体"/>
        </w:rPr>
      </w:pPr>
      <w:r>
        <w:rPr>
          <w:rFonts w:hint="eastAsia" w:ascii="宋体" w:hAnsi="宋体"/>
          <w:lang w:eastAsia="zh-CN"/>
        </w:rPr>
        <w:t>（</w:t>
      </w:r>
      <w:r>
        <w:rPr>
          <w:rFonts w:hint="eastAsia" w:ascii="宋体" w:hAnsi="宋体"/>
        </w:rPr>
        <w:t>8）全设施及特种设备检测检验、检定校准支出；</w:t>
      </w:r>
    </w:p>
    <w:p>
      <w:pPr>
        <w:ind w:firstLine="560"/>
        <w:rPr>
          <w:rFonts w:ascii="宋体" w:hAnsi="宋体"/>
        </w:rPr>
      </w:pPr>
      <w:r>
        <w:rPr>
          <w:rFonts w:hint="eastAsia" w:ascii="宋体" w:hAnsi="宋体"/>
          <w:lang w:eastAsia="zh-CN"/>
        </w:rPr>
        <w:t>（</w:t>
      </w:r>
      <w:r>
        <w:rPr>
          <w:rFonts w:hint="eastAsia" w:ascii="宋体" w:hAnsi="宋体"/>
        </w:rPr>
        <w:t>9）安全生产责任保险支出；</w:t>
      </w:r>
    </w:p>
    <w:p>
      <w:pPr>
        <w:ind w:firstLine="560"/>
        <w:rPr>
          <w:rFonts w:ascii="宋体" w:hAnsi="宋体"/>
        </w:rPr>
      </w:pPr>
      <w:r>
        <w:rPr>
          <w:rFonts w:hint="eastAsia" w:ascii="宋体" w:hAnsi="宋体"/>
          <w:lang w:eastAsia="zh-CN"/>
        </w:rPr>
        <w:t>（</w:t>
      </w:r>
      <w:r>
        <w:rPr>
          <w:rFonts w:hint="eastAsia" w:ascii="宋体" w:hAnsi="宋体"/>
        </w:rPr>
        <w:t>10）与安全生产直接相关的其他支出。</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8）</w:t>
      </w:r>
      <w:r>
        <w:rPr>
          <w:color w:val="000000" w:themeColor="text1"/>
        </w:rPr>
        <w:t>应按《中华人民共和国安全生产法》</w:t>
      </w:r>
      <w:r>
        <w:rPr>
          <w:rFonts w:hint="eastAsia" w:ascii="宋体" w:hAnsi="宋体"/>
          <w:color w:val="000000" w:themeColor="text1"/>
          <w:szCs w:val="20"/>
        </w:rPr>
        <w:t>（</w:t>
      </w:r>
      <w:r>
        <w:rPr>
          <w:rFonts w:hint="eastAsia"/>
          <w:color w:val="000000" w:themeColor="text1"/>
        </w:rPr>
        <w:t>中华人民共和国主席令第88号</w:t>
      </w:r>
      <w:r>
        <w:rPr>
          <w:rFonts w:hint="eastAsia" w:ascii="宋体" w:hAnsi="宋体"/>
          <w:color w:val="000000" w:themeColor="text1"/>
          <w:szCs w:val="20"/>
        </w:rPr>
        <w:t>）</w:t>
      </w:r>
      <w:r>
        <w:rPr>
          <w:color w:val="000000" w:themeColor="text1"/>
        </w:rPr>
        <w:t>第</w:t>
      </w:r>
      <w:r>
        <w:rPr>
          <w:rFonts w:hint="eastAsia"/>
          <w:color w:val="000000" w:themeColor="text1"/>
        </w:rPr>
        <w:t>五</w:t>
      </w:r>
      <w:r>
        <w:rPr>
          <w:color w:val="000000" w:themeColor="text1"/>
        </w:rPr>
        <w:t>十</w:t>
      </w:r>
      <w:r>
        <w:rPr>
          <w:rFonts w:hint="eastAsia"/>
          <w:color w:val="000000" w:themeColor="text1"/>
        </w:rPr>
        <w:t>一</w:t>
      </w:r>
      <w:r>
        <w:rPr>
          <w:color w:val="000000" w:themeColor="text1"/>
        </w:rPr>
        <w:t>条</w:t>
      </w:r>
      <w:r>
        <w:rPr>
          <w:rFonts w:hint="eastAsia"/>
          <w:color w:val="000000" w:themeColor="text1"/>
        </w:rPr>
        <w:t>“</w:t>
      </w:r>
      <w:r>
        <w:rPr>
          <w:color w:val="000000" w:themeColor="text1"/>
        </w:rPr>
        <w:t>生产经营单位必须依法参加工伤社会保险，为从业人员缴纳保险费</w:t>
      </w:r>
      <w:r>
        <w:rPr>
          <w:rFonts w:hint="eastAsia"/>
          <w:color w:val="000000" w:themeColor="text1"/>
        </w:rPr>
        <w:t>”</w:t>
      </w:r>
      <w:r>
        <w:rPr>
          <w:color w:val="000000" w:themeColor="text1"/>
        </w:rPr>
        <w:t>的规定依法为从业人员缴纳工伤保险。</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9）</w:t>
      </w:r>
      <w:r>
        <w:rPr>
          <w:color w:val="000000" w:themeColor="text1"/>
        </w:rPr>
        <w:t>定期为作业人员配发合格的劳动防护用品，并严格监督作业人员的劳动防护用品佩戴情况，及时更换失效的劳动防护用品。</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10）</w:t>
      </w:r>
      <w:r>
        <w:rPr>
          <w:color w:val="000000" w:themeColor="text1"/>
        </w:rPr>
        <w:t>加强人员安全培训教育，定期组织安全培训教育活动，提高</w:t>
      </w:r>
      <w:r>
        <w:rPr>
          <w:rFonts w:hint="eastAsia"/>
          <w:color w:val="000000" w:themeColor="text1"/>
        </w:rPr>
        <w:t>员</w:t>
      </w:r>
      <w:r>
        <w:rPr>
          <w:color w:val="000000" w:themeColor="text1"/>
        </w:rPr>
        <w:t>工安全意识，掌握紧急事故处理、救援知识和实际操作方法</w:t>
      </w:r>
      <w:r>
        <w:rPr>
          <w:rFonts w:hint="eastAsia"/>
          <w:color w:val="000000" w:themeColor="text1"/>
        </w:rPr>
        <w:t>。</w:t>
      </w:r>
    </w:p>
    <w:p>
      <w:pPr>
        <w:pStyle w:val="5"/>
        <w:keepNext w:val="0"/>
        <w:keepLines w:val="0"/>
        <w:ind w:firstLine="562"/>
      </w:pPr>
      <w:bookmarkStart w:id="1669" w:name="_Toc515540404"/>
      <w:bookmarkStart w:id="1670" w:name="_Toc18494"/>
      <w:bookmarkStart w:id="1671" w:name="_Toc955"/>
      <w:bookmarkStart w:id="1672" w:name="_Toc28011"/>
      <w:bookmarkStart w:id="1673" w:name="_Toc12521"/>
      <w:bookmarkStart w:id="1674" w:name="_Toc128056474"/>
      <w:bookmarkStart w:id="1675" w:name="_Toc19818"/>
      <w:bookmarkStart w:id="1676" w:name="_Toc520297572"/>
      <w:bookmarkStart w:id="1677" w:name="_Toc18978"/>
      <w:bookmarkStart w:id="1678" w:name="_Toc10545"/>
      <w:bookmarkStart w:id="1679" w:name="_Toc16036"/>
      <w:bookmarkStart w:id="1680" w:name="_Toc28303"/>
      <w:bookmarkStart w:id="1681" w:name="_Toc29043"/>
      <w:bookmarkStart w:id="1682" w:name="_Toc5857"/>
      <w:bookmarkStart w:id="1683" w:name="_Toc15929"/>
      <w:bookmarkStart w:id="1684" w:name="_Toc3773"/>
      <w:r>
        <w:rPr>
          <w:rFonts w:hint="eastAsia"/>
        </w:rPr>
        <w:t>7.2.3 其他方面</w:t>
      </w:r>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w:t>
      </w:r>
      <w:r>
        <w:rPr>
          <w:rFonts w:hint="eastAsia"/>
          <w:color w:val="000000" w:themeColor="text1"/>
        </w:rPr>
        <w:t>不得将生产项目、场所、设备发包或者出租给不具备安全生产条件或者相应资质的单位或者个人。</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w:t>
      </w:r>
      <w:r>
        <w:rPr>
          <w:rFonts w:hint="eastAsia"/>
          <w:color w:val="000000" w:themeColor="text1"/>
        </w:rPr>
        <w:t>与从业人员订立劳动合同。订立的劳动合同，应当载明有关保障从业人员劳动安全、防止职业危害的事项，以及依法为从业人员办理工伤社会保险的事项。生产单位不得以任何形式与从业人员订立协议，免除或者减轻其对从业人员因生产安全事故伤亡依法应承担的责任。</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w:t>
      </w:r>
      <w:r>
        <w:rPr>
          <w:rFonts w:hint="eastAsia"/>
        </w:rPr>
        <w:t>企业涉及特殊作业时，应严格按照《危险化学品企业特殊作业安全规范》（GB30871-2022）的相关要求进行作业。</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w:t>
      </w:r>
      <w:r>
        <w:rPr>
          <w:rFonts w:hint="eastAsia"/>
          <w:color w:val="000000" w:themeColor="text1"/>
        </w:rPr>
        <w:t>企业应建立和完善上岗、在岗期间和离岗的职业健康检查，完善和规范职业健康管理。为劳动者建立职业健康监护档案，并按照规定的期限妥善保存。</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w:t>
      </w:r>
      <w:r>
        <w:rPr>
          <w:rFonts w:hint="eastAsia"/>
          <w:color w:val="000000" w:themeColor="text1"/>
        </w:rPr>
        <w:t>发生事故后，应立即启动相关应急预案，积极开展事故救援；应急结束后，应编制应急救援报告。</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6）</w:t>
      </w:r>
      <w:r>
        <w:rPr>
          <w:rFonts w:hint="eastAsia"/>
          <w:color w:val="000000" w:themeColor="text1"/>
        </w:rPr>
        <w:t>生产单位应当建立健全事故隐患排查治理和建档监控等管理制度，逐级建立并落实从主要负责人到每个从业人员的隐患排查治理和监控责任制。</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7）</w:t>
      </w:r>
      <w:r>
        <w:rPr>
          <w:rFonts w:hint="eastAsia"/>
          <w:color w:val="000000" w:themeColor="text1"/>
        </w:rPr>
        <w:t>生产单位应当保证事故隐患排查治理所需的资金，建立资金使用专项制度。</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8）</w:t>
      </w:r>
      <w:r>
        <w:rPr>
          <w:rFonts w:hint="eastAsia"/>
          <w:color w:val="000000" w:themeColor="text1"/>
        </w:rPr>
        <w:t>生产单位对排查出的事故隐患，应当按照事故隐患的等级进行登记，建立事故隐患信息档案，并按照职责分工实施监控治理。</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9）</w:t>
      </w:r>
      <w:r>
        <w:rPr>
          <w:rFonts w:hint="eastAsia"/>
          <w:color w:val="000000" w:themeColor="text1"/>
        </w:rPr>
        <w:t>对于一般事故隐患，由生产单位负责人或者有关人员立即组织整改；对于重大事故隐患，由生产单位主要负责人组织制定并实施事故隐患治理方案。</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10）</w:t>
      </w:r>
      <w:r>
        <w:rPr>
          <w:rFonts w:hint="eastAsia"/>
          <w:color w:val="000000" w:themeColor="text1"/>
        </w:rPr>
        <w:t>生产单位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以停产或者停止使用的相关生产储存装置、设施、设备，应当加强维护和保养，防止事故发生。</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11）</w:t>
      </w:r>
      <w:r>
        <w:rPr>
          <w:rFonts w:hint="eastAsia"/>
          <w:color w:val="000000" w:themeColor="text1"/>
        </w:rPr>
        <w:t>制定综合检维修计划，加强日常检维修和定期检维修管理，落实“五定”原则，即定检维修方案、定检维修人员、定安全措施、定检维修质量、定检维修进度，并做好记录。</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12）</w:t>
      </w:r>
      <w:r>
        <w:rPr>
          <w:rFonts w:hint="eastAsia"/>
          <w:color w:val="000000" w:themeColor="text1"/>
        </w:rPr>
        <w:t>检维修方案包含作业安全风险分析、控制措施、应急处置措施及安全验收标准。检维修过程中执行安全控制措施，隔离能量和危险物质，并进行监督检查，检维修后应进行安全确认。</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13）</w:t>
      </w:r>
      <w:r>
        <w:rPr>
          <w:rFonts w:hint="eastAsia"/>
          <w:color w:val="000000" w:themeColor="text1"/>
        </w:rPr>
        <w:t>危险性较大的作业活动，实施作业许可管理，严格履行作业许可审批手续。作业许可包含安全风险分析、安全及职业病危害防护措施、应急处置等内容。作业许可实行闭环管理。</w:t>
      </w:r>
    </w:p>
    <w:p>
      <w:pPr>
        <w:pStyle w:val="66"/>
        <w:numPr>
          <w:ilvl w:val="2"/>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14）</w:t>
      </w:r>
      <w:r>
        <w:rPr>
          <w:rFonts w:hint="eastAsia"/>
          <w:color w:val="000000" w:themeColor="text1"/>
        </w:rPr>
        <w:t>两个以上作业队伍在同一作业区域内进行作业活动时，不同作业队伍相互之间签订管理协议，明确各自的安全生产、职业卫生管理职责和采取的有效措施，并指定专人进行检査与协调。</w:t>
      </w:r>
    </w:p>
    <w:p>
      <w:pPr>
        <w:pStyle w:val="66"/>
        <w:numPr>
          <w:ilvl w:val="2"/>
          <w:numId w:val="0"/>
        </w:numPr>
        <w:topLinePunct/>
        <w:ind w:left="0" w:leftChars="0" w:firstLine="560" w:firstLineChars="200"/>
        <w:rPr>
          <w:rFonts w:ascii="宋体" w:hAnsi="宋体"/>
          <w:color w:val="000000" w:themeColor="text1"/>
          <w:szCs w:val="20"/>
        </w:rPr>
      </w:pPr>
      <w:r>
        <w:rPr>
          <w:rFonts w:ascii="宋体" w:hAnsi="宋体" w:eastAsia="宋体" w:cs="Times New Roman"/>
          <w:color w:val="000000" w:themeColor="text1"/>
          <w:kern w:val="2"/>
          <w:sz w:val="28"/>
          <w:szCs w:val="20"/>
          <w:lang w:val="en-US" w:eastAsia="zh-CN" w:bidi="ar-SA"/>
        </w:rPr>
        <w:t>15）</w:t>
      </w:r>
      <w:r>
        <w:rPr>
          <w:rFonts w:hint="eastAsia"/>
          <w:color w:val="000000" w:themeColor="text1"/>
        </w:rPr>
        <w:t>安全设备设施不得随意拆除、挪用或弃置不用；确因检维修拆除的，采取临时安全措施，检维修完毕后立即复原。</w:t>
      </w:r>
      <w:bookmarkStart w:id="1685" w:name="_Toc503269940"/>
    </w:p>
    <w:p>
      <w:pPr>
        <w:pStyle w:val="5"/>
        <w:ind w:firstLine="562"/>
      </w:pPr>
      <w:bookmarkStart w:id="1686" w:name="_Toc25364"/>
      <w:bookmarkStart w:id="1687" w:name="_Toc20056"/>
      <w:bookmarkStart w:id="1688" w:name="_Toc19744"/>
      <w:bookmarkStart w:id="1689" w:name="_Toc338"/>
      <w:bookmarkStart w:id="1690" w:name="_Toc24471"/>
      <w:bookmarkStart w:id="1691" w:name="_Toc2033"/>
      <w:bookmarkStart w:id="1692" w:name="_Toc28025"/>
      <w:bookmarkStart w:id="1693" w:name="_Toc128056475"/>
      <w:bookmarkStart w:id="1694" w:name="_Toc30702"/>
      <w:bookmarkStart w:id="1695" w:name="_Toc18905"/>
      <w:bookmarkStart w:id="1696" w:name="_Toc4099"/>
      <w:bookmarkStart w:id="1697" w:name="_Toc32416"/>
      <w:bookmarkStart w:id="1698" w:name="_Toc3101"/>
      <w:bookmarkStart w:id="1699" w:name="_Toc23562"/>
      <w:bookmarkStart w:id="1700" w:name="_Toc62740961"/>
      <w:r>
        <w:rPr>
          <w:rFonts w:hint="eastAsia"/>
        </w:rPr>
        <w:t>7.2.4 应急救援对策措施及建议</w:t>
      </w:r>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w:t>
      </w:r>
      <w:r>
        <w:rPr>
          <w:color w:val="000000" w:themeColor="text1"/>
        </w:rPr>
        <w:t>应按《生产经营单位生产安全事故应急预案编制导则》（GB/T29639-20</w:t>
      </w:r>
      <w:r>
        <w:rPr>
          <w:rFonts w:hint="eastAsia"/>
          <w:color w:val="000000" w:themeColor="text1"/>
        </w:rPr>
        <w:t>20</w:t>
      </w:r>
      <w:r>
        <w:rPr>
          <w:color w:val="000000" w:themeColor="text1"/>
        </w:rPr>
        <w:t>）</w:t>
      </w:r>
      <w:r>
        <w:rPr>
          <w:rFonts w:hint="eastAsia"/>
          <w:color w:val="000000" w:themeColor="text1"/>
        </w:rPr>
        <w:t>、</w:t>
      </w:r>
      <w:r>
        <w:rPr>
          <w:rFonts w:hint="eastAsia" w:ascii="宋体" w:hAnsi="宋体"/>
          <w:color w:val="000000" w:themeColor="text1"/>
        </w:rPr>
        <w:t>《生产安全事故应急预案管理办法》（国家安全生产监督管理总局令第88号，</w:t>
      </w:r>
      <w:r>
        <w:rPr>
          <w:rFonts w:hint="eastAsia" w:ascii="宋体" w:hAnsi="宋体" w:cs="宋体"/>
          <w:color w:val="000000" w:themeColor="text1"/>
          <w:szCs w:val="28"/>
          <w:shd w:val="clear" w:color="auto" w:fill="FFFFFF"/>
        </w:rPr>
        <w:t>根据2019年7月11日应急管理部令第2号修正</w:t>
      </w:r>
      <w:r>
        <w:rPr>
          <w:rFonts w:hint="eastAsia" w:ascii="宋体" w:hAnsi="宋体" w:cs="宋体"/>
          <w:color w:val="000000" w:themeColor="text1"/>
          <w:szCs w:val="28"/>
        </w:rPr>
        <w:t>）</w:t>
      </w:r>
      <w:r>
        <w:rPr>
          <w:rFonts w:hint="eastAsia"/>
          <w:color w:val="000000" w:themeColor="text1"/>
        </w:rPr>
        <w:t>等</w:t>
      </w:r>
      <w:r>
        <w:rPr>
          <w:color w:val="000000" w:themeColor="text1"/>
        </w:rPr>
        <w:t>的相关要求，</w:t>
      </w:r>
      <w:r>
        <w:rPr>
          <w:rFonts w:hint="eastAsia" w:ascii="宋体" w:hAnsi="宋体"/>
          <w:color w:val="000000" w:themeColor="text1"/>
        </w:rPr>
        <w:t>结合企业实际情况、危险特性以及发生事故后可能波</w:t>
      </w:r>
      <w:r>
        <w:rPr>
          <w:rFonts w:hint="eastAsia"/>
          <w:color w:val="000000" w:themeColor="text1"/>
        </w:rPr>
        <w:t>及的范围、严重程度及应急救援措施，完善生产安全事故应急预案，应急预案体系应包括综合预案、专项预案、现场处置方案、相关附件（附件包括有关应急部门、机构或人员的联系方式；应急物资装备的名录或清单；相关平面布置图纸、救援力量的分布图纸等，有关协议或备忘录等）。</w:t>
      </w:r>
      <w:r>
        <w:rPr>
          <w:color w:val="000000" w:themeColor="text1"/>
        </w:rPr>
        <w:t>定期进行演练、培训。应急预案中应明确各类联系方式和方法；应急预案应定期组织</w:t>
      </w:r>
      <w:r>
        <w:rPr>
          <w:rFonts w:hint="eastAsia"/>
          <w:color w:val="000000" w:themeColor="text1"/>
        </w:rPr>
        <w:t>员</w:t>
      </w:r>
      <w:r>
        <w:rPr>
          <w:color w:val="000000" w:themeColor="text1"/>
        </w:rPr>
        <w:t>工进行演练，每</w:t>
      </w:r>
      <w:r>
        <w:rPr>
          <w:rFonts w:hint="eastAsia"/>
          <w:color w:val="000000" w:themeColor="text1"/>
        </w:rPr>
        <w:t>半</w:t>
      </w:r>
      <w:r>
        <w:rPr>
          <w:color w:val="000000" w:themeColor="text1"/>
        </w:rPr>
        <w:t>年</w:t>
      </w:r>
      <w:r>
        <w:rPr>
          <w:rFonts w:hint="eastAsia"/>
          <w:color w:val="000000" w:themeColor="text1"/>
        </w:rPr>
        <w:t>至</w:t>
      </w:r>
      <w:r>
        <w:rPr>
          <w:color w:val="000000" w:themeColor="text1"/>
        </w:rPr>
        <w:t>少一次</w:t>
      </w:r>
      <w:r>
        <w:rPr>
          <w:rFonts w:hint="eastAsia"/>
          <w:color w:val="000000" w:themeColor="text1"/>
        </w:rPr>
        <w:t>生产安全事故应急预案演练</w:t>
      </w:r>
      <w:r>
        <w:rPr>
          <w:color w:val="000000" w:themeColor="text1"/>
        </w:rPr>
        <w:t>。</w:t>
      </w:r>
      <w:r>
        <w:rPr>
          <w:rFonts w:hint="eastAsia"/>
          <w:color w:val="000000" w:themeColor="text1"/>
        </w:rPr>
        <w:t>并对演练过程、效果、经验、存在问题、改进措施进行总结。</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w:t>
      </w:r>
      <w:r>
        <w:rPr>
          <w:color w:val="000000" w:themeColor="text1"/>
        </w:rPr>
        <w:t>企业应建立健全事故应急救援体系。依据国家相关法律法规及标准要求，建立、健全应急组织和专（兼）职应急队伍，明确职责，并定期进行事故应急演练。</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w:t>
      </w:r>
      <w:r>
        <w:rPr>
          <w:color w:val="000000" w:themeColor="text1"/>
        </w:rPr>
        <w:t>企业应配置与抵御企业风险要求相适应的应急装备、物资，做好应急装备、物资的日常管理维护，配备必要的应急药品和急救器材。</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w:t>
      </w:r>
      <w:r>
        <w:rPr>
          <w:color w:val="000000" w:themeColor="text1"/>
        </w:rPr>
        <w:t>企业应当在编制应急预案的基础上，针对工作场所、岗位的特点，编制简明、实用、有效的应急处置卡。应急处置卡应当规定重点岗位、人员的应急处置程序和措施，以及相关联络人员和联系方式，便于从业人员携带。</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w:t>
      </w:r>
      <w:r>
        <w:rPr>
          <w:color w:val="000000" w:themeColor="text1"/>
        </w:rPr>
        <w:t>企业应当组织开展本单位的应急预案、应急知识、自救互救和避险逃生技能的培训活动，使有关人员了解应急预案内容，熟悉应急职责、应急处置程序和措施。</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6）</w:t>
      </w:r>
      <w:r>
        <w:rPr>
          <w:color w:val="000000" w:themeColor="text1"/>
        </w:rPr>
        <w:t>企业应当按照应急预案的规定，落实应急指挥体系、应急救援队伍、应急物资及装备，建立应急物资、装备配备及其使用档案，并对应急物资、装备进行定期检测和维护，使其处于适用状态。</w:t>
      </w:r>
    </w:p>
    <w:p>
      <w:pPr>
        <w:pStyle w:val="66"/>
        <w:numPr>
          <w:ilvl w:val="0"/>
          <w:numId w:val="0"/>
        </w:numPr>
        <w:topLinePunct/>
        <w:ind w:left="0" w:leftChars="0"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7）</w:t>
      </w:r>
      <w:r>
        <w:rPr>
          <w:rFonts w:hint="eastAsia" w:ascii="宋体" w:hAnsi="宋体"/>
          <w:color w:val="000000" w:themeColor="text1"/>
        </w:rPr>
        <w:t>按</w:t>
      </w:r>
      <w:r>
        <w:rPr>
          <w:rFonts w:hint="eastAsia"/>
          <w:color w:val="000000" w:themeColor="text1"/>
        </w:rPr>
        <w:t>《生产经营单位生产安全事故应急预案评估指南》</w:t>
      </w:r>
      <w:r>
        <w:rPr>
          <w:rFonts w:hint="eastAsia" w:ascii="宋体" w:hAnsi="宋体"/>
          <w:color w:val="000000" w:themeColor="text1"/>
        </w:rPr>
        <w:t>（AQ/T9011-2019）</w:t>
      </w:r>
      <w:r>
        <w:rPr>
          <w:rFonts w:hint="eastAsia"/>
          <w:color w:val="000000" w:themeColor="text1"/>
        </w:rPr>
        <w:t>的规定，对应急演练的效果进行评估，根据评估结果，修订、完善应急预案，改进应急管理工作。</w:t>
      </w:r>
    </w:p>
    <w:p>
      <w:pPr>
        <w:pStyle w:val="66"/>
        <w:numPr>
          <w:ilvl w:val="0"/>
          <w:numId w:val="0"/>
        </w:numPr>
        <w:topLinePunct/>
        <w:ind w:left="0" w:leftChars="0" w:firstLine="560" w:firstLineChars="200"/>
        <w:rPr>
          <w:rFonts w:ascii="宋体" w:hAnsi="宋体" w:cs="宋体"/>
          <w:color w:val="000000" w:themeColor="text1"/>
          <w:kern w:val="0"/>
          <w:szCs w:val="28"/>
        </w:rPr>
      </w:pPr>
      <w:r>
        <w:rPr>
          <w:rFonts w:ascii="宋体" w:hAnsi="宋体" w:eastAsia="宋体" w:cs="宋体"/>
          <w:color w:val="000000" w:themeColor="text1"/>
          <w:kern w:val="0"/>
          <w:sz w:val="28"/>
          <w:szCs w:val="28"/>
          <w:lang w:val="en-US" w:eastAsia="zh-CN" w:bidi="ar-SA"/>
        </w:rPr>
        <w:t>8）</w:t>
      </w:r>
      <w:r>
        <w:rPr>
          <w:rFonts w:hint="eastAsia"/>
          <w:color w:val="000000" w:themeColor="text1"/>
        </w:rPr>
        <w:t>企业应对预案每三年修订</w:t>
      </w:r>
      <w:r>
        <w:rPr>
          <w:rFonts w:hint="eastAsia" w:ascii="宋体" w:hAnsi="宋体" w:cs="宋体"/>
          <w:color w:val="000000" w:themeColor="text1"/>
          <w:kern w:val="0"/>
          <w:szCs w:val="28"/>
        </w:rPr>
        <w:t>一次；有下列情形之一时，应急预案及时修订：</w:t>
      </w:r>
    </w:p>
    <w:p>
      <w:pPr>
        <w:widowControl/>
        <w:numPr>
          <w:ilvl w:val="0"/>
          <w:numId w:val="0"/>
        </w:numPr>
        <w:shd w:val="clear" w:color="auto" w:fill="FFFFFF"/>
        <w:ind w:firstLine="560" w:firstLineChars="200"/>
        <w:jc w:val="left"/>
        <w:rPr>
          <w:rFonts w:ascii="宋体" w:hAnsi="宋体" w:cs="宋体"/>
          <w:kern w:val="0"/>
          <w:szCs w:val="28"/>
          <w:shd w:val="clear" w:color="auto" w:fill="FFFFFF"/>
        </w:rPr>
      </w:pPr>
      <w:r>
        <w:rPr>
          <w:rFonts w:hint="eastAsia" w:ascii="宋体" w:hAnsi="宋体" w:cs="宋体"/>
          <w:color w:val="000000"/>
          <w:kern w:val="0"/>
          <w:sz w:val="28"/>
          <w:szCs w:val="28"/>
          <w:shd w:val="clear" w:fill="FFFFFF"/>
          <w:lang w:val="en-US" w:eastAsia="zh-CN" w:bidi="ar-SA"/>
        </w:rPr>
        <w:t>（</w:t>
      </w:r>
      <w:r>
        <w:rPr>
          <w:rFonts w:ascii="宋体" w:hAnsi="宋体" w:eastAsia="宋体" w:cs="宋体"/>
          <w:color w:val="000000"/>
          <w:kern w:val="0"/>
          <w:sz w:val="28"/>
          <w:szCs w:val="28"/>
          <w:shd w:val="clear" w:fill="FFFFFF"/>
          <w:lang w:val="en-US" w:eastAsia="zh-CN" w:bidi="ar-SA"/>
        </w:rPr>
        <w:t>1）</w:t>
      </w:r>
      <w:r>
        <w:rPr>
          <w:rFonts w:hint="eastAsia" w:ascii="宋体" w:hAnsi="宋体" w:cs="宋体"/>
          <w:kern w:val="0"/>
          <w:szCs w:val="28"/>
          <w:shd w:val="clear" w:color="auto" w:fill="FFFFFF"/>
        </w:rPr>
        <w:t>依据的法律、法规、规章、标准及上位预案中的有关规定发生重大变化的；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2）应急指挥机构及其职责发生调整的；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3）面临的事故风险发生重大变化的；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4）重要应急资源发生重大变化的；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5）预案中的其他重要信息发生变化的；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6）在应急演练和事故应急救援中发现问题需要修订的；</w:t>
      </w:r>
    </w:p>
    <w:p>
      <w:pPr>
        <w:widowControl/>
        <w:shd w:val="clear" w:color="auto" w:fill="FFFFFF"/>
        <w:ind w:left="560" w:leftChars="200" w:firstLine="0" w:firstLineChars="0"/>
        <w:jc w:val="left"/>
        <w:rPr>
          <w:rFonts w:ascii="宋体" w:hAnsi="宋体" w:cs="宋体"/>
          <w:color w:val="333333"/>
          <w:szCs w:val="28"/>
        </w:rPr>
      </w:pPr>
      <w:r>
        <w:rPr>
          <w:rFonts w:hint="eastAsia" w:ascii="宋体" w:hAnsi="宋体" w:cs="宋体"/>
          <w:kern w:val="0"/>
          <w:szCs w:val="28"/>
          <w:shd w:val="clear" w:color="auto" w:fill="FFFFFF"/>
          <w:lang w:eastAsia="zh-CN"/>
        </w:rPr>
        <w:t>（</w:t>
      </w:r>
      <w:r>
        <w:rPr>
          <w:rFonts w:hint="eastAsia" w:ascii="宋体" w:hAnsi="宋体" w:cs="宋体"/>
          <w:kern w:val="0"/>
          <w:szCs w:val="28"/>
          <w:shd w:val="clear" w:color="auto" w:fill="FFFFFF"/>
        </w:rPr>
        <w:t>7）编制单位认为应当修订的其他情况。</w:t>
      </w:r>
    </w:p>
    <w:p>
      <w:pPr>
        <w:pStyle w:val="66"/>
        <w:numPr>
          <w:ilvl w:val="0"/>
          <w:numId w:val="0"/>
        </w:numPr>
        <w:topLinePunct/>
        <w:ind w:left="0" w:leftChars="0" w:firstLine="560" w:firstLineChars="200"/>
        <w:rPr>
          <w:rFonts w:ascii="宋体" w:hAnsi="宋体" w:cs="宋体"/>
          <w:color w:val="000000" w:themeColor="text1"/>
          <w:kern w:val="0"/>
          <w:szCs w:val="28"/>
        </w:rPr>
      </w:pPr>
      <w:r>
        <w:rPr>
          <w:rFonts w:ascii="宋体" w:hAnsi="宋体" w:eastAsia="宋体" w:cs="宋体"/>
          <w:color w:val="000000" w:themeColor="text1"/>
          <w:kern w:val="0"/>
          <w:sz w:val="28"/>
          <w:szCs w:val="28"/>
          <w:lang w:val="en-US" w:eastAsia="zh-CN" w:bidi="ar-SA"/>
        </w:rPr>
        <w:t>9）</w:t>
      </w:r>
      <w:r>
        <w:rPr>
          <w:rFonts w:hint="eastAsia"/>
          <w:color w:val="000000" w:themeColor="text1"/>
        </w:rPr>
        <w:t>发生事故后，应立即启动相关应急预案，积极开展事故救援；应急结束后，应编制应急救援报告。</w:t>
      </w:r>
    </w:p>
    <w:p>
      <w:pPr>
        <w:pStyle w:val="66"/>
        <w:topLinePunct/>
        <w:ind w:left="560" w:leftChars="200" w:firstLine="0" w:firstLineChars="0"/>
        <w:rPr>
          <w:color w:val="000000" w:themeColor="text1"/>
        </w:rPr>
      </w:pPr>
    </w:p>
    <w:p>
      <w:pPr>
        <w:pStyle w:val="66"/>
        <w:topLinePunct/>
        <w:ind w:left="560" w:leftChars="200" w:firstLine="0" w:firstLineChars="0"/>
        <w:rPr>
          <w:color w:val="000000" w:themeColor="text1"/>
        </w:rPr>
      </w:pPr>
    </w:p>
    <w:p>
      <w:pPr>
        <w:pStyle w:val="66"/>
        <w:topLinePunct/>
        <w:ind w:firstLine="0" w:firstLineChars="0"/>
        <w:rPr>
          <w:color w:val="000000" w:themeColor="text1"/>
        </w:rPr>
      </w:pPr>
    </w:p>
    <w:p>
      <w:pPr>
        <w:pStyle w:val="3"/>
        <w:rPr>
          <w:rFonts w:ascii="宋体" w:hAnsi="宋体" w:eastAsia="宋体" w:cs="宋体"/>
          <w:b/>
          <w:bCs w:val="0"/>
          <w:color w:val="000000" w:themeColor="text1"/>
        </w:rPr>
      </w:pPr>
      <w:bookmarkStart w:id="1701" w:name="_Toc11875"/>
      <w:bookmarkStart w:id="1702" w:name="_Toc3508"/>
      <w:bookmarkStart w:id="1703" w:name="_Toc1213"/>
      <w:bookmarkStart w:id="1704" w:name="_Toc5890"/>
      <w:bookmarkStart w:id="1705" w:name="_Toc22269"/>
      <w:bookmarkStart w:id="1706" w:name="_Toc128056476"/>
      <w:bookmarkStart w:id="1707" w:name="_Toc28010"/>
      <w:bookmarkStart w:id="1708" w:name="_Toc8735"/>
      <w:bookmarkStart w:id="1709" w:name="_Toc23063"/>
      <w:bookmarkStart w:id="1710" w:name="_Toc7617"/>
      <w:bookmarkStart w:id="1711" w:name="_Toc28370"/>
      <w:bookmarkStart w:id="1712" w:name="_Toc16830"/>
      <w:bookmarkStart w:id="1713" w:name="_Toc827"/>
      <w:bookmarkStart w:id="1714" w:name="_Toc27031"/>
      <w:bookmarkStart w:id="1715" w:name="_Toc12457"/>
      <w:bookmarkStart w:id="1716" w:name="_Toc15836"/>
      <w:bookmarkStart w:id="1717" w:name="_Toc18625"/>
      <w:bookmarkStart w:id="1718" w:name="_Toc12146"/>
      <w:bookmarkStart w:id="1719" w:name="_Toc2549"/>
      <w:bookmarkStart w:id="1720" w:name="_Toc14206"/>
      <w:bookmarkStart w:id="1721" w:name="_Toc31203"/>
      <w:bookmarkStart w:id="1722" w:name="_Toc20090"/>
      <w:bookmarkStart w:id="1723" w:name="_Toc2525"/>
      <w:bookmarkStart w:id="1724" w:name="_Toc8761"/>
      <w:r>
        <w:rPr>
          <w:rFonts w:hint="eastAsia" w:ascii="宋体" w:hAnsi="宋体" w:eastAsia="宋体" w:cs="宋体"/>
          <w:b/>
          <w:bCs w:val="0"/>
          <w:color w:val="000000" w:themeColor="text1"/>
        </w:rPr>
        <w:t>8  安全现状评价结论</w:t>
      </w:r>
      <w:bookmarkEnd w:id="1685"/>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p>
    <w:bookmarkEnd w:id="253"/>
    <w:p>
      <w:pPr>
        <w:pStyle w:val="2"/>
        <w:ind w:firstLine="560"/>
      </w:pPr>
      <w:bookmarkStart w:id="1725" w:name="_Toc15773"/>
      <w:bookmarkStart w:id="1726" w:name="_Toc5825"/>
      <w:bookmarkStart w:id="1727" w:name="_Toc15935"/>
      <w:bookmarkStart w:id="1728" w:name="_Toc27465"/>
      <w:bookmarkStart w:id="1729" w:name="_Toc118297966"/>
      <w:bookmarkStart w:id="1730" w:name="_Toc26203"/>
      <w:bookmarkStart w:id="1731" w:name="_Toc9773"/>
      <w:bookmarkStart w:id="1732" w:name="_Toc9276"/>
      <w:bookmarkStart w:id="1733" w:name="_Toc5232"/>
      <w:bookmarkStart w:id="1734" w:name="_Toc420453733"/>
      <w:bookmarkStart w:id="1735" w:name="_Toc128056477"/>
      <w:bookmarkStart w:id="1736" w:name="_Toc235500182"/>
      <w:bookmarkStart w:id="1737" w:name="_Toc20406"/>
      <w:bookmarkStart w:id="1738" w:name="_Toc230529483"/>
      <w:bookmarkStart w:id="1739" w:name="_Toc28340"/>
      <w:bookmarkStart w:id="1740" w:name="_Toc525367390"/>
      <w:bookmarkStart w:id="1741" w:name="_Toc388949936"/>
      <w:bookmarkStart w:id="1742" w:name="_Toc231615876"/>
      <w:bookmarkStart w:id="1743" w:name="_Toc42724693"/>
      <w:bookmarkStart w:id="1744" w:name="_Toc518768142"/>
      <w:bookmarkStart w:id="1745" w:name="_Toc62740962"/>
      <w:bookmarkStart w:id="1746" w:name="_Toc27498_WPSOffice_Level1"/>
      <w:bookmarkStart w:id="1747" w:name="_Toc31755_WPSOffice_Level1"/>
    </w:p>
    <w:p>
      <w:pPr>
        <w:pStyle w:val="4"/>
        <w:ind w:firstLine="562"/>
      </w:pPr>
      <w:bookmarkStart w:id="1748" w:name="_Toc4548"/>
      <w:bookmarkStart w:id="1749" w:name="_Toc26951"/>
      <w:bookmarkStart w:id="1750" w:name="_Toc19151"/>
      <w:bookmarkStart w:id="1751" w:name="_Toc7448"/>
      <w:bookmarkStart w:id="1752" w:name="_Toc27559"/>
      <w:bookmarkStart w:id="1753" w:name="_Toc13397"/>
      <w:bookmarkStart w:id="1754" w:name="_Toc30911"/>
      <w:bookmarkStart w:id="1755" w:name="_Toc20128"/>
      <w:bookmarkStart w:id="1756" w:name="_Toc26377"/>
      <w:bookmarkStart w:id="1757" w:name="_Toc8852"/>
      <w:bookmarkStart w:id="1758" w:name="_Toc8544"/>
      <w:bookmarkStart w:id="1759" w:name="_Toc1635"/>
      <w:bookmarkStart w:id="1760" w:name="_Toc22194"/>
      <w:r>
        <w:rPr>
          <w:rFonts w:hint="eastAsia"/>
        </w:rPr>
        <w:t>8.1 主要</w:t>
      </w:r>
      <w:r>
        <w:rPr>
          <w:rFonts w:hint="eastAsia"/>
          <w:lang w:eastAsia="zh-CN"/>
        </w:rPr>
        <w:t>危险和有害因素</w:t>
      </w:r>
      <w:r>
        <w:rPr>
          <w:rFonts w:hint="eastAsia"/>
        </w:rPr>
        <w:t>评价结果</w:t>
      </w:r>
      <w:bookmarkEnd w:id="1725"/>
      <w:bookmarkEnd w:id="1726"/>
      <w:bookmarkEnd w:id="1727"/>
      <w:bookmarkEnd w:id="1728"/>
      <w:bookmarkEnd w:id="1729"/>
      <w:bookmarkEnd w:id="1730"/>
      <w:bookmarkEnd w:id="1731"/>
      <w:bookmarkEnd w:id="1732"/>
      <w:bookmarkEnd w:id="1748"/>
      <w:bookmarkEnd w:id="1749"/>
      <w:bookmarkEnd w:id="1750"/>
      <w:bookmarkEnd w:id="1751"/>
      <w:bookmarkEnd w:id="1752"/>
      <w:bookmarkEnd w:id="1753"/>
      <w:bookmarkEnd w:id="1754"/>
      <w:bookmarkEnd w:id="1755"/>
      <w:bookmarkEnd w:id="1756"/>
      <w:bookmarkEnd w:id="1757"/>
      <w:bookmarkEnd w:id="1758"/>
      <w:bookmarkEnd w:id="1759"/>
      <w:bookmarkEnd w:id="1760"/>
    </w:p>
    <w:p>
      <w:pPr>
        <w:pStyle w:val="5"/>
        <w:ind w:firstLine="562"/>
      </w:pPr>
      <w:bookmarkStart w:id="1761" w:name="_Toc2019"/>
      <w:bookmarkStart w:id="1762" w:name="_Toc28989"/>
      <w:bookmarkStart w:id="1763" w:name="_Toc8076"/>
      <w:bookmarkStart w:id="1764" w:name="_Toc7357"/>
      <w:bookmarkStart w:id="1765" w:name="_Toc24434"/>
      <w:bookmarkStart w:id="1766" w:name="_Toc2530"/>
      <w:bookmarkStart w:id="1767" w:name="_Toc16738"/>
      <w:bookmarkStart w:id="1768" w:name="_Toc12292"/>
      <w:bookmarkStart w:id="1769" w:name="_Toc118297970"/>
      <w:bookmarkStart w:id="1770" w:name="_Toc14455"/>
      <w:bookmarkStart w:id="1771" w:name="_Toc4564"/>
      <w:bookmarkStart w:id="1772" w:name="_Toc118297967"/>
      <w:bookmarkStart w:id="1773" w:name="_Toc4139"/>
      <w:bookmarkStart w:id="1774" w:name="_Toc6248"/>
      <w:r>
        <w:rPr>
          <w:rFonts w:hint="eastAsia"/>
        </w:rPr>
        <w:t>8.1.1 单元评价综述</w:t>
      </w:r>
      <w:bookmarkEnd w:id="1761"/>
      <w:bookmarkEnd w:id="1762"/>
      <w:bookmarkEnd w:id="1763"/>
      <w:bookmarkEnd w:id="1764"/>
      <w:bookmarkEnd w:id="1765"/>
      <w:bookmarkEnd w:id="1766"/>
      <w:bookmarkEnd w:id="1767"/>
      <w:bookmarkEnd w:id="1768"/>
      <w:bookmarkEnd w:id="1769"/>
      <w:bookmarkEnd w:id="1770"/>
      <w:bookmarkEnd w:id="1771"/>
    </w:p>
    <w:p>
      <w:pPr>
        <w:ind w:firstLine="560"/>
      </w:pPr>
      <w:bookmarkStart w:id="1775" w:name="_Toc525367392"/>
      <w:bookmarkStart w:id="1776" w:name="_Toc420453735"/>
      <w:bookmarkStart w:id="1777" w:name="_Toc128056479"/>
      <w:bookmarkStart w:id="1778" w:name="_Toc24905"/>
      <w:bookmarkStart w:id="1779" w:name="_Toc31732"/>
      <w:bookmarkStart w:id="1780" w:name="_Toc5755"/>
      <w:r>
        <w:rPr>
          <w:rFonts w:hint="eastAsia"/>
        </w:rPr>
        <w:t>厂址及总平面布置单元</w:t>
      </w:r>
      <w:bookmarkEnd w:id="1775"/>
      <w:bookmarkEnd w:id="1776"/>
      <w:bookmarkEnd w:id="1777"/>
      <w:bookmarkEnd w:id="1778"/>
      <w:bookmarkEnd w:id="1779"/>
      <w:bookmarkEnd w:id="1780"/>
      <w:bookmarkStart w:id="1781" w:name="_Toc420453736"/>
      <w:bookmarkStart w:id="1782" w:name="_Toc525367393"/>
      <w:r>
        <w:rPr>
          <w:rFonts w:hint="eastAsia"/>
        </w:rPr>
        <w:t>：</w:t>
      </w:r>
      <w:r>
        <w:rPr>
          <w:rFonts w:hint="eastAsia"/>
          <w:color w:val="000000" w:themeColor="text1"/>
        </w:rPr>
        <w:t>项目厂址及</w:t>
      </w:r>
      <w:r>
        <w:rPr>
          <w:color w:val="000000" w:themeColor="text1"/>
        </w:rPr>
        <w:t>总平面布置符合《工业企业总平面设计规范》(GB50187-2012)</w:t>
      </w:r>
      <w:r>
        <w:rPr>
          <w:rFonts w:hint="eastAsia"/>
          <w:color w:val="000000" w:themeColor="text1"/>
        </w:rPr>
        <w:t>、</w:t>
      </w:r>
      <w:r>
        <w:rPr>
          <w:color w:val="000000" w:themeColor="text1"/>
        </w:rPr>
        <w:t>《化工企业安全卫生设计规范》(HG20571-2014)、《建筑设计防火规范</w:t>
      </w:r>
      <w:r>
        <w:rPr>
          <w:rFonts w:hint="eastAsia"/>
          <w:color w:val="000000" w:themeColor="text1"/>
        </w:rPr>
        <w:t>（</w:t>
      </w:r>
      <w:r>
        <w:rPr>
          <w:color w:val="000000" w:themeColor="text1"/>
        </w:rPr>
        <w:t>2018年版</w:t>
      </w:r>
      <w:r>
        <w:rPr>
          <w:rFonts w:hint="eastAsia"/>
          <w:color w:val="000000" w:themeColor="text1"/>
        </w:rPr>
        <w:t>）</w:t>
      </w:r>
      <w:r>
        <w:rPr>
          <w:rFonts w:hint="eastAsia"/>
          <w:color w:val="000000" w:themeColor="text1"/>
          <w:lang w:eastAsia="zh-CN"/>
        </w:rPr>
        <w:t>》</w:t>
      </w:r>
      <w:r>
        <w:rPr>
          <w:color w:val="000000" w:themeColor="text1"/>
        </w:rPr>
        <w:t>(GB50016-2014)等标准、规范的要求。</w:t>
      </w:r>
    </w:p>
    <w:p>
      <w:pPr>
        <w:ind w:firstLine="560"/>
      </w:pPr>
      <w:bookmarkStart w:id="1783" w:name="_Toc27308"/>
      <w:bookmarkStart w:id="1784" w:name="_Toc32145"/>
      <w:bookmarkStart w:id="1785" w:name="_Toc128056480"/>
      <w:bookmarkStart w:id="1786" w:name="_Toc2366"/>
      <w:r>
        <w:rPr>
          <w:rFonts w:hint="eastAsia"/>
        </w:rPr>
        <w:t>生产工艺及设备设施单元</w:t>
      </w:r>
      <w:bookmarkEnd w:id="1781"/>
      <w:bookmarkEnd w:id="1782"/>
      <w:bookmarkEnd w:id="1783"/>
      <w:bookmarkEnd w:id="1784"/>
      <w:bookmarkEnd w:id="1785"/>
      <w:bookmarkEnd w:id="1786"/>
      <w:bookmarkStart w:id="1787" w:name="_Toc420453739"/>
      <w:bookmarkStart w:id="1788" w:name="_Toc525367396"/>
      <w:r>
        <w:rPr>
          <w:rFonts w:hint="eastAsia"/>
        </w:rPr>
        <w:t>：</w:t>
      </w:r>
      <w:r>
        <w:rPr>
          <w:rFonts w:hint="eastAsia" w:ascii="宋体" w:hAnsi="宋体" w:cs="Tahoma"/>
          <w:color w:val="000000" w:themeColor="text1"/>
          <w:szCs w:val="28"/>
        </w:rPr>
        <w:t>项目</w:t>
      </w:r>
      <w:r>
        <w:rPr>
          <w:rFonts w:ascii="宋体" w:hAnsi="宋体" w:cs="Tahoma"/>
          <w:color w:val="000000" w:themeColor="text1"/>
          <w:szCs w:val="28"/>
        </w:rPr>
        <w:t>生产工艺</w:t>
      </w:r>
      <w:r>
        <w:rPr>
          <w:rFonts w:hint="eastAsia" w:ascii="宋体" w:hAnsi="宋体" w:cs="Tahoma"/>
          <w:color w:val="000000" w:themeColor="text1"/>
          <w:szCs w:val="28"/>
        </w:rPr>
        <w:t>及设备设施不属于国家明令禁止使用或淘汰的，生产工艺过程及设备设施符合相关安全规范。</w:t>
      </w:r>
    </w:p>
    <w:p>
      <w:pPr>
        <w:ind w:firstLine="560"/>
      </w:pPr>
      <w:bookmarkStart w:id="1789" w:name="_Toc24697"/>
      <w:bookmarkStart w:id="1790" w:name="_Toc128056481"/>
      <w:bookmarkStart w:id="1791" w:name="_Toc25748"/>
      <w:bookmarkStart w:id="1792" w:name="_Toc14996"/>
      <w:r>
        <w:rPr>
          <w:rFonts w:hint="eastAsia"/>
        </w:rPr>
        <w:t>公用工程及辅助设施单元</w:t>
      </w:r>
      <w:bookmarkEnd w:id="1787"/>
      <w:bookmarkEnd w:id="1788"/>
      <w:bookmarkEnd w:id="1789"/>
      <w:bookmarkEnd w:id="1790"/>
      <w:bookmarkEnd w:id="1791"/>
      <w:bookmarkEnd w:id="1792"/>
      <w:bookmarkStart w:id="1793" w:name="_Toc128056482"/>
      <w:bookmarkStart w:id="1794" w:name="_Toc420453740"/>
      <w:bookmarkStart w:id="1795" w:name="_Toc525367397"/>
      <w:r>
        <w:rPr>
          <w:rFonts w:hint="eastAsia"/>
        </w:rPr>
        <w:t>：</w:t>
      </w:r>
      <w:r>
        <w:rPr>
          <w:rFonts w:hint="eastAsia"/>
          <w:color w:val="000000" w:themeColor="text1"/>
        </w:rPr>
        <w:t>项目供配电、给排水及消防设施</w:t>
      </w:r>
      <w:r>
        <w:rPr>
          <w:color w:val="000000" w:themeColor="text1"/>
        </w:rPr>
        <w:t>能满足安全生产需求，消防设施、灭火器的配置及用电管理符合国家法规标准要求。</w:t>
      </w:r>
    </w:p>
    <w:p>
      <w:pPr>
        <w:ind w:firstLine="560"/>
        <w:rPr>
          <w:color w:val="000000" w:themeColor="text1"/>
        </w:rPr>
      </w:pPr>
      <w:bookmarkStart w:id="1796" w:name="_Toc9216"/>
      <w:bookmarkStart w:id="1797" w:name="_Toc28453"/>
      <w:bookmarkStart w:id="1798" w:name="_Toc23595"/>
      <w:r>
        <w:rPr>
          <w:rFonts w:hint="eastAsia"/>
        </w:rPr>
        <w:t>安全管理及应急救援单元</w:t>
      </w:r>
      <w:bookmarkEnd w:id="1793"/>
      <w:bookmarkEnd w:id="1794"/>
      <w:bookmarkEnd w:id="1795"/>
      <w:bookmarkEnd w:id="1796"/>
      <w:bookmarkEnd w:id="1797"/>
      <w:bookmarkEnd w:id="1798"/>
      <w:r>
        <w:rPr>
          <w:rFonts w:hint="eastAsia"/>
        </w:rPr>
        <w:t>：</w:t>
      </w:r>
      <w:r>
        <w:rPr>
          <w:rFonts w:hint="eastAsia" w:ascii="宋体" w:hAnsi="宋体"/>
          <w:color w:val="000000" w:themeColor="text1"/>
          <w:szCs w:val="28"/>
        </w:rPr>
        <w:t>公司主要负责人及专职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w:t>
      </w:r>
      <w:r>
        <w:rPr>
          <w:rFonts w:hint="eastAsia" w:ascii="宋体" w:hAnsi="宋体" w:cs="宋体"/>
          <w:szCs w:val="28"/>
        </w:rPr>
        <w:t>生产安全</w:t>
      </w:r>
      <w:r>
        <w:rPr>
          <w:rFonts w:hint="eastAsia" w:hAnsi="宋体"/>
          <w:color w:val="000000" w:themeColor="text1"/>
        </w:rPr>
        <w:t>事故应急预案并到应急管局备案；</w:t>
      </w:r>
      <w:r>
        <w:rPr>
          <w:rFonts w:hint="eastAsia" w:ascii="宋体" w:hAnsi="宋体"/>
          <w:color w:val="000000" w:themeColor="text1"/>
          <w:szCs w:val="28"/>
        </w:rPr>
        <w:t>配备了相应急器材及设施，并定期组织演练。</w:t>
      </w:r>
      <w:r>
        <w:rPr>
          <w:rFonts w:hint="eastAsia"/>
          <w:color w:val="000000" w:themeColor="text1"/>
        </w:rPr>
        <w:t>项目</w:t>
      </w:r>
      <w:r>
        <w:rPr>
          <w:color w:val="000000" w:themeColor="text1"/>
        </w:rPr>
        <w:t>的安全管理符合国家法规文件要求。</w:t>
      </w:r>
    </w:p>
    <w:p>
      <w:pPr>
        <w:ind w:firstLine="560"/>
      </w:pPr>
      <w:r>
        <w:rPr>
          <w:rFonts w:hint="eastAsia"/>
        </w:rPr>
        <w:t>重大安全隐患判定符合性分析评价：项目不</w:t>
      </w:r>
      <w:r>
        <w:rPr>
          <w:rFonts w:hint="eastAsia"/>
          <w:color w:val="000000" w:themeColor="text1"/>
        </w:rPr>
        <w:t>存在《国家安全监管总局关于印发&lt;化工和危险化学品生产经营单位重大生产安全事故隐患判定标准（试行）&gt;&lt;烟花爆竹生产经营单位重大生产安全事故隐患判定标准（试行）&gt;的通知》（安监总管三[2017]121号）规定的重大事故隐患。</w:t>
      </w:r>
    </w:p>
    <w:p>
      <w:pPr>
        <w:ind w:firstLine="560"/>
      </w:pPr>
      <w:r>
        <w:rPr>
          <w:rFonts w:hint="eastAsia"/>
        </w:rPr>
        <w:t>安全生产许可证换证条件评价：本项目安全生产条件符合《危险化学品生产企业安全生产许可证实施办法》(</w:t>
      </w:r>
      <w:r>
        <w:rPr>
          <w:color w:val="000000" w:themeColor="text1"/>
        </w:rPr>
        <w:t>国家安全生产监督管理总局令第41号，第79号第一次修正，第89号第二次修正</w:t>
      </w:r>
      <w:r>
        <w:rPr>
          <w:rFonts w:hint="eastAsia"/>
        </w:rPr>
        <w:t>)的相关要求。</w:t>
      </w:r>
    </w:p>
    <w:p>
      <w:pPr>
        <w:pStyle w:val="5"/>
        <w:ind w:firstLine="562"/>
      </w:pPr>
      <w:bookmarkStart w:id="1799" w:name="_Toc16996"/>
      <w:bookmarkStart w:id="1800" w:name="_Toc5958"/>
      <w:bookmarkStart w:id="1801" w:name="_Toc28336"/>
      <w:bookmarkStart w:id="1802" w:name="_Toc123"/>
      <w:bookmarkStart w:id="1803" w:name="_Toc6878"/>
      <w:bookmarkStart w:id="1804" w:name="_Toc31813"/>
      <w:bookmarkStart w:id="1805" w:name="_Toc8251"/>
      <w:bookmarkStart w:id="1806" w:name="_Toc11731"/>
      <w:r>
        <w:rPr>
          <w:rFonts w:hint="eastAsia"/>
        </w:rPr>
        <w:t>8.1.2 存在的主要危险、有害物质</w:t>
      </w:r>
      <w:bookmarkEnd w:id="1772"/>
      <w:bookmarkEnd w:id="1773"/>
      <w:bookmarkEnd w:id="1774"/>
      <w:bookmarkEnd w:id="1799"/>
      <w:bookmarkEnd w:id="1800"/>
      <w:bookmarkEnd w:id="1801"/>
      <w:bookmarkEnd w:id="1802"/>
      <w:bookmarkEnd w:id="1803"/>
      <w:bookmarkEnd w:id="1804"/>
      <w:bookmarkEnd w:id="1805"/>
      <w:bookmarkEnd w:id="1806"/>
    </w:p>
    <w:p>
      <w:pPr>
        <w:pStyle w:val="2"/>
        <w:numPr>
          <w:ilvl w:val="0"/>
          <w:numId w:val="0"/>
        </w:numPr>
        <w:ind w:firstLine="560" w:firstLineChars="200"/>
        <w:rPr>
          <w:color w:val="000000" w:themeColor="text1"/>
        </w:rPr>
      </w:pPr>
      <w:r>
        <w:rPr>
          <w:rFonts w:hint="eastAsia"/>
        </w:rPr>
        <w:t>氟化分公司存在的主要危险、有害物质有：</w:t>
      </w:r>
      <w:bookmarkStart w:id="1807" w:name="_Toc118297968"/>
      <w:r>
        <w:rPr>
          <w:rFonts w:hint="eastAsia"/>
          <w:color w:val="000000" w:themeColor="text1"/>
        </w:rPr>
        <w:t>生产中使用和产生的危险物质主要有</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w:t>
      </w:r>
      <w:r>
        <w:rPr>
          <w:rFonts w:hint="eastAsia" w:ascii="宋体" w:hAnsi="宋体"/>
          <w:color w:val="auto"/>
          <w:szCs w:val="28"/>
        </w:rPr>
        <w:t>；氟化氢和四氟化硅为生产过程中产生的废气，</w:t>
      </w:r>
      <w:commentRangeStart w:id="8"/>
      <w:r>
        <w:rPr>
          <w:rFonts w:hint="eastAsia" w:ascii="宋体" w:hAnsi="宋体"/>
          <w:color w:val="auto"/>
          <w:szCs w:val="28"/>
        </w:rPr>
        <w:t>企业设有废气处理装置。</w:t>
      </w:r>
      <w:r>
        <w:rPr>
          <w:rFonts w:hint="eastAsia"/>
          <w:u w:val="none" w:color="auto"/>
          <w:lang w:val="en-US" w:eastAsia="zh-CN"/>
        </w:rPr>
        <w:t>产生的废气干燥工段使用两级旋风+布袋+水膜的除尘系统进行处置；浓缩工段使用冷却+水洗的废气处置设施进行处置。</w:t>
      </w:r>
      <w:commentRangeEnd w:id="8"/>
      <w:r>
        <w:commentReference w:id="8"/>
      </w:r>
    </w:p>
    <w:p>
      <w:pPr>
        <w:pStyle w:val="5"/>
        <w:ind w:firstLine="562"/>
        <w:rPr>
          <w:rFonts w:hint="eastAsia" w:eastAsia="宋体"/>
          <w:lang w:eastAsia="zh-CN"/>
        </w:rPr>
      </w:pPr>
      <w:bookmarkStart w:id="1808" w:name="_Toc10272"/>
      <w:bookmarkStart w:id="1809" w:name="_Toc10683"/>
      <w:bookmarkStart w:id="1810" w:name="_Toc19421"/>
      <w:bookmarkStart w:id="1811" w:name="_Toc13903"/>
      <w:bookmarkStart w:id="1812" w:name="_Toc18965"/>
      <w:bookmarkStart w:id="1813" w:name="_Toc22788"/>
      <w:bookmarkStart w:id="1814" w:name="_Toc1554"/>
      <w:bookmarkStart w:id="1815" w:name="_Toc18784"/>
      <w:bookmarkStart w:id="1816" w:name="_Toc15664"/>
      <w:bookmarkStart w:id="1817" w:name="_Toc25398"/>
      <w:r>
        <w:rPr>
          <w:rFonts w:hint="eastAsia"/>
        </w:rPr>
        <w:t>8.1.3 存在的主要</w:t>
      </w:r>
      <w:bookmarkEnd w:id="1807"/>
      <w:bookmarkEnd w:id="1808"/>
      <w:bookmarkEnd w:id="1809"/>
      <w:bookmarkEnd w:id="1810"/>
      <w:bookmarkEnd w:id="1811"/>
      <w:bookmarkEnd w:id="1812"/>
      <w:bookmarkEnd w:id="1813"/>
      <w:r>
        <w:rPr>
          <w:rFonts w:hint="eastAsia"/>
          <w:lang w:eastAsia="zh-CN"/>
        </w:rPr>
        <w:t>危险和有害因素</w:t>
      </w:r>
      <w:bookmarkEnd w:id="1814"/>
      <w:bookmarkEnd w:id="1815"/>
      <w:bookmarkEnd w:id="1816"/>
      <w:bookmarkEnd w:id="1817"/>
    </w:p>
    <w:p>
      <w:pPr>
        <w:ind w:firstLine="560"/>
      </w:pPr>
      <w:r>
        <w:rPr>
          <w:rFonts w:hint="eastAsia"/>
        </w:rPr>
        <w:t>氟化分公司在生产过程中主要存在的危险有害因素为：</w:t>
      </w:r>
      <w:r>
        <w:rPr>
          <w:rFonts w:hint="eastAsia" w:ascii="宋体" w:hAnsi="宋体"/>
          <w:color w:val="auto"/>
          <w:szCs w:val="28"/>
        </w:rPr>
        <w:t>中毒窒息、机械伤害、触电、火灾、粉尘、灼</w:t>
      </w:r>
      <w:r>
        <w:rPr>
          <w:rFonts w:hint="eastAsia" w:ascii="宋体" w:hAnsi="宋体"/>
          <w:color w:val="auto"/>
          <w:szCs w:val="28"/>
          <w:lang w:val="en-US" w:eastAsia="zh-CN"/>
        </w:rPr>
        <w:t>烫</w:t>
      </w:r>
      <w:r>
        <w:rPr>
          <w:rFonts w:hint="eastAsia" w:ascii="宋体" w:hAnsi="宋体"/>
          <w:color w:val="auto"/>
          <w:szCs w:val="28"/>
        </w:rPr>
        <w:t>、噪声、淹溺</w:t>
      </w:r>
      <w:r>
        <w:rPr>
          <w:rFonts w:hint="eastAsia"/>
          <w:color w:val="auto"/>
        </w:rPr>
        <w:t>等</w:t>
      </w:r>
      <w:r>
        <w:rPr>
          <w:rFonts w:hint="eastAsia"/>
          <w:color w:val="auto"/>
          <w:lang w:eastAsia="zh-CN"/>
        </w:rPr>
        <w:t>危险和有害因素</w:t>
      </w:r>
      <w:r>
        <w:rPr>
          <w:rFonts w:hint="eastAsia"/>
        </w:rPr>
        <w:t>。</w:t>
      </w:r>
    </w:p>
    <w:p>
      <w:pPr>
        <w:ind w:firstLine="560"/>
      </w:pPr>
      <w:r>
        <w:rPr>
          <w:rFonts w:hint="eastAsia"/>
        </w:rPr>
        <w:t>一旦发生上述安全事故，将会造成人员伤亡、财产损失，环境破坏。针对上述危险有害因素，企业应采取有效的安全对策措施加以防范和控制。</w:t>
      </w:r>
    </w:p>
    <w:p>
      <w:pPr>
        <w:pStyle w:val="4"/>
        <w:ind w:firstLine="562"/>
      </w:pPr>
      <w:bookmarkStart w:id="1818" w:name="_Toc11193"/>
      <w:bookmarkStart w:id="1819" w:name="_Toc13422"/>
      <w:bookmarkStart w:id="1820" w:name="_Toc22968"/>
      <w:bookmarkStart w:id="1821" w:name="_Toc24672"/>
      <w:bookmarkStart w:id="1822" w:name="_Toc118297969"/>
      <w:bookmarkStart w:id="1823" w:name="_Toc28423"/>
      <w:bookmarkStart w:id="1824" w:name="_Toc11043"/>
      <w:bookmarkStart w:id="1825" w:name="_Toc29073"/>
      <w:bookmarkStart w:id="1826" w:name="_Toc19"/>
      <w:bookmarkStart w:id="1827" w:name="_Toc13509"/>
      <w:bookmarkStart w:id="1828" w:name="_Toc18383"/>
      <w:bookmarkStart w:id="1829" w:name="_Toc14174"/>
      <w:bookmarkStart w:id="1830" w:name="_Toc31028"/>
      <w:bookmarkStart w:id="1831" w:name="_Toc30719"/>
      <w:bookmarkStart w:id="1832" w:name="_Toc25843"/>
      <w:bookmarkStart w:id="1833" w:name="_Toc14616"/>
      <w:bookmarkStart w:id="1834" w:name="_Toc8274"/>
      <w:bookmarkStart w:id="1835" w:name="_Toc20902"/>
      <w:bookmarkStart w:id="1836" w:name="_Toc4220"/>
      <w:bookmarkStart w:id="1837" w:name="_Toc13968"/>
      <w:bookmarkStart w:id="1838" w:name="_Toc8604"/>
      <w:r>
        <w:rPr>
          <w:rFonts w:hint="eastAsia"/>
        </w:rPr>
        <w:t>8.2 本项目应重点防范的重大事故</w:t>
      </w:r>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p>
    <w:p>
      <w:pPr>
        <w:ind w:firstLine="560"/>
        <w:rPr>
          <w:rFonts w:hint="default" w:eastAsia="宋体"/>
          <w:lang w:val="en-US" w:eastAsia="zh-CN"/>
        </w:rPr>
      </w:pPr>
      <w:r>
        <w:rPr>
          <w:rFonts w:hint="eastAsia"/>
        </w:rPr>
        <w:t>本项目应重点防范的重大事故：1）</w:t>
      </w:r>
      <w:r>
        <w:rPr>
          <w:rFonts w:hint="eastAsia" w:ascii="宋体" w:hAnsi="宋体"/>
          <w:color w:val="auto"/>
          <w:szCs w:val="28"/>
        </w:rPr>
        <w:t>灼</w:t>
      </w:r>
      <w:r>
        <w:rPr>
          <w:rFonts w:hint="eastAsia" w:ascii="宋体" w:hAnsi="宋体"/>
          <w:color w:val="auto"/>
          <w:szCs w:val="28"/>
          <w:lang w:val="en-US" w:eastAsia="zh-CN"/>
        </w:rPr>
        <w:t>烫</w:t>
      </w:r>
      <w:r>
        <w:rPr>
          <w:rFonts w:hint="eastAsia"/>
          <w:lang w:eastAsia="zh-CN"/>
        </w:rPr>
        <w:t>；</w:t>
      </w:r>
      <w:r>
        <w:rPr>
          <w:rFonts w:hint="eastAsia"/>
          <w:lang w:val="en-US" w:eastAsia="zh-CN"/>
        </w:rPr>
        <w:t>2）</w:t>
      </w:r>
      <w:r>
        <w:rPr>
          <w:rFonts w:hint="eastAsia" w:ascii="宋体" w:hAnsi="宋体"/>
          <w:color w:val="auto"/>
          <w:szCs w:val="28"/>
        </w:rPr>
        <w:t>机械伤害</w:t>
      </w:r>
      <w:r>
        <w:rPr>
          <w:rFonts w:hint="eastAsia" w:ascii="宋体" w:hAnsi="宋体"/>
          <w:color w:val="auto"/>
          <w:szCs w:val="28"/>
          <w:lang w:eastAsia="zh-CN"/>
        </w:rPr>
        <w:t>；</w:t>
      </w:r>
      <w:r>
        <w:rPr>
          <w:rFonts w:hint="eastAsia" w:ascii="宋体" w:hAnsi="宋体"/>
          <w:color w:val="auto"/>
          <w:szCs w:val="28"/>
          <w:lang w:val="en-US" w:eastAsia="zh-CN"/>
        </w:rPr>
        <w:t>3）中毒；4）酸性腐蚀品。</w:t>
      </w:r>
    </w:p>
    <w:bookmarkEnd w:id="1733"/>
    <w:bookmarkEnd w:id="1734"/>
    <w:bookmarkEnd w:id="1735"/>
    <w:bookmarkEnd w:id="1736"/>
    <w:bookmarkEnd w:id="1737"/>
    <w:bookmarkEnd w:id="1738"/>
    <w:bookmarkEnd w:id="1739"/>
    <w:bookmarkEnd w:id="1740"/>
    <w:p>
      <w:pPr>
        <w:pStyle w:val="4"/>
        <w:ind w:firstLine="562"/>
        <w:rPr>
          <w:color w:val="000000" w:themeColor="text1"/>
        </w:rPr>
      </w:pPr>
      <w:bookmarkStart w:id="1839" w:name="_Toc128056483"/>
      <w:bookmarkStart w:id="1840" w:name="_Toc300"/>
      <w:bookmarkStart w:id="1841" w:name="_Toc19242"/>
      <w:bookmarkStart w:id="1842" w:name="_Toc10958"/>
      <w:bookmarkStart w:id="1843" w:name="_Toc4378"/>
      <w:bookmarkStart w:id="1844" w:name="_Toc6013"/>
      <w:bookmarkStart w:id="1845" w:name="_Toc9468"/>
      <w:bookmarkStart w:id="1846" w:name="_Toc28695"/>
      <w:bookmarkStart w:id="1847" w:name="_Toc7734"/>
      <w:bookmarkStart w:id="1848" w:name="_Toc26704"/>
      <w:bookmarkStart w:id="1849" w:name="_Toc22164"/>
      <w:bookmarkStart w:id="1850" w:name="_Toc2826"/>
      <w:bookmarkStart w:id="1851" w:name="_Toc24822"/>
      <w:bookmarkStart w:id="1852" w:name="_Toc1079"/>
      <w:bookmarkStart w:id="1853" w:name="_Toc32377"/>
      <w:bookmarkStart w:id="1854" w:name="_Toc1313"/>
      <w:bookmarkStart w:id="1855" w:name="_Toc3825"/>
      <w:bookmarkStart w:id="1856" w:name="_Toc17466"/>
      <w:bookmarkStart w:id="1857" w:name="_Toc2678"/>
      <w:bookmarkStart w:id="1858" w:name="_Toc31484"/>
      <w:bookmarkStart w:id="1859" w:name="_Toc29653"/>
      <w:bookmarkStart w:id="1860" w:name="_Toc31933"/>
      <w:bookmarkStart w:id="1861" w:name="_Toc31519"/>
      <w:bookmarkStart w:id="1862" w:name="_Toc18110"/>
      <w:r>
        <w:rPr>
          <w:rFonts w:hint="eastAsia"/>
          <w:color w:val="000000" w:themeColor="text1"/>
        </w:rPr>
        <w:t>8.3 评价结论</w:t>
      </w:r>
      <w:bookmarkEnd w:id="1741"/>
      <w:bookmarkEnd w:id="1742"/>
      <w:bookmarkEnd w:id="1743"/>
      <w:bookmarkEnd w:id="1744"/>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p>
    <w:p>
      <w:pPr>
        <w:ind w:firstLine="560"/>
      </w:pPr>
      <w:r>
        <w:rPr>
          <w:rFonts w:hint="eastAsia"/>
        </w:rPr>
        <w:t>昭通市鼎安科技有限公司受</w:t>
      </w:r>
      <w:r>
        <w:rPr>
          <w:rFonts w:hint="eastAsia"/>
          <w:lang w:eastAsia="zh-CN"/>
        </w:rPr>
        <w:t>昆明合起工贸有限公司澄江氟化分公司</w:t>
      </w:r>
      <w:r>
        <w:rPr>
          <w:rFonts w:hint="eastAsia"/>
        </w:rPr>
        <w:t>的委托，依据相关法律法规的要求，对氟化分公司的安全生产管理、总平面布置、生产工艺、设备设施等方面分单元进行了分析评价，经评价组综合分析评价，作出如下结论：</w:t>
      </w:r>
    </w:p>
    <w:p>
      <w:pPr>
        <w:ind w:firstLine="560"/>
      </w:pPr>
      <w:r>
        <w:rPr>
          <w:rFonts w:hint="eastAsia"/>
        </w:rPr>
        <w:t>1）本企业营业执照、安全生产许可证、危险化学品登记证均合法有效，且在有效期内。</w:t>
      </w:r>
    </w:p>
    <w:p>
      <w:pPr>
        <w:ind w:firstLine="560"/>
      </w:pPr>
      <w:r>
        <w:rPr>
          <w:rFonts w:hint="eastAsia"/>
        </w:rPr>
        <w:t>2）本</w:t>
      </w:r>
      <w:r>
        <w:rPr>
          <w:rFonts w:hint="eastAsia"/>
          <w:lang w:val="en-US" w:eastAsia="zh-CN"/>
        </w:rPr>
        <w:t>企业</w:t>
      </w:r>
      <w:r>
        <w:rPr>
          <w:rFonts w:hint="eastAsia"/>
        </w:rPr>
        <w:t>总平面布置方面符合国家相关规范的要求。</w:t>
      </w:r>
    </w:p>
    <w:p>
      <w:pPr>
        <w:ind w:firstLine="560"/>
      </w:pPr>
      <w:r>
        <w:rPr>
          <w:rFonts w:hint="eastAsia"/>
        </w:rPr>
        <w:t>3）本</w:t>
      </w:r>
      <w:r>
        <w:rPr>
          <w:rFonts w:hint="eastAsia"/>
          <w:lang w:val="en-US" w:eastAsia="zh-CN"/>
        </w:rPr>
        <w:t>企业</w:t>
      </w:r>
      <w:r>
        <w:rPr>
          <w:rFonts w:hint="eastAsia"/>
        </w:rPr>
        <w:t>生产装置采用的生产充装工艺和设备均属于国内比较成熟的工艺、设备，没有国家明令淘汰、禁止使用的危及生产安全的工艺、设备。生产工艺、设施设备符合相关法律、法规及标准规范的要求。</w:t>
      </w:r>
    </w:p>
    <w:p>
      <w:pPr>
        <w:ind w:firstLine="560"/>
      </w:pPr>
      <w:r>
        <w:rPr>
          <w:rFonts w:hint="eastAsia"/>
        </w:rPr>
        <w:t>4）本</w:t>
      </w:r>
      <w:r>
        <w:rPr>
          <w:rFonts w:hint="eastAsia"/>
          <w:lang w:val="en-US" w:eastAsia="zh-CN"/>
        </w:rPr>
        <w:t>企业</w:t>
      </w:r>
      <w:r>
        <w:rPr>
          <w:rFonts w:hint="eastAsia"/>
        </w:rPr>
        <w:t>设置的安全设施及采取的安全防护措施合理、有效，符合相关法律法规的要求。</w:t>
      </w:r>
    </w:p>
    <w:p>
      <w:pPr>
        <w:ind w:firstLine="560"/>
      </w:pPr>
      <w:r>
        <w:rPr>
          <w:rFonts w:hint="eastAsia"/>
        </w:rPr>
        <w:t>5）本</w:t>
      </w:r>
      <w:r>
        <w:rPr>
          <w:rFonts w:hint="eastAsia"/>
          <w:lang w:val="en-US" w:eastAsia="zh-CN"/>
        </w:rPr>
        <w:t>企业</w:t>
      </w:r>
      <w:r>
        <w:rPr>
          <w:rFonts w:hint="eastAsia"/>
        </w:rPr>
        <w:t>供配电、给排水、防雷防静电、消防等公辅设施的设置及采取的安全措施符合国家相关法律、法规及标准规范的要求。</w:t>
      </w:r>
    </w:p>
    <w:p>
      <w:pPr>
        <w:ind w:firstLine="560"/>
      </w:pPr>
      <w:r>
        <w:rPr>
          <w:rFonts w:hint="eastAsia"/>
        </w:rPr>
        <w:t>6）公司结合自身实际，成立安全生产领导小组，任命专职安全员，主要负责人负责公司的安全工作；主要负责人、安全生产管理人员取得</w:t>
      </w:r>
      <w:r>
        <w:rPr>
          <w:rFonts w:hint="eastAsia" w:ascii="宋体" w:hAnsi="宋体"/>
          <w:color w:val="000000" w:themeColor="text1"/>
          <w:szCs w:val="28"/>
        </w:rPr>
        <w:t>安全生产知识和管理能力考核合格证</w:t>
      </w:r>
      <w:r>
        <w:rPr>
          <w:rFonts w:hint="eastAsia"/>
        </w:rPr>
        <w:t>，特种作业人员进行相应的技术培训并取得相应的资质证，持证上岗；各级人员安全职责明确，各级安全生产责任制、安全管理制度、各工序安全操作规程、应急救援预案健全、可行。</w:t>
      </w:r>
    </w:p>
    <w:p>
      <w:pPr>
        <w:ind w:firstLine="560"/>
      </w:pPr>
      <w:r>
        <w:rPr>
          <w:rFonts w:hint="eastAsia"/>
        </w:rPr>
        <w:t>7）企业为从业人员配发了劳动保护用品，购买了安全责任险，并根据国家相关法规要求足额提取安全专项资金用于改善安全生产条件。</w:t>
      </w:r>
    </w:p>
    <w:p>
      <w:pPr>
        <w:ind w:firstLine="560"/>
      </w:pPr>
      <w:r>
        <w:rPr>
          <w:rFonts w:hint="eastAsia"/>
        </w:rPr>
        <w:t>8）取证以来，严格按照国家相关法律法规及省、市应急管理部门的相关规定组织生产，对各种生产、工艺、技术、检修规程严格要求和执行，生产正常，本次安全生产批准周期内没有发生过生产安全事故。</w:t>
      </w:r>
    </w:p>
    <w:p>
      <w:pPr>
        <w:ind w:firstLine="560"/>
      </w:pPr>
      <w:r>
        <w:rPr>
          <w:rFonts w:hint="eastAsia"/>
        </w:rPr>
        <w:t>9）针对存在问题，企业积极进行了整改。</w:t>
      </w:r>
    </w:p>
    <w:p>
      <w:pPr>
        <w:ind w:firstLine="560"/>
      </w:pPr>
      <w:r>
        <w:rPr>
          <w:rFonts w:hint="eastAsia"/>
        </w:rPr>
        <w:t>10）本项目安全生产许可证换证条件符合《危险化学品生产企业安全生产许可证实施办法》（</w:t>
      </w:r>
      <w:r>
        <w:rPr>
          <w:color w:val="000000" w:themeColor="text1"/>
        </w:rPr>
        <w:t>国家安全生产监督管理总局令第41号，第79号第一次修正，第89号第二次修正</w:t>
      </w:r>
      <w:r>
        <w:rPr>
          <w:rFonts w:hint="eastAsia"/>
        </w:rPr>
        <w:t>）的有关规定。</w:t>
      </w:r>
    </w:p>
    <w:p>
      <w:pPr>
        <w:ind w:firstLine="562"/>
        <w:rPr>
          <w:rFonts w:hint="eastAsia" w:eastAsia="宋体"/>
          <w:b/>
          <w:bCs/>
          <w:lang w:eastAsia="zh-CN"/>
        </w:rPr>
      </w:pPr>
      <w:r>
        <w:rPr>
          <w:rFonts w:hint="eastAsia"/>
          <w:b/>
          <w:bCs/>
        </w:rPr>
        <w:t>综上所述：</w:t>
      </w:r>
      <w:r>
        <w:rPr>
          <w:rFonts w:hint="eastAsia"/>
          <w:b/>
          <w:lang w:eastAsia="zh-CN"/>
        </w:rPr>
        <w:t>昆明合起工贸有限公司澄江氟化分公司</w:t>
      </w:r>
      <w:r>
        <w:rPr>
          <w:rFonts w:hint="eastAsia"/>
          <w:b/>
          <w:bCs/>
        </w:rPr>
        <w:t>安全生产条件符合国家有关安全生产方面的法律、法规、规章、标准、规范的要求</w:t>
      </w:r>
      <w:r>
        <w:rPr>
          <w:rFonts w:hint="eastAsia"/>
          <w:b/>
          <w:bCs/>
          <w:lang w:eastAsia="zh-CN"/>
        </w:rPr>
        <w:t>，</w:t>
      </w:r>
      <w:r>
        <w:rPr>
          <w:rFonts w:hint="eastAsia"/>
          <w:b/>
          <w:bCs/>
        </w:rPr>
        <w:t>其现状具备安全生产条件</w:t>
      </w:r>
      <w:r>
        <w:rPr>
          <w:rFonts w:hint="eastAsia"/>
          <w:b/>
          <w:bCs/>
          <w:lang w:eastAsia="zh-CN"/>
        </w:rPr>
        <w:t>。</w:t>
      </w:r>
    </w:p>
    <w:p>
      <w:pPr>
        <w:ind w:firstLine="560"/>
        <w:rPr>
          <w:color w:val="000000" w:themeColor="text1"/>
        </w:rPr>
      </w:pPr>
      <w:r>
        <w:rPr>
          <w:rFonts w:hint="eastAsia"/>
          <w:color w:val="000000" w:themeColor="text1"/>
        </w:rPr>
        <w:t>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p>
    <w:p>
      <w:pPr>
        <w:pStyle w:val="3"/>
        <w:keepNext/>
        <w:keepLines/>
        <w:pageBreakBefore/>
        <w:widowControl w:val="0"/>
        <w:kinsoku/>
        <w:wordWrap/>
        <w:overflowPunct/>
        <w:topLinePunct w:val="0"/>
        <w:autoSpaceDE/>
        <w:autoSpaceDN/>
        <w:bidi w:val="0"/>
        <w:adjustRightInd w:val="0"/>
        <w:snapToGrid w:val="0"/>
        <w:textAlignment w:val="auto"/>
        <w:rPr>
          <w:rFonts w:ascii="宋体" w:hAnsi="宋体" w:eastAsia="宋体" w:cs="宋体"/>
          <w:b/>
          <w:bCs w:val="0"/>
          <w:color w:val="000000" w:themeColor="text1"/>
        </w:rPr>
      </w:pPr>
      <w:bookmarkStart w:id="1863" w:name="_Toc2987"/>
      <w:bookmarkStart w:id="1864" w:name="_Toc30615"/>
      <w:bookmarkStart w:id="1865" w:name="_Toc125057672"/>
      <w:bookmarkStart w:id="1866" w:name="_Toc9916"/>
      <w:bookmarkStart w:id="1867" w:name="_Toc22669"/>
      <w:bookmarkStart w:id="1868" w:name="_Toc17515"/>
      <w:bookmarkStart w:id="1869" w:name="_Toc16114"/>
      <w:bookmarkStart w:id="1870" w:name="_Toc30220"/>
      <w:bookmarkStart w:id="1871" w:name="_Toc14894"/>
      <w:bookmarkStart w:id="1872" w:name="_Toc7475"/>
      <w:bookmarkStart w:id="1873" w:name="_Toc15411"/>
      <w:bookmarkStart w:id="1874" w:name="_Toc31892"/>
      <w:bookmarkStart w:id="1875" w:name="_Toc10891"/>
      <w:bookmarkStart w:id="1876" w:name="_Toc10341"/>
      <w:bookmarkStart w:id="1877" w:name="_Toc223"/>
      <w:bookmarkStart w:id="1878" w:name="_Toc4151"/>
      <w:bookmarkStart w:id="1879" w:name="_Toc128056484"/>
      <w:bookmarkStart w:id="1880" w:name="_Toc32274"/>
      <w:bookmarkStart w:id="1881" w:name="_Toc29867"/>
      <w:bookmarkStart w:id="1882" w:name="_Toc12501"/>
      <w:bookmarkStart w:id="1883" w:name="_Toc21886"/>
      <w:bookmarkStart w:id="1884" w:name="_Toc29547"/>
      <w:bookmarkStart w:id="1885" w:name="_Toc21322"/>
      <w:bookmarkStart w:id="1886" w:name="_Toc6369"/>
      <w:bookmarkStart w:id="1887" w:name="_Toc17833"/>
      <w:r>
        <w:rPr>
          <w:rFonts w:hint="eastAsia" w:ascii="宋体" w:hAnsi="宋体" w:eastAsia="宋体" w:cs="宋体"/>
          <w:b/>
          <w:bCs w:val="0"/>
          <w:color w:val="000000" w:themeColor="text1"/>
        </w:rPr>
        <w:t>9  与建设单位交换意见的情况结果</w:t>
      </w:r>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p>
    <w:bookmarkEnd w:id="1745"/>
    <w:p>
      <w:pPr>
        <w:topLinePunct/>
        <w:ind w:firstLine="560"/>
        <w:rPr>
          <w:rFonts w:hint="eastAsia"/>
        </w:rPr>
      </w:pPr>
    </w:p>
    <w:p>
      <w:pPr>
        <w:topLinePunct/>
        <w:ind w:firstLine="560"/>
        <w:rPr>
          <w:rFonts w:ascii="宋体" w:hAnsi="宋体" w:cs="宋体"/>
          <w:color w:val="000000" w:themeColor="text1"/>
          <w:szCs w:val="28"/>
        </w:rPr>
      </w:pPr>
      <w:r>
        <w:rPr>
          <w:rFonts w:hint="eastAsia"/>
          <w:lang w:eastAsia="zh-CN"/>
        </w:rPr>
        <w:t>昆明合起工贸有限公司澄江氟化分公司</w:t>
      </w:r>
      <w:r>
        <w:rPr>
          <w:rFonts w:hint="eastAsia"/>
        </w:rPr>
        <w:t>为办理《危险化学品安全生产许可证》换证手续，委托昭通市鼎安科技有限公司对</w:t>
      </w:r>
      <w:r>
        <w:rPr>
          <w:rFonts w:hint="eastAsia"/>
          <w:lang w:eastAsia="zh-CN"/>
        </w:rPr>
        <w:t>昆明合起工贸有限公司澄江氟化分公司</w:t>
      </w:r>
      <w:r>
        <w:rPr>
          <w:rFonts w:hint="eastAsia" w:ascii="宋体" w:hAnsi="宋体" w:cs="宋体"/>
          <w:color w:val="000000" w:themeColor="text1"/>
          <w:szCs w:val="28"/>
        </w:rPr>
        <w:t>生产项目</w:t>
      </w:r>
      <w:r>
        <w:rPr>
          <w:rFonts w:hint="eastAsia"/>
          <w:color w:val="000000" w:themeColor="text1"/>
        </w:rPr>
        <w:t>涉及到的厂址、总图布置、周边环境、生产工艺装置、公用工程、安全设施及安全管理</w:t>
      </w:r>
      <w:r>
        <w:rPr>
          <w:rFonts w:hint="eastAsia"/>
        </w:rPr>
        <w:t>等安全工作进行安全现状评价。评价组于2023年9月23日，进入该企业现场，在企业负责人的陪同下，对其现场进行了检查，随后对其安全管理和安全责任制进行了查阅。经现场检查，评价组对检查中发现的问题，向该企业提出了整改的安全措施建议，该企业负责人同意尽快进行整改完善。</w:t>
      </w:r>
    </w:p>
    <w:p>
      <w:pPr>
        <w:ind w:firstLine="560"/>
        <w:rPr>
          <w:b/>
          <w:bCs/>
        </w:rPr>
      </w:pPr>
      <w:r>
        <w:rPr>
          <w:rFonts w:hint="eastAsia"/>
        </w:rPr>
        <w:t>在评价报告编制过程中，评价组向该企业提出了补充安全措施建议，</w:t>
      </w:r>
      <w:commentRangeStart w:id="9"/>
      <w:r>
        <w:rPr>
          <w:rFonts w:hint="eastAsia" w:ascii="宋体" w:hAnsi="宋体" w:eastAsia="宋体" w:cs="宋体"/>
          <w:sz w:val="28"/>
          <w:szCs w:val="28"/>
          <w:u w:val="none" w:color="auto"/>
          <w:lang w:val="en-US" w:eastAsia="zh-CN"/>
        </w:rPr>
        <w:t>压力表、安全阀年底到期，</w:t>
      </w:r>
      <w:r>
        <w:rPr>
          <w:rFonts w:hint="eastAsia" w:ascii="宋体" w:hAnsi="宋体" w:cs="宋体"/>
          <w:sz w:val="28"/>
          <w:szCs w:val="28"/>
          <w:u w:val="none" w:color="auto"/>
          <w:lang w:val="en-US" w:eastAsia="zh-CN"/>
        </w:rPr>
        <w:t>应按时</w:t>
      </w:r>
      <w:r>
        <w:rPr>
          <w:rFonts w:hint="eastAsia" w:ascii="宋体" w:hAnsi="宋体" w:eastAsia="宋体" w:cs="宋体"/>
          <w:sz w:val="28"/>
          <w:szCs w:val="28"/>
          <w:u w:val="none" w:color="auto"/>
          <w:lang w:val="en-US" w:eastAsia="zh-CN"/>
        </w:rPr>
        <w:t>进行定检</w:t>
      </w:r>
      <w:commentRangeEnd w:id="9"/>
      <w:r>
        <w:commentReference w:id="9"/>
      </w:r>
      <w:r>
        <w:rPr>
          <w:rFonts w:hint="eastAsia" w:ascii="宋体" w:hAnsi="宋体" w:cs="宋体"/>
          <w:sz w:val="28"/>
          <w:szCs w:val="28"/>
          <w:u w:val="none" w:color="auto"/>
          <w:lang w:val="en-US" w:eastAsia="zh-CN"/>
        </w:rPr>
        <w:t>，</w:t>
      </w:r>
      <w:r>
        <w:rPr>
          <w:rFonts w:hint="eastAsia"/>
        </w:rPr>
        <w:t>同时企业</w:t>
      </w:r>
      <w:r>
        <w:rPr>
          <w:rFonts w:hint="eastAsia" w:ascii="宋体" w:hAnsi="宋体" w:cs="宋体"/>
          <w:color w:val="auto"/>
          <w:kern w:val="0"/>
          <w:szCs w:val="28"/>
        </w:rPr>
        <w:t>主要负责人和安全生产管理人员应按期接受安全培训，具备与所从事的生产经营活动相适应的安全生产知识和管理能力、</w:t>
      </w:r>
      <w:r>
        <w:rPr>
          <w:rFonts w:hint="eastAsia"/>
        </w:rPr>
        <w:t>不断完善安全管理制度、修订操作规程、建立应急值班制度、定期对特种设备进行检验、为从业人员购买工伤保险，提高安全管理水平。</w:t>
      </w:r>
    </w:p>
    <w:p>
      <w:pPr>
        <w:topLinePunct/>
        <w:ind w:left="562" w:firstLine="0" w:firstLineChars="0"/>
        <w:rPr>
          <w:rFonts w:ascii="宋体" w:hAnsi="宋体"/>
          <w:color w:val="000000" w:themeColor="text1"/>
        </w:rPr>
      </w:pPr>
    </w:p>
    <w:p>
      <w:pPr>
        <w:ind w:firstLine="560"/>
        <w:rPr>
          <w:rFonts w:ascii="宋体" w:hAnsi="宋体"/>
          <w:color w:val="000000" w:themeColor="text1"/>
        </w:rPr>
      </w:pPr>
    </w:p>
    <w:p>
      <w:pPr>
        <w:pStyle w:val="35"/>
        <w:ind w:firstLine="560"/>
        <w:rPr>
          <w:rFonts w:ascii="宋体" w:hAnsi="宋体"/>
          <w:color w:val="000000" w:themeColor="text1"/>
        </w:rPr>
      </w:pPr>
    </w:p>
    <w:p>
      <w:pPr>
        <w:ind w:firstLine="560"/>
        <w:rPr>
          <w:rFonts w:ascii="宋体" w:hAnsi="宋体"/>
          <w:color w:val="000000" w:themeColor="text1"/>
        </w:rPr>
      </w:pPr>
    </w:p>
    <w:p>
      <w:pPr>
        <w:pStyle w:val="35"/>
        <w:ind w:firstLine="560"/>
        <w:rPr>
          <w:rFonts w:ascii="宋体" w:hAnsi="宋体"/>
          <w:color w:val="000000" w:themeColor="text1"/>
        </w:rPr>
      </w:pPr>
    </w:p>
    <w:p>
      <w:pPr>
        <w:ind w:firstLine="560"/>
        <w:rPr>
          <w:rFonts w:ascii="宋体" w:hAnsi="宋体"/>
          <w:color w:val="000000" w:themeColor="text1"/>
        </w:rPr>
      </w:pPr>
    </w:p>
    <w:p>
      <w:pPr>
        <w:pStyle w:val="35"/>
        <w:ind w:firstLine="560"/>
        <w:rPr>
          <w:rFonts w:ascii="宋体" w:hAnsi="宋体"/>
          <w:color w:val="000000" w:themeColor="text1"/>
        </w:rPr>
      </w:pPr>
    </w:p>
    <w:p>
      <w:pPr>
        <w:ind w:firstLine="560"/>
        <w:rPr>
          <w:rFonts w:ascii="宋体" w:hAnsi="宋体"/>
          <w:color w:val="000000" w:themeColor="text1"/>
        </w:rPr>
      </w:pPr>
    </w:p>
    <w:p>
      <w:pPr>
        <w:pStyle w:val="35"/>
        <w:ind w:firstLine="560"/>
        <w:rPr>
          <w:rFonts w:ascii="宋体" w:hAnsi="宋体"/>
          <w:color w:val="000000" w:themeColor="text1"/>
        </w:rPr>
      </w:pPr>
    </w:p>
    <w:p>
      <w:pPr>
        <w:ind w:firstLine="560"/>
        <w:rPr>
          <w:rFonts w:ascii="宋体" w:hAnsi="宋体"/>
          <w:color w:val="000000" w:themeColor="text1"/>
        </w:rPr>
      </w:pPr>
    </w:p>
    <w:p>
      <w:pPr>
        <w:pStyle w:val="35"/>
        <w:ind w:firstLine="560"/>
        <w:rPr>
          <w:rFonts w:ascii="宋体" w:hAnsi="宋体"/>
          <w:color w:val="000000" w:themeColor="text1"/>
        </w:rPr>
      </w:pPr>
    </w:p>
    <w:p>
      <w:pPr>
        <w:pStyle w:val="35"/>
        <w:ind w:firstLine="0" w:firstLineChars="0"/>
        <w:rPr>
          <w:rFonts w:ascii="宋体" w:hAnsi="宋体"/>
          <w:color w:val="000000" w:themeColor="text1"/>
        </w:rPr>
      </w:pPr>
    </w:p>
    <w:p>
      <w:pPr>
        <w:pStyle w:val="35"/>
        <w:ind w:firstLine="0" w:firstLineChars="0"/>
        <w:rPr>
          <w:rFonts w:ascii="宋体" w:hAnsi="宋体"/>
          <w:color w:val="000000" w:themeColor="text1"/>
          <w:szCs w:val="28"/>
        </w:rPr>
      </w:pPr>
    </w:p>
    <w:p>
      <w:pPr>
        <w:widowControl/>
        <w:ind w:firstLine="0" w:firstLineChars="0"/>
        <w:jc w:val="center"/>
        <w:rPr>
          <w:rFonts w:hint="eastAsia" w:ascii="宋体" w:hAnsi="宋体" w:eastAsia="宋体" w:cs="宋体"/>
          <w:b/>
          <w:bCs/>
          <w:kern w:val="0"/>
          <w:sz w:val="44"/>
          <w:szCs w:val="44"/>
          <w:lang w:eastAsia="zh-CN"/>
        </w:rPr>
      </w:pPr>
      <w:bookmarkStart w:id="1888" w:name="_Toc7195"/>
      <w:bookmarkStart w:id="1889" w:name="_Toc42724695"/>
      <w:bookmarkStart w:id="1890" w:name="_Toc128056486"/>
      <w:bookmarkStart w:id="1891" w:name="_Toc18786"/>
      <w:bookmarkStart w:id="1892" w:name="_Toc10124"/>
      <w:bookmarkStart w:id="1893" w:name="_Toc62740965"/>
      <w:r>
        <w:rPr>
          <w:rFonts w:hint="eastAsia" w:ascii="宋体" w:hAnsi="宋体" w:cs="宋体-18030"/>
          <w:b/>
          <w:color w:val="000000" w:themeColor="text1"/>
          <w:sz w:val="44"/>
          <w:szCs w:val="44"/>
          <w:lang w:eastAsia="zh-CN"/>
        </w:rPr>
        <w:t>昆明合起工贸有限公司澄江氟化分公司</w:t>
      </w:r>
    </w:p>
    <w:p>
      <w:pPr>
        <w:ind w:firstLine="0" w:firstLineChars="0"/>
        <w:jc w:val="center"/>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p>
    <w:p>
      <w:pPr>
        <w:pStyle w:val="2"/>
        <w:ind w:firstLine="0" w:firstLineChars="0"/>
      </w:pPr>
    </w:p>
    <w:p>
      <w:pPr>
        <w:ind w:firstLine="0" w:firstLineChars="0"/>
        <w:jc w:val="center"/>
        <w:rPr>
          <w:rFonts w:ascii="宋体" w:hAnsi="宋体" w:cs="宋体"/>
          <w:b/>
          <w:color w:val="000000" w:themeColor="text1"/>
          <w:sz w:val="52"/>
          <w:szCs w:val="52"/>
        </w:rPr>
      </w:pPr>
      <w:r>
        <w:rPr>
          <w:rFonts w:hint="eastAsia" w:ascii="宋体" w:hAnsi="宋体" w:cs="宋体"/>
          <w:b/>
          <w:color w:val="000000" w:themeColor="text1"/>
          <w:sz w:val="52"/>
          <w:szCs w:val="52"/>
        </w:rPr>
        <w:t>安全现状评价报告附件</w:t>
      </w:r>
    </w:p>
    <w:p>
      <w:pPr>
        <w:pStyle w:val="3"/>
        <w:rPr>
          <w:rFonts w:ascii="宋体" w:hAnsi="宋体" w:eastAsia="宋体" w:cs="宋体"/>
          <w:b/>
          <w:bCs w:val="0"/>
        </w:rPr>
      </w:pPr>
      <w:bookmarkStart w:id="1894" w:name="_Toc10161"/>
      <w:bookmarkStart w:id="1895" w:name="_Toc20076"/>
      <w:bookmarkStart w:id="1896" w:name="_Toc20140"/>
      <w:bookmarkStart w:id="1897" w:name="_Toc30116"/>
      <w:bookmarkStart w:id="1898" w:name="_Toc16652"/>
      <w:bookmarkStart w:id="1899" w:name="_Toc19835"/>
      <w:bookmarkStart w:id="1900" w:name="_Toc23735"/>
      <w:bookmarkStart w:id="1901" w:name="_Toc13232"/>
      <w:bookmarkStart w:id="1902" w:name="_Toc15986"/>
      <w:bookmarkStart w:id="1903" w:name="_Toc5225"/>
      <w:bookmarkStart w:id="1904" w:name="_Toc11454"/>
      <w:bookmarkStart w:id="1905" w:name="_Toc118131115"/>
      <w:bookmarkStart w:id="1906" w:name="_Toc22096"/>
      <w:bookmarkStart w:id="1907" w:name="_Toc12659"/>
      <w:bookmarkStart w:id="1908" w:name="_Toc7976"/>
      <w:bookmarkStart w:id="1909" w:name="_Toc118297973"/>
      <w:bookmarkStart w:id="1910" w:name="_Toc2405"/>
      <w:bookmarkStart w:id="1911" w:name="_Toc23953"/>
      <w:bookmarkStart w:id="1912" w:name="_Toc2235"/>
      <w:bookmarkStart w:id="1913" w:name="_Toc31955"/>
      <w:bookmarkStart w:id="1914" w:name="_Toc29168"/>
      <w:bookmarkStart w:id="1915" w:name="_Toc20373"/>
      <w:r>
        <w:rPr>
          <w:rFonts w:hint="eastAsia" w:ascii="宋体" w:hAnsi="宋体" w:eastAsia="宋体" w:cs="宋体"/>
          <w:b/>
          <w:bCs w:val="0"/>
        </w:rPr>
        <w:t>附件1  项目图表文件</w:t>
      </w:r>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p>
    <w:p>
      <w:pPr>
        <w:pStyle w:val="2"/>
        <w:ind w:firstLine="560"/>
      </w:pPr>
      <w:bookmarkStart w:id="1916" w:name="_Toc22059"/>
      <w:bookmarkStart w:id="1917" w:name="_Toc30601"/>
      <w:bookmarkStart w:id="1918" w:name="_Toc12757"/>
      <w:bookmarkStart w:id="1919" w:name="_Toc26031"/>
      <w:bookmarkStart w:id="1920" w:name="_Toc118297975"/>
      <w:bookmarkStart w:id="1921" w:name="_Toc19676"/>
      <w:bookmarkStart w:id="1922" w:name="_Toc19143"/>
      <w:bookmarkStart w:id="1923" w:name="_Toc5833"/>
      <w:bookmarkStart w:id="1924" w:name="_Toc118131117"/>
      <w:bookmarkStart w:id="1925" w:name="_Toc11697"/>
    </w:p>
    <w:p>
      <w:pPr>
        <w:pStyle w:val="4"/>
        <w:ind w:firstLine="562"/>
      </w:pPr>
      <w:bookmarkStart w:id="1926" w:name="_Toc11361"/>
      <w:bookmarkStart w:id="1927" w:name="_Toc11900"/>
      <w:bookmarkStart w:id="1928" w:name="_Toc21026"/>
      <w:bookmarkStart w:id="1929" w:name="_Toc2828"/>
      <w:bookmarkStart w:id="1930" w:name="_Toc29358"/>
      <w:bookmarkStart w:id="1931" w:name="_Toc25594"/>
      <w:bookmarkStart w:id="1932" w:name="_Toc7604"/>
      <w:bookmarkStart w:id="1933" w:name="_Toc9885"/>
      <w:bookmarkStart w:id="1934" w:name="_Toc19803"/>
      <w:bookmarkStart w:id="1935" w:name="_Toc16817"/>
      <w:bookmarkStart w:id="1936" w:name="_Toc1366"/>
      <w:bookmarkStart w:id="1937" w:name="_Toc3413"/>
      <w:bookmarkStart w:id="1938" w:name="_Toc26477"/>
      <w:r>
        <w:rPr>
          <w:rFonts w:hint="eastAsia"/>
        </w:rPr>
        <w:t>1.1 安全设施清单</w:t>
      </w:r>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p>
    <w:tbl>
      <w:tblPr>
        <w:tblStyle w:val="36"/>
        <w:tblW w:w="5106" w:type="pct"/>
        <w:tblInd w:w="-19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9"/>
        <w:gridCol w:w="1536"/>
        <w:gridCol w:w="3295"/>
        <w:gridCol w:w="2008"/>
        <w:gridCol w:w="713"/>
        <w:gridCol w:w="1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5000" w:type="pct"/>
            <w:gridSpan w:val="6"/>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bookmarkStart w:id="1939" w:name="_Toc15413"/>
            <w:bookmarkStart w:id="1940" w:name="_Toc1115"/>
            <w:bookmarkStart w:id="1941" w:name="_Toc5535"/>
            <w:bookmarkStart w:id="1942" w:name="_Toc9367"/>
            <w:bookmarkStart w:id="1943" w:name="_Toc32385"/>
            <w:bookmarkStart w:id="1944" w:name="_Toc24812"/>
            <w:bookmarkStart w:id="1945" w:name="_Toc4686"/>
            <w:bookmarkStart w:id="1946" w:name="_Toc31057"/>
            <w:bookmarkStart w:id="1947" w:name="_Toc9277"/>
            <w:r>
              <w:rPr>
                <w:rFonts w:hint="eastAsia" w:ascii="宋体" w:hAnsi="宋体" w:cs="宋体"/>
                <w:b/>
                <w:bCs/>
                <w:i w:val="0"/>
                <w:iCs w:val="0"/>
                <w:color w:val="000000"/>
                <w:kern w:val="0"/>
                <w:sz w:val="21"/>
                <w:szCs w:val="21"/>
                <w:u w:val="none"/>
                <w:lang w:val="en-US" w:eastAsia="zh-CN" w:bidi="ar"/>
              </w:rPr>
              <w:t>昆明合起工贸有限公司澄江氟化分公司</w:t>
            </w:r>
            <w:r>
              <w:rPr>
                <w:rFonts w:hint="eastAsia" w:ascii="宋体" w:hAnsi="宋体" w:eastAsia="宋体" w:cs="宋体"/>
                <w:b/>
                <w:bCs/>
                <w:i w:val="0"/>
                <w:iCs w:val="0"/>
                <w:color w:val="000000"/>
                <w:kern w:val="0"/>
                <w:sz w:val="21"/>
                <w:szCs w:val="21"/>
                <w:u w:val="none"/>
                <w:lang w:val="en-US" w:eastAsia="zh-CN" w:bidi="ar"/>
              </w:rPr>
              <w:t>安全设施台帐AQBZH02-15</w:t>
            </w:r>
          </w:p>
          <w:p>
            <w:pPr>
              <w:pStyle w:val="3"/>
              <w:kinsoku/>
              <w:wordWrap/>
              <w:overflowPunct/>
              <w:topLinePunct w:val="0"/>
              <w:autoSpaceDE/>
              <w:autoSpaceDN/>
              <w:bidi w:val="0"/>
              <w:adjustRightInd w:val="0"/>
              <w:snapToGrid w:val="0"/>
              <w:spacing w:line="240" w:lineRule="auto"/>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8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安全设施类别</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安</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全</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设</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施</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名</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称</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存</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在</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部</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61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预防事故设施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1</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检测、报警设施</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氟化氢检测仪</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巡检记录室</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便携式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氧气检测仪</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巡检记录室</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便携式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压力表</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兆欧表、万电表、钳形表、验电笔</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机修房</w:t>
            </w:r>
          </w:p>
        </w:tc>
        <w:tc>
          <w:tcPr>
            <w:tcW w:w="375" w:type="pc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pacing w:val="0"/>
                <w:kern w:val="0"/>
                <w:sz w:val="21"/>
                <w:szCs w:val="21"/>
                <w:u w:val="none"/>
                <w:lang w:val="en-US" w:eastAsia="zh-CN" w:bidi="ar"/>
              </w:rPr>
              <w:t>1</w:t>
            </w:r>
            <w:r>
              <w:rPr>
                <w:rFonts w:hint="eastAsia" w:ascii="宋体" w:hAnsi="宋体" w:cs="宋体"/>
                <w:i w:val="0"/>
                <w:iCs w:val="0"/>
                <w:color w:val="000000"/>
                <w:spacing w:val="0"/>
                <w:kern w:val="0"/>
                <w:sz w:val="21"/>
                <w:szCs w:val="21"/>
                <w:u w:val="none"/>
                <w:lang w:val="en-US" w:eastAsia="zh-CN" w:bidi="ar"/>
              </w:rPr>
              <w:t>.</w:t>
            </w:r>
            <w:r>
              <w:rPr>
                <w:rFonts w:hint="eastAsia" w:ascii="宋体" w:hAnsi="宋体" w:eastAsia="宋体" w:cs="宋体"/>
                <w:i w:val="0"/>
                <w:iCs w:val="0"/>
                <w:color w:val="000000"/>
                <w:spacing w:val="0"/>
                <w:kern w:val="0"/>
                <w:sz w:val="21"/>
                <w:szCs w:val="21"/>
                <w:u w:val="none"/>
                <w:lang w:val="en-US" w:eastAsia="zh-CN" w:bidi="ar"/>
              </w:rPr>
              <w:t>2</w:t>
            </w:r>
          </w:p>
        </w:tc>
        <w:tc>
          <w:tcPr>
            <w:tcW w:w="809"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pacing w:val="0"/>
                <w:kern w:val="0"/>
                <w:sz w:val="21"/>
                <w:szCs w:val="21"/>
                <w:u w:val="none"/>
                <w:lang w:val="en-US" w:eastAsia="zh-CN" w:bidi="ar"/>
              </w:rPr>
              <w:t>安全防护设施</w:t>
            </w: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防护罩</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各车间机械设备传动部位</w:t>
            </w:r>
          </w:p>
        </w:tc>
        <w:tc>
          <w:tcPr>
            <w:tcW w:w="375" w:type="pc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防护栏</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各车间操作平台、楼梯、安全通道</w:t>
            </w:r>
          </w:p>
        </w:tc>
        <w:tc>
          <w:tcPr>
            <w:tcW w:w="375" w:type="pc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避雷器</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pacing w:val="0"/>
                <w:kern w:val="2"/>
                <w:sz w:val="21"/>
                <w:szCs w:val="21"/>
                <w:u w:val="none"/>
                <w:lang w:val="en-US" w:eastAsia="zh-CN" w:bidi="ar-SA"/>
              </w:rPr>
            </w:pPr>
            <w:r>
              <w:rPr>
                <w:rFonts w:hint="eastAsia" w:ascii="宋体" w:hAnsi="宋体" w:eastAsia="宋体" w:cs="宋体"/>
                <w:i w:val="0"/>
                <w:iCs w:val="0"/>
                <w:color w:val="000000"/>
                <w:spacing w:val="0"/>
                <w:kern w:val="0"/>
                <w:sz w:val="21"/>
                <w:szCs w:val="21"/>
                <w:u w:val="none"/>
                <w:lang w:val="en-US" w:eastAsia="zh-CN" w:bidi="ar"/>
              </w:rPr>
              <w:t>生产车间房顶</w:t>
            </w:r>
          </w:p>
        </w:tc>
        <w:tc>
          <w:tcPr>
            <w:tcW w:w="375" w:type="pc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exact"/>
        </w:trPr>
        <w:tc>
          <w:tcPr>
            <w:tcW w:w="389"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pacing w:val="0"/>
                <w:kern w:val="0"/>
                <w:sz w:val="21"/>
                <w:szCs w:val="21"/>
                <w:u w:val="none"/>
                <w:lang w:val="en-US" w:eastAsia="zh-CN" w:bidi="ar"/>
              </w:rPr>
              <w:t>电器过载保护设备</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pacing w:val="0"/>
                <w:kern w:val="0"/>
                <w:sz w:val="21"/>
                <w:szCs w:val="21"/>
                <w:u w:val="none"/>
                <w:lang w:val="en-US" w:eastAsia="zh-CN" w:bidi="ar"/>
              </w:rPr>
              <w:t>配电室、各车间控制柜</w:t>
            </w:r>
          </w:p>
        </w:tc>
        <w:tc>
          <w:tcPr>
            <w:tcW w:w="375" w:type="pc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3</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防爆设施</w:t>
            </w:r>
          </w:p>
        </w:tc>
        <w:tc>
          <w:tcPr>
            <w:tcW w:w="1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防爆灯</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4</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作业场所防护设施</w:t>
            </w:r>
          </w:p>
        </w:tc>
        <w:tc>
          <w:tcPr>
            <w:tcW w:w="1736"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防护罩、防护栏</w:t>
            </w:r>
          </w:p>
        </w:tc>
        <w:tc>
          <w:tcPr>
            <w:tcW w:w="1058"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作业场所</w:t>
            </w:r>
          </w:p>
        </w:tc>
        <w:tc>
          <w:tcPr>
            <w:tcW w:w="375"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防滑设施</w:t>
            </w:r>
          </w:p>
        </w:tc>
        <w:tc>
          <w:tcPr>
            <w:tcW w:w="10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作业场所</w:t>
            </w:r>
          </w:p>
        </w:tc>
        <w:tc>
          <w:tcPr>
            <w:tcW w:w="3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花纹钢板水泥硬化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防灼烫</w:t>
            </w:r>
          </w:p>
        </w:tc>
        <w:tc>
          <w:tcPr>
            <w:tcW w:w="10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作业场所</w:t>
            </w:r>
          </w:p>
        </w:tc>
        <w:tc>
          <w:tcPr>
            <w:tcW w:w="3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采用劳动保护用品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5</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安全警示标志</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当心滑跌</w:t>
            </w:r>
          </w:p>
        </w:tc>
        <w:tc>
          <w:tcPr>
            <w:tcW w:w="1058"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当心腐蚀</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火警电话</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职业病危害告知</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禁止吸烟</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现场职业危害公示</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风险危害告知卡</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注意安全</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当心火灾</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必须穿工作服</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必须戴防护手套</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必须戴安全帽</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必须戴防尘口罩</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紧急出口</w:t>
            </w:r>
          </w:p>
        </w:tc>
        <w:tc>
          <w:tcPr>
            <w:tcW w:w="10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风险危害告知卡</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现场职业危害公示 </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火警电话</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注意安全</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当心火灾</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当心中毒</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当心烫伤</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严禁烟火</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禁止吸烟</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安全阀根部阀禁止关闭</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戴防尘罩、安全帽</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注意防尘</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戴防尘罩</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必须穿工作服</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必须穿防护鞋</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必须戴防护手套</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必须保持清洁</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安全通道</w:t>
            </w:r>
          </w:p>
        </w:tc>
        <w:tc>
          <w:tcPr>
            <w:tcW w:w="10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禁止吸烟</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禁止烟火</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当心火灾</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必须戴安全帽</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必须戴防护手套</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戴防尘口罩</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穿防护鞋</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当心中毒</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注意防尘</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注意安全</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风险危害告知卡</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现场职业危害公示</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紧急出口</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火警电话</w:t>
            </w:r>
          </w:p>
        </w:tc>
        <w:tc>
          <w:tcPr>
            <w:tcW w:w="1058"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成品仓库</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氟硅酸镁产品职业危害告知牌</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禁止吸烟</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限空间作业安全告知牌</w:t>
            </w:r>
          </w:p>
        </w:tc>
        <w:tc>
          <w:tcPr>
            <w:tcW w:w="1058" w:type="pct"/>
            <w:vMerge w:val="restar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氟硅酸池</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当心淹溺</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危险废物暂存间</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必须戴安全帽</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穿工作服</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戴防护口罩</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穿防护鞋</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般固废职业危害告知牌</w:t>
            </w:r>
          </w:p>
        </w:tc>
        <w:tc>
          <w:tcPr>
            <w:tcW w:w="1058"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氟硅酸镁渣临时堆场</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一般固体废物标志牌</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粉尘、噪声、氟化物的职业危害告知卡</w:t>
            </w:r>
          </w:p>
        </w:tc>
        <w:tc>
          <w:tcPr>
            <w:tcW w:w="1058"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公共区域</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禁止烟火、吸烟</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注意安全</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当心中毒</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职业健康危害信息及安全注意事项告知书</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安全风险管控牌职业卫生公告栏</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超限超载提示牌</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当心滑跌</w:t>
            </w:r>
          </w:p>
        </w:tc>
        <w:tc>
          <w:tcPr>
            <w:tcW w:w="1058"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注意安全</w:t>
            </w:r>
          </w:p>
        </w:tc>
        <w:tc>
          <w:tcPr>
            <w:tcW w:w="1058" w:type="pct"/>
            <w:vMerge w:val="restar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配电室</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当心触电</w:t>
            </w:r>
          </w:p>
        </w:tc>
        <w:tc>
          <w:tcPr>
            <w:tcW w:w="1058" w:type="pct"/>
            <w:vMerge w:val="continue"/>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61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控制事故设施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1</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泄压和止逆设施</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安全阀</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布袋除尘</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布袋出尘</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1台引风机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尾气排放</w:t>
            </w:r>
          </w:p>
        </w:tc>
        <w:tc>
          <w:tcPr>
            <w:tcW w:w="105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浓缩岗位蒸汽放空</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61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减少与消除事故影响设施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1</w:t>
            </w:r>
          </w:p>
        </w:tc>
        <w:tc>
          <w:tcPr>
            <w:tcW w:w="809" w:type="pct"/>
            <w:vMerge w:val="restart"/>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灭火设施</w:t>
            </w:r>
          </w:p>
        </w:tc>
        <w:tc>
          <w:tcPr>
            <w:tcW w:w="173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浓缩岗位大门外</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消防水带</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消火栓箱内</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每箱2卷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消防水枪</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消火栓箱内</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每箱1个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消防板手</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消火栓箱内</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每箱1把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灭火设施</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机修门口</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仓库门口</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成品库门</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配电室内</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nil"/>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办公室</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2</w:t>
            </w:r>
          </w:p>
        </w:tc>
        <w:tc>
          <w:tcPr>
            <w:tcW w:w="809"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紧急处理设施</w:t>
            </w:r>
          </w:p>
        </w:tc>
        <w:tc>
          <w:tcPr>
            <w:tcW w:w="1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洗眼器</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浓缩岗位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应急救援设施</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医疗急救箱</w:t>
            </w:r>
          </w:p>
        </w:tc>
        <w:tc>
          <w:tcPr>
            <w:tcW w:w="10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聚合应急柜</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防腐蚀衣裤</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值班车辆</w:t>
            </w:r>
          </w:p>
        </w:tc>
        <w:tc>
          <w:tcPr>
            <w:tcW w:w="10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警戒线</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聚合岗位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3</w:t>
            </w:r>
          </w:p>
        </w:tc>
        <w:tc>
          <w:tcPr>
            <w:tcW w:w="8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劳动防护用品和装备</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安全帽、手套</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作业场所</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按作业人员配发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防腐橡胶手套</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按作业人员配发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防腐防护面罩</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中和岗位</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8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电焊面罩</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机修房</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1"/>
                <w:szCs w:val="21"/>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按作业人员配发</w:t>
            </w:r>
          </w:p>
        </w:tc>
      </w:tr>
      <w:bookmarkEnd w:id="1939"/>
      <w:bookmarkEnd w:id="1940"/>
      <w:bookmarkEnd w:id="1941"/>
      <w:bookmarkEnd w:id="1942"/>
      <w:bookmarkEnd w:id="1943"/>
      <w:bookmarkEnd w:id="1944"/>
      <w:bookmarkEnd w:id="1945"/>
      <w:bookmarkEnd w:id="1946"/>
      <w:bookmarkEnd w:id="1947"/>
    </w:tbl>
    <w:p>
      <w:pPr>
        <w:pStyle w:val="3"/>
        <w:rPr>
          <w:rFonts w:ascii="宋体" w:hAnsi="宋体" w:eastAsia="宋体" w:cs="宋体"/>
          <w:b/>
          <w:bCs w:val="0"/>
          <w:color w:val="000000" w:themeColor="text1"/>
          <w:sz w:val="32"/>
          <w:szCs w:val="32"/>
        </w:rPr>
      </w:pPr>
      <w:bookmarkStart w:id="1948" w:name="_Toc25591"/>
      <w:bookmarkStart w:id="1949" w:name="_Toc12975"/>
      <w:bookmarkStart w:id="1950" w:name="_Toc30024"/>
      <w:bookmarkStart w:id="1951" w:name="_Toc27853"/>
      <w:bookmarkStart w:id="1952" w:name="_Toc25672"/>
      <w:bookmarkStart w:id="1953" w:name="_Toc18311"/>
      <w:bookmarkStart w:id="1954" w:name="_Toc17214"/>
      <w:bookmarkStart w:id="1955" w:name="_Toc7909"/>
      <w:bookmarkStart w:id="1956" w:name="_Toc5250"/>
      <w:bookmarkStart w:id="1957" w:name="_Toc805"/>
      <w:bookmarkStart w:id="1958" w:name="_Toc5951"/>
      <w:bookmarkStart w:id="1959" w:name="_Toc18264"/>
      <w:bookmarkStart w:id="1960" w:name="_Toc16646"/>
      <w:bookmarkStart w:id="1961" w:name="_Toc3606"/>
      <w:bookmarkStart w:id="1962" w:name="_Toc16723"/>
      <w:bookmarkStart w:id="1963" w:name="_Toc4722"/>
      <w:bookmarkStart w:id="1964" w:name="_Toc2798"/>
      <w:bookmarkStart w:id="1965" w:name="_Toc1807"/>
      <w:bookmarkStart w:id="1966" w:name="_Toc8630"/>
      <w:bookmarkStart w:id="1967" w:name="_Toc185"/>
      <w:r>
        <w:rPr>
          <w:rFonts w:hint="eastAsia" w:ascii="宋体" w:hAnsi="宋体" w:eastAsia="宋体" w:cs="宋体"/>
          <w:b/>
          <w:bCs w:val="0"/>
          <w:color w:val="000000" w:themeColor="text1"/>
          <w:sz w:val="32"/>
          <w:szCs w:val="32"/>
        </w:rPr>
        <w:t xml:space="preserve">附件2  </w:t>
      </w:r>
      <w:bookmarkEnd w:id="1888"/>
      <w:bookmarkEnd w:id="1889"/>
      <w:bookmarkEnd w:id="1890"/>
      <w:bookmarkEnd w:id="1891"/>
      <w:bookmarkEnd w:id="1892"/>
      <w:r>
        <w:rPr>
          <w:rFonts w:hint="eastAsia" w:ascii="宋体" w:hAnsi="宋体" w:eastAsia="宋体" w:cs="宋体"/>
          <w:b/>
          <w:bCs w:val="0"/>
          <w:color w:val="000000" w:themeColor="text1"/>
          <w:sz w:val="32"/>
          <w:szCs w:val="32"/>
          <w:lang w:eastAsia="zh-CN"/>
        </w:rPr>
        <w:t>危险和有害因素</w:t>
      </w:r>
      <w:r>
        <w:rPr>
          <w:rFonts w:hint="eastAsia" w:ascii="宋体" w:hAnsi="宋体" w:eastAsia="宋体" w:cs="宋体"/>
          <w:b/>
          <w:bCs w:val="0"/>
          <w:sz w:val="32"/>
          <w:szCs w:val="32"/>
        </w:rPr>
        <w:t>辨识</w:t>
      </w:r>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p>
    <w:p>
      <w:pPr>
        <w:pStyle w:val="2"/>
        <w:ind w:firstLine="560"/>
        <w:rPr>
          <w:sz w:val="32"/>
          <w:szCs w:val="32"/>
        </w:rPr>
      </w:pPr>
      <w:bookmarkStart w:id="1968" w:name="_Toc10798"/>
      <w:bookmarkStart w:id="1969" w:name="_Toc1086"/>
      <w:bookmarkStart w:id="1970" w:name="_Toc118131119"/>
      <w:bookmarkStart w:id="1971" w:name="_Toc118297977"/>
      <w:bookmarkStart w:id="1972" w:name="_Toc28385"/>
      <w:bookmarkStart w:id="1973" w:name="_Toc14693"/>
      <w:bookmarkStart w:id="1974" w:name="_Toc117866066"/>
      <w:bookmarkStart w:id="1975" w:name="_Toc19402"/>
      <w:bookmarkStart w:id="1976" w:name="_Toc17456"/>
      <w:bookmarkStart w:id="1977" w:name="_Toc17108"/>
      <w:bookmarkStart w:id="1978" w:name="_Toc29048"/>
      <w:bookmarkStart w:id="1979" w:name="_Toc6915"/>
      <w:bookmarkStart w:id="1980" w:name="_Toc23919"/>
      <w:bookmarkStart w:id="1981" w:name="_Toc31481"/>
      <w:bookmarkStart w:id="1982" w:name="_Toc128056487"/>
      <w:bookmarkStart w:id="1983" w:name="_Toc42724696"/>
    </w:p>
    <w:p>
      <w:pPr>
        <w:pStyle w:val="4"/>
        <w:ind w:firstLine="562"/>
      </w:pPr>
      <w:bookmarkStart w:id="1984" w:name="_Toc4248"/>
      <w:bookmarkStart w:id="1985" w:name="_Toc20383"/>
      <w:bookmarkStart w:id="1986" w:name="_Toc23971"/>
      <w:bookmarkStart w:id="1987" w:name="_Toc28551"/>
      <w:bookmarkStart w:id="1988" w:name="_Toc16878"/>
      <w:bookmarkStart w:id="1989" w:name="_Toc3123"/>
      <w:bookmarkStart w:id="1990" w:name="_Toc9330"/>
      <w:bookmarkStart w:id="1991" w:name="_Toc25342"/>
      <w:bookmarkStart w:id="1992" w:name="_Toc9432"/>
      <w:bookmarkStart w:id="1993" w:name="_Toc1648"/>
      <w:bookmarkStart w:id="1994" w:name="_Toc31689"/>
      <w:bookmarkStart w:id="1995" w:name="_Toc32428"/>
      <w:bookmarkStart w:id="1996" w:name="_Toc25967"/>
      <w:r>
        <w:rPr>
          <w:rFonts w:hint="eastAsia"/>
        </w:rPr>
        <w:t>2.1 主要</w:t>
      </w:r>
      <w:r>
        <w:rPr>
          <w:rFonts w:hint="eastAsia"/>
          <w:lang w:eastAsia="zh-CN"/>
        </w:rPr>
        <w:t>危险和有害因素</w:t>
      </w:r>
      <w:r>
        <w:rPr>
          <w:rFonts w:hint="eastAsia"/>
        </w:rPr>
        <w:t>辨识与分析的目的</w:t>
      </w:r>
      <w:bookmarkEnd w:id="1968"/>
      <w:bookmarkEnd w:id="1969"/>
      <w:bookmarkEnd w:id="1970"/>
      <w:bookmarkEnd w:id="1971"/>
      <w:bookmarkEnd w:id="1972"/>
      <w:bookmarkEnd w:id="1973"/>
      <w:bookmarkEnd w:id="1974"/>
      <w:bookmarkEnd w:id="1975"/>
      <w:bookmarkEnd w:id="1976"/>
      <w:bookmarkEnd w:id="1977"/>
      <w:bookmarkEnd w:id="1978"/>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pPr>
        <w:ind w:firstLine="560"/>
      </w:pPr>
      <w:r>
        <w:rPr>
          <w:rFonts w:hint="eastAsia"/>
          <w:lang w:eastAsia="zh-CN"/>
        </w:rPr>
        <w:t>危险和有害因素</w:t>
      </w:r>
      <w:r>
        <w:rPr>
          <w:rFonts w:hint="eastAsia"/>
        </w:rPr>
        <w:t>辨识与分析是安全评价的基础。</w:t>
      </w:r>
    </w:p>
    <w:p>
      <w:pPr>
        <w:ind w:firstLine="560"/>
      </w:pPr>
      <w:r>
        <w:rPr>
          <w:rFonts w:hint="eastAsia"/>
        </w:rPr>
        <w:t>危险因素是指系统（人、机械、材料、设施、工艺、环境）中存在的，能对人造成伤亡，对物造成突发性损害的因素。</w:t>
      </w:r>
    </w:p>
    <w:p>
      <w:pPr>
        <w:ind w:firstLine="560"/>
      </w:pPr>
      <w:r>
        <w:rPr>
          <w:rFonts w:hint="eastAsia"/>
        </w:rPr>
        <w:t>有害因素是指影响人的身体健康，导致疾病，或对物造成慢性损害的因素。</w:t>
      </w:r>
    </w:p>
    <w:p>
      <w:pPr>
        <w:ind w:firstLine="560"/>
      </w:pPr>
      <w:r>
        <w:rPr>
          <w:rFonts w:hint="eastAsia"/>
        </w:rPr>
        <w:t>通常情况下，二者不加以区分而统称为</w:t>
      </w:r>
      <w:r>
        <w:rPr>
          <w:rFonts w:hint="eastAsia"/>
          <w:lang w:eastAsia="zh-CN"/>
        </w:rPr>
        <w:t>危险和有害因素</w:t>
      </w:r>
      <w:r>
        <w:rPr>
          <w:rFonts w:hint="eastAsia"/>
        </w:rPr>
        <w:t>，主要指客观存在的危险、有害物质和能量超过一定限值的设备、设施和场所等。</w:t>
      </w:r>
    </w:p>
    <w:p>
      <w:pPr>
        <w:ind w:firstLine="560"/>
      </w:pPr>
      <w:r>
        <w:rPr>
          <w:rFonts w:hint="eastAsia"/>
        </w:rPr>
        <w:t>主要</w:t>
      </w:r>
      <w:r>
        <w:rPr>
          <w:rFonts w:hint="eastAsia"/>
          <w:lang w:eastAsia="zh-CN"/>
        </w:rPr>
        <w:t>危险和有害因素</w:t>
      </w:r>
      <w:r>
        <w:rPr>
          <w:rFonts w:hint="eastAsia"/>
        </w:rPr>
        <w:t>的识别，就是找出生产、经营过程中最有可能引发重大事故，导致不良后果的人、机、物、工艺、环境和组织等，识别可能发生的事故、后果和条件，以便采取预防和控制措施。</w:t>
      </w:r>
    </w:p>
    <w:p>
      <w:pPr>
        <w:pStyle w:val="4"/>
        <w:ind w:firstLine="562"/>
      </w:pPr>
      <w:bookmarkStart w:id="1997" w:name="_Toc13094"/>
      <w:bookmarkStart w:id="1998" w:name="_Toc3705"/>
      <w:bookmarkStart w:id="1999" w:name="_Toc10600"/>
      <w:bookmarkStart w:id="2000" w:name="_Toc28886"/>
      <w:bookmarkStart w:id="2001" w:name="_Toc2991"/>
      <w:bookmarkStart w:id="2002" w:name="_Toc12645"/>
      <w:bookmarkStart w:id="2003" w:name="_Toc12499"/>
      <w:bookmarkStart w:id="2004" w:name="_Toc165"/>
      <w:bookmarkStart w:id="2005" w:name="_Toc964"/>
      <w:bookmarkStart w:id="2006" w:name="_Toc23160"/>
      <w:bookmarkStart w:id="2007" w:name="_Toc21405"/>
      <w:bookmarkStart w:id="2008" w:name="_Toc3002"/>
      <w:bookmarkStart w:id="2009" w:name="_Toc19633"/>
      <w:bookmarkStart w:id="2010" w:name="_Toc26182"/>
      <w:bookmarkStart w:id="2011" w:name="_Toc118297978"/>
      <w:bookmarkStart w:id="2012" w:name="_Toc18474"/>
      <w:bookmarkStart w:id="2013" w:name="_Toc4079"/>
      <w:bookmarkStart w:id="2014" w:name="_Toc9742"/>
      <w:bookmarkStart w:id="2015" w:name="_Toc30595"/>
      <w:bookmarkStart w:id="2016" w:name="_Toc15459"/>
      <w:bookmarkStart w:id="2017" w:name="_Toc117866067"/>
      <w:bookmarkStart w:id="2018" w:name="_Toc7164"/>
      <w:bookmarkStart w:id="2019" w:name="_Toc118131120"/>
      <w:bookmarkStart w:id="2020" w:name="_Toc29990"/>
      <w:r>
        <w:rPr>
          <w:rFonts w:hint="eastAsia"/>
        </w:rPr>
        <w:t>2.2 主要</w:t>
      </w:r>
      <w:r>
        <w:rPr>
          <w:rFonts w:hint="eastAsia"/>
          <w:lang w:eastAsia="zh-CN"/>
        </w:rPr>
        <w:t>危险和有害因素</w:t>
      </w:r>
      <w:r>
        <w:rPr>
          <w:rFonts w:hint="eastAsia"/>
        </w:rPr>
        <w:t>辨识与分析的方法</w:t>
      </w:r>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p>
    <w:p>
      <w:pPr>
        <w:ind w:firstLine="560"/>
      </w:pPr>
      <w:r>
        <w:rPr>
          <w:rFonts w:hint="eastAsia"/>
        </w:rPr>
        <w:t>本报告对</w:t>
      </w:r>
      <w:r>
        <w:rPr>
          <w:rFonts w:hint="eastAsia"/>
          <w:lang w:eastAsia="zh-CN"/>
        </w:rPr>
        <w:t>危险和有害因素</w:t>
      </w:r>
      <w:r>
        <w:rPr>
          <w:rFonts w:hint="eastAsia"/>
        </w:rPr>
        <w:t>的辨识方法，是根据本项目的生产工艺特点，及其在生产过程中涉及的危险、有害物质及其危险特性、生产工艺、设备及储存设施等方面进行分析，以辨识本项目存在的主要</w:t>
      </w:r>
      <w:r>
        <w:rPr>
          <w:rFonts w:hint="eastAsia"/>
          <w:lang w:eastAsia="zh-CN"/>
        </w:rPr>
        <w:t>危险和有害因素</w:t>
      </w:r>
      <w:r>
        <w:rPr>
          <w:rFonts w:hint="eastAsia"/>
        </w:rPr>
        <w:t>。</w:t>
      </w:r>
    </w:p>
    <w:p>
      <w:pPr>
        <w:ind w:firstLine="560"/>
      </w:pPr>
      <w:r>
        <w:rPr>
          <w:rFonts w:hint="eastAsia"/>
        </w:rPr>
        <w:t>按照《企业职工伤亡事故分类》（GB6441-1986），综合考虑起因物、引起事故的诱导性原因、致害物、伤害方式等，以辨识该项目在生产过程中存在的主要危险有害因素。</w:t>
      </w:r>
    </w:p>
    <w:p>
      <w:pPr>
        <w:ind w:firstLine="560"/>
      </w:pPr>
      <w:r>
        <w:rPr>
          <w:rFonts w:hint="eastAsia"/>
        </w:rPr>
        <w:t>根据《生产过程危险和有害因素分类与代码》（GB/T13861-2022）的规定，将危险因素和有害因素分</w:t>
      </w:r>
      <w:r>
        <w:rPr>
          <w:rFonts w:hint="eastAsia"/>
          <w:lang w:val="en-US" w:eastAsia="zh-CN"/>
        </w:rPr>
        <w:t>为</w:t>
      </w:r>
      <w:r>
        <w:rPr>
          <w:rFonts w:hint="eastAsia"/>
        </w:rPr>
        <w:t>：人的因素、物的因素、环境因素、管理的因素。从上述四个方面，辨识该项目在生产过程中存在的主要危险</w:t>
      </w:r>
      <w:r>
        <w:rPr>
          <w:rFonts w:hint="eastAsia"/>
          <w:lang w:val="en-US" w:eastAsia="zh-CN"/>
        </w:rPr>
        <w:t>和</w:t>
      </w:r>
      <w:r>
        <w:rPr>
          <w:rFonts w:hint="eastAsia"/>
        </w:rPr>
        <w:t>有害因素。</w:t>
      </w:r>
    </w:p>
    <w:p>
      <w:pPr>
        <w:pStyle w:val="4"/>
        <w:ind w:firstLine="562"/>
      </w:pPr>
      <w:bookmarkStart w:id="2021" w:name="_Toc118131121"/>
      <w:bookmarkStart w:id="2022" w:name="_Toc15376"/>
      <w:bookmarkStart w:id="2023" w:name="_Toc21697"/>
      <w:bookmarkStart w:id="2024" w:name="_Toc8305"/>
      <w:bookmarkStart w:id="2025" w:name="_Toc8539"/>
      <w:bookmarkStart w:id="2026" w:name="_Toc12244"/>
      <w:bookmarkStart w:id="2027" w:name="_Toc22384"/>
      <w:bookmarkStart w:id="2028" w:name="_Toc13145"/>
      <w:bookmarkStart w:id="2029" w:name="_Toc6279"/>
      <w:bookmarkStart w:id="2030" w:name="_Toc117866068"/>
      <w:bookmarkStart w:id="2031" w:name="_Toc31733"/>
      <w:bookmarkStart w:id="2032" w:name="_Toc27664"/>
      <w:bookmarkStart w:id="2033" w:name="_Toc2272"/>
      <w:bookmarkStart w:id="2034" w:name="_Toc28568"/>
      <w:bookmarkStart w:id="2035" w:name="_Toc15757"/>
      <w:bookmarkStart w:id="2036" w:name="_Toc4979"/>
      <w:bookmarkStart w:id="2037" w:name="_Toc19700"/>
      <w:bookmarkStart w:id="2038" w:name="_Toc14075"/>
      <w:bookmarkStart w:id="2039" w:name="_Toc118297979"/>
      <w:bookmarkStart w:id="2040" w:name="_Toc5290"/>
      <w:bookmarkStart w:id="2041" w:name="_Toc6512"/>
      <w:bookmarkStart w:id="2042" w:name="_Toc11333"/>
      <w:bookmarkStart w:id="2043" w:name="_Toc6259"/>
      <w:bookmarkStart w:id="2044" w:name="_Toc16988"/>
      <w:r>
        <w:rPr>
          <w:rFonts w:hint="eastAsia"/>
        </w:rPr>
        <w:t xml:space="preserve">2.3 </w:t>
      </w:r>
      <w:r>
        <w:rPr>
          <w:rFonts w:hint="eastAsia"/>
          <w:lang w:eastAsia="zh-CN"/>
        </w:rPr>
        <w:t>危险和有害因素</w:t>
      </w:r>
      <w:r>
        <w:rPr>
          <w:rFonts w:hint="eastAsia"/>
        </w:rPr>
        <w:t>产生的原因</w:t>
      </w:r>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p>
    <w:p>
      <w:pPr>
        <w:pStyle w:val="5"/>
        <w:ind w:firstLine="562"/>
      </w:pPr>
      <w:bookmarkStart w:id="2045" w:name="_Toc118131122"/>
      <w:bookmarkStart w:id="2046" w:name="_Toc12747"/>
      <w:bookmarkStart w:id="2047" w:name="_Toc28828"/>
      <w:bookmarkStart w:id="2048" w:name="_Toc118297980"/>
      <w:bookmarkStart w:id="2049" w:name="_Toc13130"/>
      <w:bookmarkStart w:id="2050" w:name="_Toc5553"/>
      <w:bookmarkStart w:id="2051" w:name="_Toc8031"/>
      <w:bookmarkStart w:id="2052" w:name="_Toc5777"/>
      <w:bookmarkStart w:id="2053" w:name="_Toc22284"/>
      <w:bookmarkStart w:id="2054" w:name="_Toc19771"/>
      <w:bookmarkStart w:id="2055" w:name="_Toc117866069"/>
      <w:bookmarkStart w:id="2056" w:name="_Toc19802"/>
      <w:bookmarkStart w:id="2057" w:name="_Toc31229"/>
      <w:bookmarkStart w:id="2058" w:name="_Toc24102"/>
      <w:r>
        <w:rPr>
          <w:rFonts w:hint="eastAsia"/>
        </w:rPr>
        <w:t>2.3.1</w:t>
      </w:r>
      <w:r>
        <w:rPr>
          <w:rFonts w:hint="eastAsia"/>
        </w:rPr>
        <w:tab/>
      </w:r>
      <w:r>
        <w:rPr>
          <w:rFonts w:hint="eastAsia"/>
          <w:lang w:val="en-US" w:eastAsia="zh-CN"/>
        </w:rPr>
        <w:t xml:space="preserve"> </w:t>
      </w:r>
      <w:r>
        <w:rPr>
          <w:rFonts w:hint="eastAsia"/>
        </w:rPr>
        <w:t>运行失控与设备故障</w:t>
      </w:r>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p>
    <w:p>
      <w:pPr>
        <w:ind w:firstLine="560"/>
      </w:pPr>
      <w:r>
        <w:rPr>
          <w:rFonts w:hint="eastAsia"/>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w:t>
      </w:r>
      <w:r>
        <w:rPr>
          <w:rFonts w:hint="eastAsia"/>
          <w:lang w:val="en-US" w:eastAsia="zh-CN"/>
        </w:rPr>
        <w:t>或</w:t>
      </w:r>
      <w:r>
        <w:rPr>
          <w:rFonts w:hint="eastAsia"/>
        </w:rPr>
        <w:t>减少。</w:t>
      </w:r>
    </w:p>
    <w:p>
      <w:pPr>
        <w:pStyle w:val="5"/>
        <w:ind w:firstLine="562"/>
      </w:pPr>
      <w:bookmarkStart w:id="2059" w:name="_Toc15256"/>
      <w:bookmarkStart w:id="2060" w:name="_Toc1334"/>
      <w:bookmarkStart w:id="2061" w:name="_Toc13974"/>
      <w:bookmarkStart w:id="2062" w:name="_Toc118131123"/>
      <w:bookmarkStart w:id="2063" w:name="_Toc7918"/>
      <w:bookmarkStart w:id="2064" w:name="_Toc29323"/>
      <w:bookmarkStart w:id="2065" w:name="_Toc17389"/>
      <w:bookmarkStart w:id="2066" w:name="_Toc118297981"/>
      <w:bookmarkStart w:id="2067" w:name="_Toc28342"/>
      <w:bookmarkStart w:id="2068" w:name="_Toc22997"/>
      <w:bookmarkStart w:id="2069" w:name="_Toc29129"/>
      <w:bookmarkStart w:id="2070" w:name="_Toc6377"/>
      <w:bookmarkStart w:id="2071" w:name="_Toc117866070"/>
      <w:bookmarkStart w:id="2072" w:name="_Toc22643"/>
      <w:r>
        <w:rPr>
          <w:rFonts w:hint="eastAsia"/>
        </w:rPr>
        <w:t>2.3.2 人员失误</w:t>
      </w:r>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p>
    <w:p>
      <w:pPr>
        <w:ind w:firstLine="560"/>
      </w:pPr>
      <w:r>
        <w:rPr>
          <w:rFonts w:hint="eastAsia"/>
        </w:rPr>
        <w:t>人员失误系指不安全行为（指员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pPr>
        <w:pStyle w:val="5"/>
        <w:ind w:firstLine="562"/>
      </w:pPr>
      <w:bookmarkStart w:id="2073" w:name="_Toc31111"/>
      <w:bookmarkStart w:id="2074" w:name="_Toc118131124"/>
      <w:bookmarkStart w:id="2075" w:name="_Toc3153"/>
      <w:bookmarkStart w:id="2076" w:name="_Toc118297982"/>
      <w:bookmarkStart w:id="2077" w:name="_Toc29249"/>
      <w:bookmarkStart w:id="2078" w:name="_Toc117866071"/>
      <w:bookmarkStart w:id="2079" w:name="_Toc22255"/>
      <w:bookmarkStart w:id="2080" w:name="_Toc16997"/>
      <w:bookmarkStart w:id="2081" w:name="_Toc30468"/>
      <w:bookmarkStart w:id="2082" w:name="_Toc8624"/>
      <w:bookmarkStart w:id="2083" w:name="_Toc23305"/>
      <w:bookmarkStart w:id="2084" w:name="_Toc29563"/>
      <w:bookmarkStart w:id="2085" w:name="_Toc20735"/>
      <w:bookmarkStart w:id="2086" w:name="_Toc13036"/>
      <w:r>
        <w:rPr>
          <w:rFonts w:hint="eastAsia"/>
        </w:rPr>
        <w:t>2.3.3 管理缺陷</w:t>
      </w:r>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p>
    <w:p>
      <w:pPr>
        <w:ind w:firstLine="560"/>
      </w:pPr>
      <w:r>
        <w:rPr>
          <w:rFonts w:hint="eastAsia"/>
        </w:rPr>
        <w:t>安全管理是为保证及时、有效地实现既定的安全目标，在预测、分析的基础上进行的计划、组织、协调、检查等工作，是预防故障和人员失误发生的有效手段，因此，管理缺陷是影响运行失控发生的重要因素。</w:t>
      </w:r>
    </w:p>
    <w:p>
      <w:pPr>
        <w:pStyle w:val="5"/>
        <w:ind w:firstLine="562"/>
      </w:pPr>
      <w:bookmarkStart w:id="2087" w:name="_Toc22427"/>
      <w:bookmarkStart w:id="2088" w:name="_Toc15275"/>
      <w:bookmarkStart w:id="2089" w:name="_Toc28314"/>
      <w:bookmarkStart w:id="2090" w:name="_Toc5184"/>
      <w:bookmarkStart w:id="2091" w:name="_Toc118297983"/>
      <w:bookmarkStart w:id="2092" w:name="_Toc28563"/>
      <w:bookmarkStart w:id="2093" w:name="_Toc6528"/>
      <w:bookmarkStart w:id="2094" w:name="_Toc30447"/>
      <w:bookmarkStart w:id="2095" w:name="_Toc7039"/>
      <w:bookmarkStart w:id="2096" w:name="_Toc9422"/>
      <w:bookmarkStart w:id="2097" w:name="_Toc118131125"/>
      <w:bookmarkStart w:id="2098" w:name="_Toc15480"/>
      <w:bookmarkStart w:id="2099" w:name="_Toc117866072"/>
      <w:bookmarkStart w:id="2100" w:name="_Toc32524"/>
      <w:r>
        <w:rPr>
          <w:rFonts w:hint="eastAsia"/>
        </w:rPr>
        <w:t>2.3.4 环境的原因</w:t>
      </w:r>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p>
    <w:p>
      <w:pPr>
        <w:ind w:firstLine="560"/>
      </w:pPr>
      <w:r>
        <w:rPr>
          <w:rFonts w:hint="eastAsia"/>
        </w:rPr>
        <w:t>不安全的环境是引起事故的物质基础，它是事故的直接原因，通常指的是：</w:t>
      </w:r>
    </w:p>
    <w:p>
      <w:pPr>
        <w:ind w:firstLine="560"/>
      </w:pPr>
      <w:r>
        <w:rPr>
          <w:rFonts w:hint="eastAsia"/>
        </w:rPr>
        <w:t>1）自然环境的异常，即地质、水文、气象等方面的恶劣变异；</w:t>
      </w:r>
    </w:p>
    <w:p>
      <w:pPr>
        <w:ind w:firstLine="560"/>
      </w:pPr>
      <w:r>
        <w:rPr>
          <w:rFonts w:hint="eastAsia"/>
        </w:rPr>
        <w:t>2）生产环境不良，即照明、温度、湿度、通风、噪声、振动、空气质量、颜色等方面的问题。</w:t>
      </w:r>
    </w:p>
    <w:p>
      <w:pPr>
        <w:pStyle w:val="4"/>
        <w:ind w:firstLine="562"/>
      </w:pPr>
      <w:bookmarkStart w:id="2101" w:name="_Toc7535"/>
      <w:bookmarkStart w:id="2102" w:name="_Toc19077"/>
      <w:bookmarkStart w:id="2103" w:name="_Toc25062"/>
      <w:bookmarkStart w:id="2104" w:name="_Toc28004"/>
      <w:bookmarkStart w:id="2105" w:name="_Toc118297984"/>
      <w:bookmarkStart w:id="2106" w:name="_Toc10837"/>
      <w:bookmarkStart w:id="2107" w:name="_Toc14020"/>
      <w:bookmarkStart w:id="2108" w:name="_Toc14185"/>
      <w:bookmarkStart w:id="2109" w:name="_Toc15325"/>
      <w:bookmarkStart w:id="2110" w:name="_Toc21622"/>
      <w:bookmarkStart w:id="2111" w:name="_Toc24940"/>
      <w:bookmarkStart w:id="2112" w:name="_Toc118131126"/>
      <w:bookmarkStart w:id="2113" w:name="_Toc23329"/>
      <w:bookmarkStart w:id="2114" w:name="_Toc28961"/>
      <w:bookmarkStart w:id="2115" w:name="_Toc117866073"/>
      <w:bookmarkStart w:id="2116" w:name="_Toc6503"/>
      <w:bookmarkStart w:id="2117" w:name="_Toc23290"/>
      <w:bookmarkStart w:id="2118" w:name="_Toc28867"/>
      <w:bookmarkStart w:id="2119" w:name="_Toc11303"/>
      <w:bookmarkStart w:id="2120" w:name="_Toc24706"/>
      <w:bookmarkStart w:id="2121" w:name="_Toc5202"/>
      <w:bookmarkStart w:id="2122" w:name="_Toc9974"/>
      <w:bookmarkStart w:id="2123" w:name="_Toc9562"/>
      <w:bookmarkStart w:id="2124" w:name="_Toc22642"/>
      <w:r>
        <w:rPr>
          <w:rFonts w:hint="eastAsia"/>
        </w:rPr>
        <w:t>2.4 主要危险有害物质的理化性质、辨识及其危险性分析</w:t>
      </w:r>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p>
    <w:p>
      <w:pPr>
        <w:pStyle w:val="5"/>
        <w:ind w:firstLine="562"/>
      </w:pPr>
      <w:bookmarkStart w:id="2125" w:name="_Toc12068"/>
      <w:bookmarkStart w:id="2126" w:name="_Toc21093"/>
      <w:bookmarkStart w:id="2127" w:name="_Toc117866074"/>
      <w:bookmarkStart w:id="2128" w:name="_Toc118297985"/>
      <w:bookmarkStart w:id="2129" w:name="_Toc8836"/>
      <w:bookmarkStart w:id="2130" w:name="_Toc5052"/>
      <w:bookmarkStart w:id="2131" w:name="_Toc20578"/>
      <w:bookmarkStart w:id="2132" w:name="_Toc25286"/>
      <w:bookmarkStart w:id="2133" w:name="_Toc5783"/>
      <w:bookmarkStart w:id="2134" w:name="_Toc118131127"/>
      <w:bookmarkStart w:id="2135" w:name="_Toc26952"/>
      <w:bookmarkStart w:id="2136" w:name="_Toc1105"/>
      <w:bookmarkStart w:id="2137" w:name="_Toc32012"/>
      <w:bookmarkStart w:id="2138" w:name="_Toc21150"/>
      <w:r>
        <w:rPr>
          <w:rFonts w:hint="eastAsia"/>
        </w:rPr>
        <w:t>2.4.1 危险化学品辨识</w:t>
      </w:r>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p>
    <w:bookmarkEnd w:id="1979"/>
    <w:bookmarkEnd w:id="1980"/>
    <w:bookmarkEnd w:id="1981"/>
    <w:bookmarkEnd w:id="1982"/>
    <w:bookmarkEnd w:id="1983"/>
    <w:p>
      <w:pPr>
        <w:pStyle w:val="58"/>
        <w:topLinePunct/>
        <w:ind w:firstLine="560"/>
        <w:rPr>
          <w:rFonts w:ascii="宋体" w:hAnsi="宋体"/>
          <w:color w:val="auto"/>
          <w:szCs w:val="28"/>
        </w:rPr>
      </w:pPr>
      <w:r>
        <w:rPr>
          <w:rFonts w:hint="eastAsia" w:ascii="宋体" w:hAnsi="宋体"/>
          <w:snapToGrid w:val="0"/>
          <w:color w:val="000000" w:themeColor="text1"/>
          <w:kern w:val="0"/>
          <w:szCs w:val="28"/>
        </w:rPr>
        <w:t>根据</w:t>
      </w:r>
      <w:r>
        <w:rPr>
          <w:rFonts w:hint="eastAsia" w:ascii="宋体" w:hAnsi="宋体"/>
          <w:color w:val="000000" w:themeColor="text1"/>
          <w:szCs w:val="28"/>
        </w:rPr>
        <w:t>氟化分公司</w:t>
      </w:r>
      <w:r>
        <w:rPr>
          <w:rFonts w:hint="eastAsia" w:ascii="宋体" w:hAnsi="宋体"/>
          <w:snapToGrid w:val="0"/>
          <w:color w:val="000000" w:themeColor="text1"/>
          <w:kern w:val="0"/>
          <w:szCs w:val="28"/>
        </w:rPr>
        <w:t>生产工艺特点分析，</w:t>
      </w:r>
      <w:r>
        <w:rPr>
          <w:rFonts w:hint="eastAsia" w:ascii="宋体" w:hAnsi="宋体"/>
          <w:color w:val="000000" w:themeColor="text1"/>
          <w:szCs w:val="28"/>
        </w:rPr>
        <w:t>项目</w:t>
      </w:r>
      <w:r>
        <w:rPr>
          <w:rFonts w:hint="eastAsia" w:ascii="宋体" w:hAnsi="宋体"/>
          <w:snapToGrid w:val="0"/>
          <w:color w:val="000000" w:themeColor="text1"/>
          <w:kern w:val="0"/>
          <w:szCs w:val="28"/>
        </w:rPr>
        <w:t>生产</w:t>
      </w:r>
      <w:r>
        <w:rPr>
          <w:rFonts w:ascii="宋体" w:hAnsi="宋体"/>
          <w:snapToGrid w:val="0"/>
          <w:color w:val="000000" w:themeColor="text1"/>
          <w:kern w:val="0"/>
          <w:szCs w:val="28"/>
        </w:rPr>
        <w:t>过程中涉及到的主要物质</w:t>
      </w:r>
      <w:r>
        <w:rPr>
          <w:rFonts w:hint="eastAsia" w:ascii="宋体" w:hAnsi="宋体"/>
          <w:snapToGrid w:val="0"/>
          <w:color w:val="000000" w:themeColor="text1"/>
          <w:kern w:val="0"/>
          <w:szCs w:val="28"/>
        </w:rPr>
        <w:t>是</w:t>
      </w:r>
      <w:bookmarkStart w:id="2139" w:name="_Toc4439"/>
      <w:bookmarkStart w:id="2140" w:name="_Toc15444"/>
      <w:bookmarkStart w:id="2141" w:name="_Toc15713"/>
      <w:bookmarkStart w:id="2142" w:name="_Toc21645"/>
      <w:bookmarkStart w:id="2143" w:name="_Toc42724699"/>
      <w:bookmarkStart w:id="2144" w:name="_Toc16749"/>
      <w:bookmarkStart w:id="2145" w:name="_Toc28495"/>
      <w:bookmarkStart w:id="2146" w:name="_Toc31259"/>
      <w:bookmarkStart w:id="2147" w:name="_Toc7441"/>
      <w:bookmarkStart w:id="2148" w:name="_Toc13128"/>
      <w:bookmarkStart w:id="2149" w:name="_Toc128056490"/>
      <w:r>
        <w:rPr>
          <w:rFonts w:hint="eastAsia" w:ascii="宋体" w:hAnsi="宋体"/>
          <w:color w:val="auto"/>
          <w:szCs w:val="28"/>
        </w:rPr>
        <w:t>：</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w:t>
      </w:r>
      <w:r>
        <w:rPr>
          <w:rFonts w:hint="eastAsia" w:ascii="宋体" w:hAnsi="宋体"/>
          <w:color w:val="auto"/>
          <w:szCs w:val="28"/>
        </w:rPr>
        <w:t>；氟化氢和四氟化硅为生产过程中产生的废气，企业设有废气处理装置。</w:t>
      </w:r>
    </w:p>
    <w:p>
      <w:pPr>
        <w:spacing w:line="500" w:lineRule="exact"/>
        <w:ind w:firstLine="562"/>
        <w:outlineLvl w:val="2"/>
        <w:rPr>
          <w:b/>
        </w:rPr>
      </w:pPr>
      <w:bookmarkStart w:id="2150" w:name="_Toc19541"/>
      <w:bookmarkStart w:id="2151" w:name="_Toc7961"/>
      <w:bookmarkStart w:id="2152" w:name="_Toc31041"/>
      <w:bookmarkStart w:id="2153" w:name="_Toc18918"/>
      <w:r>
        <w:rPr>
          <w:rFonts w:hint="eastAsia"/>
          <w:b/>
        </w:rPr>
        <w:t>2.4.2 主要危险、有害物质的理化特性</w:t>
      </w:r>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p>
    <w:p>
      <w:pPr>
        <w:ind w:firstLine="0" w:firstLineChars="0"/>
        <w:jc w:val="center"/>
        <w:rPr>
          <w:rFonts w:ascii="宋体" w:hAnsi="宋体" w:cs="宋体"/>
          <w:b/>
          <w:color w:val="auto"/>
          <w:sz w:val="24"/>
        </w:rPr>
      </w:pPr>
      <w:r>
        <w:rPr>
          <w:rFonts w:hint="eastAsia"/>
          <w:b/>
          <w:sz w:val="24"/>
        </w:rPr>
        <w:t>附表</w:t>
      </w:r>
      <w:bookmarkEnd w:id="1893"/>
      <w:bookmarkStart w:id="2154" w:name="_Toc18590"/>
      <w:bookmarkStart w:id="2155" w:name="_Toc31737"/>
      <w:bookmarkStart w:id="2156" w:name="_Toc29580"/>
      <w:bookmarkStart w:id="2157" w:name="_Toc11723"/>
      <w:bookmarkStart w:id="2158" w:name="_Toc14313"/>
      <w:bookmarkStart w:id="2159" w:name="_Toc21079"/>
      <w:bookmarkStart w:id="2160" w:name="_Toc42724698"/>
      <w:bookmarkStart w:id="2161" w:name="_Toc31583"/>
      <w:bookmarkStart w:id="2162" w:name="_Toc22557"/>
      <w:bookmarkStart w:id="2163" w:name="_Toc128056489"/>
      <w:bookmarkStart w:id="2164" w:name="_Toc17296"/>
      <w:bookmarkStart w:id="2165" w:name="_Toc8603"/>
      <w:bookmarkStart w:id="2166" w:name="_Toc128056491"/>
      <w:bookmarkStart w:id="2167" w:name="_Toc24038"/>
      <w:bookmarkStart w:id="2168" w:name="_Toc62740967"/>
      <w:bookmarkStart w:id="2169" w:name="_Toc22121"/>
      <w:r>
        <w:rPr>
          <w:rFonts w:hint="eastAsia" w:ascii="宋体" w:hAnsi="宋体" w:cs="宋体"/>
          <w:b/>
          <w:color w:val="auto"/>
          <w:sz w:val="24"/>
        </w:rPr>
        <w:t>2.4-1  氟硅酸的理化性质及危险特性</w:t>
      </w:r>
    </w:p>
    <w:tbl>
      <w:tblPr>
        <w:tblStyle w:val="36"/>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22"/>
        <w:gridCol w:w="1702"/>
        <w:gridCol w:w="1242"/>
        <w:gridCol w:w="864"/>
        <w:gridCol w:w="812"/>
        <w:gridCol w:w="1119"/>
        <w:gridCol w:w="951"/>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Align w:val="center"/>
          </w:tcPr>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CAS</w:t>
            </w:r>
          </w:p>
        </w:tc>
        <w:tc>
          <w:tcPr>
            <w:tcW w:w="170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16961-83-4</w:t>
            </w:r>
          </w:p>
        </w:tc>
        <w:tc>
          <w:tcPr>
            <w:tcW w:w="1242" w:type="dxa"/>
            <w:vAlign w:val="center"/>
          </w:tcPr>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RTECS</w:t>
            </w:r>
          </w:p>
        </w:tc>
        <w:tc>
          <w:tcPr>
            <w:tcW w:w="864" w:type="dxa"/>
            <w:vAlign w:val="center"/>
          </w:tcPr>
          <w:p>
            <w:pPr>
              <w:topLinePunct/>
              <w:spacing w:line="240" w:lineRule="auto"/>
              <w:ind w:firstLine="0" w:firstLineChars="0"/>
              <w:jc w:val="center"/>
              <w:rPr>
                <w:rFonts w:ascii="宋体" w:hAnsi="宋体"/>
                <w:color w:val="auto"/>
                <w:kern w:val="0"/>
                <w:sz w:val="21"/>
                <w:szCs w:val="21"/>
              </w:rPr>
            </w:pPr>
          </w:p>
        </w:tc>
        <w:tc>
          <w:tcPr>
            <w:tcW w:w="812" w:type="dxa"/>
            <w:vAlign w:val="center"/>
          </w:tcPr>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UN</w:t>
            </w:r>
          </w:p>
        </w:tc>
        <w:tc>
          <w:tcPr>
            <w:tcW w:w="1119"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1778</w:t>
            </w:r>
          </w:p>
        </w:tc>
        <w:tc>
          <w:tcPr>
            <w:tcW w:w="951"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危序号</w:t>
            </w:r>
          </w:p>
        </w:tc>
        <w:tc>
          <w:tcPr>
            <w:tcW w:w="129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中文名称</w:t>
            </w:r>
          </w:p>
        </w:tc>
        <w:tc>
          <w:tcPr>
            <w:tcW w:w="3808"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氟硅酸，硅氟酸</w:t>
            </w:r>
          </w:p>
        </w:tc>
        <w:tc>
          <w:tcPr>
            <w:tcW w:w="81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理化性质</w:t>
            </w: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外观及性状</w:t>
            </w:r>
            <w:r>
              <w:rPr>
                <w:rFonts w:ascii="宋体" w:hAnsi="宋体"/>
                <w:color w:val="auto"/>
                <w:kern w:val="0"/>
                <w:sz w:val="21"/>
                <w:szCs w:val="21"/>
              </w:rPr>
              <w:t xml:space="preserve">: </w:t>
            </w:r>
            <w:r>
              <w:rPr>
                <w:rFonts w:hint="eastAsia" w:ascii="宋体" w:hAnsi="宋体"/>
                <w:color w:val="auto"/>
                <w:kern w:val="0"/>
                <w:sz w:val="21"/>
                <w:szCs w:val="21"/>
              </w:rPr>
              <w:t>无色透明的发烟液体，有刺激性气味。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英文名称</w:t>
            </w:r>
          </w:p>
        </w:tc>
        <w:tc>
          <w:tcPr>
            <w:tcW w:w="3808" w:type="dxa"/>
            <w:gridSpan w:val="3"/>
            <w:vAlign w:val="center"/>
          </w:tcPr>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F</w:t>
            </w:r>
            <w:r>
              <w:rPr>
                <w:rFonts w:hint="eastAsia" w:ascii="宋体" w:hAnsi="宋体"/>
                <w:color w:val="auto"/>
                <w:kern w:val="0"/>
                <w:sz w:val="21"/>
                <w:szCs w:val="21"/>
              </w:rPr>
              <w:t xml:space="preserve">luosilicic acid；  </w:t>
            </w:r>
          </w:p>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S</w:t>
            </w:r>
            <w:r>
              <w:rPr>
                <w:rFonts w:hint="eastAsia" w:ascii="宋体" w:hAnsi="宋体"/>
                <w:color w:val="auto"/>
                <w:kern w:val="0"/>
                <w:sz w:val="21"/>
                <w:szCs w:val="21"/>
              </w:rPr>
              <w:t>ilicofluoric acid</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119"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溶解性：微溶于水、乙醇。</w:t>
            </w:r>
          </w:p>
        </w:tc>
        <w:tc>
          <w:tcPr>
            <w:tcW w:w="2243" w:type="dxa"/>
            <w:gridSpan w:val="2"/>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饱和蒸汽压</w:t>
            </w:r>
            <w:r>
              <w:rPr>
                <w:rFonts w:ascii="宋体" w:hAnsi="宋体"/>
                <w:color w:val="auto"/>
                <w:kern w:val="0"/>
                <w:sz w:val="21"/>
                <w:szCs w:val="21"/>
              </w:rPr>
              <w:t>(kPa)</w:t>
            </w:r>
            <w:r>
              <w:rPr>
                <w:rFonts w:hint="eastAsia" w:ascii="宋体" w:hAnsi="宋体"/>
                <w:color w:val="auto"/>
                <w:kern w:val="0"/>
                <w:sz w:val="21"/>
                <w:szCs w:val="21"/>
              </w:rPr>
              <w:t>：</w:t>
            </w:r>
          </w:p>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3.19（20℃）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分子式</w:t>
            </w:r>
          </w:p>
        </w:tc>
        <w:tc>
          <w:tcPr>
            <w:tcW w:w="3808"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H</w:t>
            </w:r>
            <w:r>
              <w:rPr>
                <w:rFonts w:hint="eastAsia" w:ascii="宋体" w:hAnsi="宋体"/>
                <w:color w:val="auto"/>
                <w:kern w:val="0"/>
                <w:sz w:val="21"/>
                <w:szCs w:val="21"/>
                <w:vertAlign w:val="subscript"/>
              </w:rPr>
              <w:t>2</w:t>
            </w:r>
            <w:r>
              <w:rPr>
                <w:rFonts w:hint="eastAsia" w:ascii="宋体" w:hAnsi="宋体"/>
                <w:color w:val="auto"/>
                <w:kern w:val="0"/>
                <w:sz w:val="21"/>
                <w:szCs w:val="21"/>
              </w:rPr>
              <w:t>SiF</w:t>
            </w:r>
            <w:r>
              <w:rPr>
                <w:rFonts w:hint="eastAsia" w:ascii="宋体" w:hAnsi="宋体"/>
                <w:color w:val="auto"/>
                <w:kern w:val="0"/>
                <w:sz w:val="21"/>
                <w:szCs w:val="21"/>
                <w:vertAlign w:val="subscript"/>
              </w:rPr>
              <w:t>6</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119"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2243" w:type="dxa"/>
            <w:gridSpan w:val="2"/>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燃烧爆炸危险性</w:t>
            </w:r>
          </w:p>
        </w:tc>
        <w:tc>
          <w:tcPr>
            <w:tcW w:w="170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闪点</w:t>
            </w:r>
            <w:r>
              <w:rPr>
                <w:rFonts w:ascii="宋体" w:hAnsi="宋体"/>
                <w:color w:val="auto"/>
                <w:kern w:val="0"/>
                <w:sz w:val="21"/>
                <w:szCs w:val="21"/>
              </w:rPr>
              <w:t>(</w:t>
            </w:r>
            <w:r>
              <w:rPr>
                <w:rFonts w:hint="eastAsia" w:ascii="宋体" w:hAnsi="宋体"/>
                <w:color w:val="auto"/>
                <w:kern w:val="0"/>
                <w:sz w:val="21"/>
                <w:szCs w:val="21"/>
              </w:rPr>
              <w:t>℃</w:t>
            </w:r>
            <w:r>
              <w:rPr>
                <w:rFonts w:ascii="宋体" w:hAnsi="宋体"/>
                <w:color w:val="auto"/>
                <w:kern w:val="0"/>
                <w:sz w:val="21"/>
                <w:szCs w:val="21"/>
              </w:rPr>
              <w:t>)</w:t>
            </w:r>
            <w:r>
              <w:rPr>
                <w:rFonts w:hint="eastAsia" w:ascii="宋体" w:hAnsi="宋体"/>
                <w:color w:val="auto"/>
                <w:kern w:val="0"/>
                <w:sz w:val="21"/>
                <w:szCs w:val="21"/>
              </w:rPr>
              <w:t>：无意义</w:t>
            </w:r>
          </w:p>
        </w:tc>
        <w:tc>
          <w:tcPr>
            <w:tcW w:w="2106" w:type="dxa"/>
            <w:gridSpan w:val="2"/>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自燃温度(℃)：无意义</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119"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951"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相对</w:t>
            </w:r>
          </w:p>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密度</w:t>
            </w:r>
          </w:p>
        </w:tc>
        <w:tc>
          <w:tcPr>
            <w:tcW w:w="129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空气：无资料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70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 xml:space="preserve">爆炸极限(V%)：无意义          </w:t>
            </w:r>
          </w:p>
        </w:tc>
        <w:tc>
          <w:tcPr>
            <w:tcW w:w="2106" w:type="dxa"/>
            <w:gridSpan w:val="2"/>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火灾危险性分类：戊</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119"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951"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1292" w:type="dxa"/>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水：1.2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Merge w:val="restart"/>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危险特性：受热分解放出有毒的氟化物气体。具较强的腐蚀性。</w:t>
            </w:r>
          </w:p>
        </w:tc>
        <w:tc>
          <w:tcPr>
            <w:tcW w:w="81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毒性与健康危害</w:t>
            </w: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职业性接触毒物危害程度分级</w:t>
            </w:r>
            <w:r>
              <w:rPr>
                <w:rFonts w:ascii="宋体" w:hAnsi="宋体"/>
                <w:color w:val="auto"/>
                <w:kern w:val="0"/>
                <w:sz w:val="21"/>
                <w:szCs w:val="21"/>
              </w:rPr>
              <w:t>:</w:t>
            </w:r>
            <w:r>
              <w:rPr>
                <w:rFonts w:hint="eastAsia" w:ascii="宋体" w:hAnsi="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Merge w:val="continue"/>
            <w:vAlign w:val="center"/>
          </w:tcPr>
          <w:p>
            <w:pPr>
              <w:topLinePunct/>
              <w:spacing w:line="240" w:lineRule="auto"/>
              <w:ind w:firstLine="0" w:firstLineChars="0"/>
              <w:jc w:val="left"/>
              <w:rPr>
                <w:rFonts w:ascii="宋体" w:hAnsi="宋体"/>
                <w:color w:val="auto"/>
                <w:kern w:val="0"/>
                <w:sz w:val="21"/>
                <w:szCs w:val="21"/>
              </w:rPr>
            </w:pP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毒性资料</w:t>
            </w:r>
            <w:r>
              <w:rPr>
                <w:rFonts w:ascii="宋体" w:hAnsi="宋体"/>
                <w:color w:val="auto"/>
                <w:kern w:val="0"/>
                <w:sz w:val="21"/>
                <w:szCs w:val="21"/>
              </w:rPr>
              <w:t xml:space="preserve">: </w:t>
            </w:r>
            <w:r>
              <w:rPr>
                <w:rFonts w:hint="eastAsia" w:ascii="宋体" w:hAnsi="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8"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燃烧</w:t>
            </w:r>
            <w:r>
              <w:rPr>
                <w:rFonts w:ascii="宋体" w:hAnsi="宋体"/>
                <w:color w:val="auto"/>
                <w:kern w:val="0"/>
                <w:sz w:val="21"/>
                <w:szCs w:val="21"/>
              </w:rPr>
              <w:t>(</w:t>
            </w:r>
            <w:r>
              <w:rPr>
                <w:rFonts w:hint="eastAsia" w:ascii="宋体" w:hAnsi="宋体"/>
                <w:color w:val="auto"/>
                <w:kern w:val="0"/>
                <w:sz w:val="21"/>
                <w:szCs w:val="21"/>
              </w:rPr>
              <w:t>分解</w:t>
            </w:r>
            <w:r>
              <w:rPr>
                <w:rFonts w:ascii="宋体" w:hAnsi="宋体"/>
                <w:color w:val="auto"/>
                <w:kern w:val="0"/>
                <w:sz w:val="21"/>
                <w:szCs w:val="21"/>
              </w:rPr>
              <w:t>)</w:t>
            </w:r>
            <w:r>
              <w:rPr>
                <w:rFonts w:hint="eastAsia" w:ascii="宋体" w:hAnsi="宋体"/>
                <w:color w:val="auto"/>
                <w:kern w:val="0"/>
                <w:sz w:val="21"/>
                <w:szCs w:val="21"/>
              </w:rPr>
              <w:t>产物：氟化氢</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职业接触限值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禁忌物</w:t>
            </w:r>
            <w:r>
              <w:rPr>
                <w:rFonts w:ascii="宋体" w:hAnsi="宋体"/>
                <w:color w:val="auto"/>
                <w:kern w:val="0"/>
                <w:sz w:val="21"/>
                <w:szCs w:val="21"/>
              </w:rPr>
              <w:t>:</w:t>
            </w:r>
            <w:r>
              <w:rPr>
                <w:rFonts w:hint="eastAsia" w:ascii="宋体" w:hAnsi="宋体"/>
                <w:color w:val="auto"/>
                <w:kern w:val="0"/>
                <w:sz w:val="21"/>
                <w:szCs w:val="21"/>
              </w:rPr>
              <w:t>碱类、易燃或可燃物。</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MAC</w:t>
            </w:r>
            <w:r>
              <w:rPr>
                <w:rFonts w:hint="eastAsia" w:ascii="宋体" w:hAnsi="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避免接触的条件</w:t>
            </w:r>
            <w:r>
              <w:rPr>
                <w:rFonts w:ascii="宋体" w:hAnsi="宋体"/>
                <w:color w:val="auto"/>
                <w:kern w:val="0"/>
                <w:sz w:val="21"/>
                <w:szCs w:val="21"/>
              </w:rPr>
              <w:t>:</w:t>
            </w:r>
            <w:r>
              <w:rPr>
                <w:rFonts w:hint="eastAsia" w:ascii="宋体" w:hAnsi="宋体"/>
                <w:color w:val="auto"/>
                <w:kern w:val="0"/>
                <w:sz w:val="21"/>
                <w:szCs w:val="21"/>
              </w:rPr>
              <w:t>受热</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中国PC-</w:t>
            </w:r>
            <w:r>
              <w:rPr>
                <w:rFonts w:ascii="宋体" w:hAnsi="宋体"/>
                <w:color w:val="auto"/>
                <w:kern w:val="0"/>
                <w:sz w:val="21"/>
                <w:szCs w:val="21"/>
              </w:rPr>
              <w:t>TWA</w:t>
            </w:r>
            <w:r>
              <w:rPr>
                <w:rFonts w:hint="eastAsia" w:ascii="宋体" w:hAnsi="宋体"/>
                <w:color w:val="auto"/>
                <w:kern w:val="0"/>
                <w:sz w:val="21"/>
                <w:szCs w:val="21"/>
              </w:rPr>
              <w:t>：2mg/m</w:t>
            </w:r>
            <w:r>
              <w:rPr>
                <w:rFonts w:hint="eastAsia" w:ascii="宋体" w:hAnsi="宋体"/>
                <w:color w:val="auto"/>
                <w:kern w:val="0"/>
                <w:sz w:val="21"/>
                <w:szCs w:val="21"/>
                <w:vertAlign w:val="superscript"/>
              </w:rPr>
              <w:t>3</w:t>
            </w:r>
            <w:r>
              <w:rPr>
                <w:rFonts w:ascii="宋体" w:hAnsi="宋体"/>
                <w:color w:val="auto"/>
                <w:kern w:val="0"/>
                <w:sz w:val="21"/>
                <w:szCs w:val="21"/>
              </w:rPr>
              <w:t xml:space="preserve"> </w:t>
            </w:r>
            <w:r>
              <w:rPr>
                <w:rFonts w:hint="eastAsia" w:ascii="宋体" w:hAnsi="宋体"/>
                <w:color w:val="auto"/>
                <w:kern w:val="0"/>
                <w:sz w:val="21"/>
                <w:szCs w:val="21"/>
              </w:rPr>
              <w:t>[按F计]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灭火剂</w:t>
            </w:r>
            <w:r>
              <w:rPr>
                <w:rFonts w:ascii="宋体" w:hAnsi="宋体"/>
                <w:color w:val="auto"/>
                <w:kern w:val="0"/>
                <w:sz w:val="21"/>
                <w:szCs w:val="21"/>
              </w:rPr>
              <w:t>:</w:t>
            </w:r>
            <w:r>
              <w:rPr>
                <w:rFonts w:hint="eastAsia" w:ascii="宋体" w:hAnsi="宋体"/>
                <w:color w:val="auto"/>
                <w:kern w:val="0"/>
                <w:sz w:val="21"/>
                <w:szCs w:val="21"/>
              </w:rPr>
              <w:t>用泡沫、干粉、二氧化碳、沙土灭火</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美国（ACGIH）TLV-TWA：2.5mg/m</w:t>
            </w:r>
            <w:r>
              <w:rPr>
                <w:rFonts w:hint="eastAsia" w:ascii="宋体" w:hAnsi="宋体"/>
                <w:color w:val="auto"/>
                <w:kern w:val="0"/>
                <w:sz w:val="21"/>
                <w:szCs w:val="21"/>
                <w:vertAlign w:val="superscript"/>
              </w:rPr>
              <w:t>3</w:t>
            </w:r>
            <w:r>
              <w:rPr>
                <w:rFonts w:hint="eastAsia" w:ascii="宋体" w:hAnsi="宋体"/>
                <w:color w:val="auto"/>
                <w:kern w:val="0"/>
                <w:sz w:val="21"/>
                <w:szCs w:val="21"/>
              </w:rPr>
              <w:t>[按F计]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急救措施</w:t>
            </w: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皮肤接触：</w:t>
            </w:r>
            <w:r>
              <w:rPr>
                <w:rFonts w:ascii="宋体" w:hAnsi="宋体"/>
                <w:color w:val="auto"/>
                <w:kern w:val="0"/>
                <w:sz w:val="21"/>
                <w:szCs w:val="21"/>
              </w:rPr>
              <w:t>立即脱去污染的衣着</w:t>
            </w:r>
            <w:r>
              <w:rPr>
                <w:rFonts w:hint="eastAsia" w:ascii="宋体" w:hAnsi="宋体"/>
                <w:color w:val="auto"/>
                <w:kern w:val="0"/>
                <w:sz w:val="21"/>
                <w:szCs w:val="21"/>
              </w:rPr>
              <w:t>，</w:t>
            </w:r>
            <w:r>
              <w:rPr>
                <w:rFonts w:ascii="宋体" w:hAnsi="宋体"/>
                <w:color w:val="auto"/>
                <w:kern w:val="0"/>
                <w:sz w:val="21"/>
                <w:szCs w:val="21"/>
              </w:rPr>
              <w:t>用大量流</w:t>
            </w:r>
            <w:r>
              <w:rPr>
                <w:rFonts w:hint="eastAsia" w:ascii="宋体" w:hAnsi="宋体"/>
                <w:color w:val="auto"/>
                <w:kern w:val="0"/>
                <w:sz w:val="21"/>
                <w:szCs w:val="21"/>
              </w:rPr>
              <w:t>动清</w:t>
            </w:r>
            <w:r>
              <w:rPr>
                <w:rFonts w:ascii="宋体" w:hAnsi="宋体"/>
                <w:color w:val="auto"/>
                <w:kern w:val="0"/>
                <w:sz w:val="21"/>
                <w:szCs w:val="21"/>
              </w:rPr>
              <w:t>水彻底冲洗至少</w:t>
            </w:r>
            <w:r>
              <w:rPr>
                <w:rFonts w:hint="eastAsia" w:ascii="宋体" w:hAnsi="宋体"/>
                <w:color w:val="auto"/>
                <w:kern w:val="0"/>
                <w:sz w:val="21"/>
                <w:szCs w:val="21"/>
              </w:rPr>
              <w:t>15min。就医</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侵入途径及健康危害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眼睛接触：立即分开眼睑，用流动清水或生理盐水彻底冲洗5-15min。就医</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侵入途径：吸入、食入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吸入：迅速脱离现场至空气新鲜处。保持呼吸道通畅。如呼吸困难，给输氧。如呼吸、心跳停止，立即进行心肺复苏。就医。</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健康危害：皮肤直接接触，引起发红，局部有灼烧感，肿着有溃疡形成。对机体的作用四氢氟酸，但较弱。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食入：用水漱口，禁止催吐。给饮牛奶或蛋清。就医</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防护措施</w:t>
            </w:r>
          </w:p>
        </w:tc>
        <w:tc>
          <w:tcPr>
            <w:tcW w:w="3808" w:type="dxa"/>
            <w:gridSpan w:val="3"/>
            <w:vMerge w:val="restart"/>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呼吸系统防护：可能接触其烟雾时，佩戴过滤式防毒面具（全面罩）或空气呼吸器。紧急事态枪机或撤离时，建议佩戴空气呼吸器。</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Merge w:val="continue"/>
            <w:vAlign w:val="center"/>
          </w:tcPr>
          <w:p>
            <w:pPr>
              <w:topLinePunct/>
              <w:spacing w:line="240" w:lineRule="auto"/>
              <w:ind w:firstLine="0" w:firstLineChars="0"/>
              <w:jc w:val="left"/>
              <w:rPr>
                <w:rFonts w:ascii="宋体" w:hAnsi="宋体"/>
                <w:color w:val="auto"/>
                <w:kern w:val="0"/>
                <w:sz w:val="21"/>
                <w:szCs w:val="21"/>
              </w:rPr>
            </w:pP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眼睛防护：呼吸系统防护中已作防护。</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1"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手防护：带</w:t>
            </w:r>
            <w:r>
              <w:rPr>
                <w:rFonts w:ascii="宋体" w:hAnsi="宋体"/>
                <w:color w:val="auto"/>
                <w:kern w:val="0"/>
                <w:sz w:val="21"/>
                <w:szCs w:val="21"/>
              </w:rPr>
              <w:t>橡胶耐酸碱</w:t>
            </w:r>
            <w:r>
              <w:rPr>
                <w:rFonts w:hint="eastAsia" w:ascii="宋体" w:hAnsi="宋体"/>
                <w:color w:val="auto"/>
                <w:kern w:val="0"/>
                <w:sz w:val="21"/>
                <w:szCs w:val="21"/>
              </w:rPr>
              <w:t>手套。</w:t>
            </w:r>
          </w:p>
        </w:tc>
        <w:tc>
          <w:tcPr>
            <w:tcW w:w="81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储存</w:t>
            </w:r>
          </w:p>
        </w:tc>
        <w:tc>
          <w:tcPr>
            <w:tcW w:w="3362" w:type="dxa"/>
            <w:gridSpan w:val="3"/>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储存于阴凉、通风的库房。远离火种，热</w:t>
            </w:r>
            <w:r>
              <w:rPr>
                <w:rFonts w:hint="eastAsia" w:ascii="宋体" w:hAnsi="宋体"/>
                <w:color w:val="auto"/>
                <w:kern w:val="0"/>
                <w:sz w:val="21"/>
                <w:szCs w:val="21"/>
                <w:lang w:val="en-US" w:eastAsia="zh-CN"/>
              </w:rPr>
              <w:t>源</w:t>
            </w:r>
            <w:r>
              <w:rPr>
                <w:rFonts w:hint="eastAsia" w:ascii="宋体" w:hAnsi="宋体"/>
                <w:color w:val="auto"/>
                <w:kern w:val="0"/>
                <w:sz w:val="21"/>
                <w:szCs w:val="21"/>
              </w:rPr>
              <w:t>。库房温度不超过30℃，相对湿度不超过80%，保持容器密封。应与易《可》燃物、碱类分开存放。切忌混储。储区应备有泄漏应急处理设备和合适的收容材料。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皮肤和身体防护</w:t>
            </w:r>
            <w:r>
              <w:rPr>
                <w:rFonts w:ascii="宋体" w:hAnsi="宋体"/>
                <w:color w:val="auto"/>
                <w:kern w:val="0"/>
                <w:sz w:val="21"/>
                <w:szCs w:val="21"/>
              </w:rPr>
              <w:t>:</w:t>
            </w:r>
            <w:r>
              <w:rPr>
                <w:rFonts w:hint="eastAsia" w:ascii="宋体" w:hAnsi="宋体"/>
                <w:color w:val="auto"/>
                <w:kern w:val="0"/>
                <w:sz w:val="21"/>
                <w:szCs w:val="21"/>
              </w:rPr>
              <w:t>穿</w:t>
            </w:r>
            <w:r>
              <w:rPr>
                <w:rFonts w:ascii="宋体" w:hAnsi="宋体"/>
                <w:color w:val="auto"/>
                <w:kern w:val="0"/>
                <w:sz w:val="21"/>
                <w:szCs w:val="21"/>
              </w:rPr>
              <w:t>橡胶耐酸碱服</w:t>
            </w:r>
            <w:r>
              <w:rPr>
                <w:rFonts w:hint="eastAsia" w:ascii="宋体" w:hAnsi="宋体"/>
                <w:color w:val="auto"/>
                <w:kern w:val="0"/>
                <w:sz w:val="21"/>
                <w:szCs w:val="21"/>
              </w:rPr>
              <w:t>。</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泄漏处理</w:t>
            </w:r>
          </w:p>
        </w:tc>
        <w:tc>
          <w:tcPr>
            <w:tcW w:w="3808" w:type="dxa"/>
            <w:gridSpan w:val="3"/>
            <w:vMerge w:val="restart"/>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作业人员防护措施、防护装备和应急处置程序：根据液体流动和蒸气扩散的影响区域划定警戒区，无关人员从侧风、上风向车离至安全区。建议应急处理人员戴正压自给式呼吸器，穿防腐蚀、防毒服，戴橡胶耐酸碱手套。穿上适当的防护服前严禁接触破裂的容器和泄漏物。尽可能切断泄漏源</w:t>
            </w:r>
          </w:p>
          <w:p>
            <w:pPr>
              <w:topLinePunct/>
              <w:spacing w:line="240" w:lineRule="auto"/>
              <w:ind w:firstLine="0" w:firstLineChars="0"/>
              <w:jc w:val="left"/>
              <w:rPr>
                <w:rFonts w:hint="eastAsia" w:ascii="宋体" w:hAnsi="宋体" w:eastAsia="宋体"/>
                <w:color w:val="auto"/>
                <w:kern w:val="0"/>
                <w:sz w:val="21"/>
                <w:szCs w:val="21"/>
                <w:lang w:eastAsia="zh-CN"/>
              </w:rPr>
            </w:pPr>
            <w:r>
              <w:rPr>
                <w:rFonts w:hint="eastAsia" w:ascii="宋体" w:hAnsi="宋体"/>
                <w:color w:val="auto"/>
                <w:kern w:val="0"/>
                <w:sz w:val="21"/>
                <w:szCs w:val="21"/>
              </w:rPr>
              <w:t>环境保护措施：防止泄漏物进人水体、下水道、地下室或有限空间</w:t>
            </w:r>
            <w:r>
              <w:rPr>
                <w:rFonts w:hint="eastAsia" w:ascii="宋体" w:hAnsi="宋体"/>
                <w:color w:val="auto"/>
                <w:kern w:val="0"/>
                <w:sz w:val="21"/>
                <w:szCs w:val="21"/>
                <w:lang w:eastAsia="zh-CN"/>
              </w:rPr>
              <w:t>。</w:t>
            </w:r>
          </w:p>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泄漏化学品的收容、清除方法及所使用的处置材料：小量泄漏：用干燥的砂土或其他不燃材料吸收或覆盖，收集于容器中。大量泄漏：构筑围堤或挖坑收容。用碎石灰石(CaCO</w:t>
            </w:r>
            <w:r>
              <w:rPr>
                <w:rFonts w:hint="eastAsia" w:ascii="宋体" w:hAnsi="宋体"/>
                <w:color w:val="auto"/>
                <w:kern w:val="0"/>
                <w:sz w:val="21"/>
                <w:szCs w:val="21"/>
                <w:vertAlign w:val="subscript"/>
              </w:rPr>
              <w:t>3</w:t>
            </w:r>
            <w:r>
              <w:rPr>
                <w:rFonts w:hint="eastAsia" w:ascii="宋体" w:hAnsi="宋体"/>
                <w:color w:val="auto"/>
                <w:kern w:val="0"/>
                <w:sz w:val="21"/>
                <w:szCs w:val="21"/>
              </w:rPr>
              <w:t>)、苏打灰(Na</w:t>
            </w:r>
            <w:r>
              <w:rPr>
                <w:rFonts w:hint="eastAsia" w:ascii="宋体" w:hAnsi="宋体"/>
                <w:color w:val="auto"/>
                <w:kern w:val="0"/>
                <w:sz w:val="21"/>
                <w:szCs w:val="21"/>
                <w:vertAlign w:val="subscript"/>
              </w:rPr>
              <w:t>2</w:t>
            </w:r>
            <w:r>
              <w:rPr>
                <w:rFonts w:hint="eastAsia" w:ascii="宋体" w:hAnsi="宋体"/>
                <w:color w:val="auto"/>
                <w:kern w:val="0"/>
                <w:sz w:val="21"/>
                <w:szCs w:val="21"/>
              </w:rPr>
              <w:t>CO</w:t>
            </w:r>
            <w:r>
              <w:rPr>
                <w:rFonts w:hint="eastAsia" w:ascii="宋体" w:hAnsi="宋体"/>
                <w:color w:val="auto"/>
                <w:kern w:val="0"/>
                <w:sz w:val="21"/>
                <w:szCs w:val="21"/>
                <w:vertAlign w:val="subscript"/>
              </w:rPr>
              <w:t>3</w:t>
            </w:r>
            <w:r>
              <w:rPr>
                <w:rFonts w:hint="eastAsia" w:ascii="宋体" w:hAnsi="宋体"/>
                <w:color w:val="auto"/>
                <w:kern w:val="0"/>
                <w:sz w:val="21"/>
                <w:szCs w:val="21"/>
              </w:rPr>
              <w:t>)或石灰(CaO)中和。用耐腐蚀泵转移至槽车或专用收集器内</w:t>
            </w: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c>
          <w:tcPr>
            <w:tcW w:w="812" w:type="dxa"/>
            <w:vMerge w:val="restart"/>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包装</w:t>
            </w: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危险性类别：皮肤腐蚀/刺激,类别1B</w:t>
            </w:r>
          </w:p>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严重眼损伤/眼刺激,类别1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51" w:hRule="atLeast"/>
          <w:jc w:val="center"/>
        </w:trPr>
        <w:tc>
          <w:tcPr>
            <w:tcW w:w="102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808" w:type="dxa"/>
            <w:gridSpan w:val="3"/>
            <w:vMerge w:val="continue"/>
            <w:vAlign w:val="center"/>
          </w:tcPr>
          <w:p>
            <w:pPr>
              <w:topLinePunct/>
              <w:spacing w:line="240" w:lineRule="auto"/>
              <w:ind w:firstLine="0" w:firstLineChars="0"/>
              <w:jc w:val="center"/>
              <w:rPr>
                <w:rFonts w:ascii="宋体" w:hAnsi="宋体"/>
                <w:color w:val="auto"/>
                <w:kern w:val="0"/>
                <w:sz w:val="21"/>
                <w:szCs w:val="21"/>
              </w:rPr>
            </w:pPr>
          </w:p>
        </w:tc>
        <w:tc>
          <w:tcPr>
            <w:tcW w:w="812" w:type="dxa"/>
            <w:vMerge w:val="continue"/>
            <w:vAlign w:val="center"/>
          </w:tcPr>
          <w:p>
            <w:pPr>
              <w:topLinePunct/>
              <w:spacing w:line="240" w:lineRule="auto"/>
              <w:ind w:firstLine="0" w:firstLineChars="0"/>
              <w:jc w:val="center"/>
              <w:rPr>
                <w:rFonts w:ascii="宋体" w:hAnsi="宋体"/>
                <w:color w:val="auto"/>
                <w:kern w:val="0"/>
                <w:sz w:val="21"/>
                <w:szCs w:val="21"/>
              </w:rPr>
            </w:pPr>
          </w:p>
        </w:tc>
        <w:tc>
          <w:tcPr>
            <w:tcW w:w="3362" w:type="dxa"/>
            <w:gridSpan w:val="3"/>
            <w:vAlign w:val="center"/>
          </w:tcPr>
          <w:p>
            <w:pPr>
              <w:topLinePunct/>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危险货物包装标志：8</w:t>
            </w:r>
          </w:p>
        </w:tc>
      </w:tr>
    </w:tbl>
    <w:p>
      <w:pPr>
        <w:ind w:firstLine="0" w:firstLineChars="0"/>
        <w:jc w:val="center"/>
        <w:rPr>
          <w:rFonts w:hint="eastAsia" w:ascii="宋体" w:hAnsi="宋体" w:cs="宋体"/>
          <w:b/>
          <w:color w:val="auto"/>
          <w:sz w:val="24"/>
        </w:rPr>
      </w:pPr>
    </w:p>
    <w:p>
      <w:pPr>
        <w:ind w:firstLine="0" w:firstLineChars="0"/>
        <w:jc w:val="center"/>
        <w:rPr>
          <w:rFonts w:ascii="宋体" w:hAnsi="宋体" w:cs="宋体"/>
          <w:b/>
          <w:color w:val="auto"/>
          <w:sz w:val="24"/>
        </w:rPr>
      </w:pPr>
      <w:r>
        <w:rPr>
          <w:rFonts w:hint="eastAsia" w:ascii="宋体" w:hAnsi="宋体" w:cs="宋体"/>
          <w:b/>
          <w:color w:val="auto"/>
          <w:sz w:val="24"/>
        </w:rPr>
        <w:t>附表2.4-</w:t>
      </w:r>
      <w:r>
        <w:rPr>
          <w:rFonts w:ascii="宋体" w:hAnsi="宋体" w:cs="宋体"/>
          <w:b/>
          <w:color w:val="auto"/>
          <w:sz w:val="24"/>
        </w:rPr>
        <w:t>2</w:t>
      </w:r>
      <w:r>
        <w:rPr>
          <w:rFonts w:hint="eastAsia" w:ascii="宋体" w:hAnsi="宋体" w:cs="宋体"/>
          <w:b/>
          <w:color w:val="auto"/>
          <w:sz w:val="24"/>
        </w:rPr>
        <w:t xml:space="preserve">  氟化氢的理化性质及危险特性</w:t>
      </w:r>
    </w:p>
    <w:tbl>
      <w:tblPr>
        <w:tblStyle w:val="36"/>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6"/>
        <w:gridCol w:w="399"/>
        <w:gridCol w:w="452"/>
        <w:gridCol w:w="889"/>
        <w:gridCol w:w="396"/>
        <w:gridCol w:w="457"/>
        <w:gridCol w:w="1764"/>
        <w:gridCol w:w="481"/>
        <w:gridCol w:w="1258"/>
        <w:gridCol w:w="568"/>
        <w:gridCol w:w="625"/>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65" w:type="dxa"/>
            <w:gridSpan w:val="2"/>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CAS</w:t>
            </w:r>
          </w:p>
        </w:tc>
        <w:tc>
          <w:tcPr>
            <w:tcW w:w="1341" w:type="dxa"/>
            <w:gridSpan w:val="2"/>
            <w:vAlign w:val="center"/>
          </w:tcPr>
          <w:p>
            <w:pPr>
              <w:topLinePunct/>
              <w:spacing w:line="240" w:lineRule="auto"/>
              <w:ind w:firstLine="0" w:firstLineChars="0"/>
              <w:rPr>
                <w:rFonts w:ascii="宋体" w:hAnsi="宋体"/>
                <w:color w:val="auto"/>
                <w:sz w:val="21"/>
                <w:szCs w:val="21"/>
              </w:rPr>
            </w:pPr>
            <w:r>
              <w:rPr>
                <w:rFonts w:hint="eastAsia" w:ascii="宋体" w:hAnsi="宋体"/>
                <w:color w:val="auto"/>
                <w:sz w:val="21"/>
                <w:szCs w:val="21"/>
              </w:rPr>
              <w:t>7664-39-3</w:t>
            </w:r>
          </w:p>
        </w:tc>
        <w:tc>
          <w:tcPr>
            <w:tcW w:w="853" w:type="dxa"/>
            <w:gridSpan w:val="2"/>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RTECS</w:t>
            </w:r>
          </w:p>
        </w:tc>
        <w:tc>
          <w:tcPr>
            <w:tcW w:w="1764" w:type="dxa"/>
            <w:vAlign w:val="center"/>
          </w:tcPr>
          <w:p>
            <w:pPr>
              <w:topLinePunct/>
              <w:spacing w:line="240" w:lineRule="auto"/>
              <w:ind w:firstLine="0" w:firstLineChars="0"/>
              <w:jc w:val="center"/>
              <w:rPr>
                <w:rFonts w:ascii="宋体" w:hAnsi="宋体"/>
                <w:color w:val="auto"/>
                <w:sz w:val="21"/>
                <w:szCs w:val="21"/>
              </w:rPr>
            </w:pPr>
          </w:p>
        </w:tc>
        <w:tc>
          <w:tcPr>
            <w:tcW w:w="481" w:type="dxa"/>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UN</w:t>
            </w:r>
          </w:p>
        </w:tc>
        <w:tc>
          <w:tcPr>
            <w:tcW w:w="1258"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1052</w:t>
            </w:r>
          </w:p>
        </w:tc>
        <w:tc>
          <w:tcPr>
            <w:tcW w:w="1193"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危序号</w:t>
            </w:r>
          </w:p>
        </w:tc>
        <w:tc>
          <w:tcPr>
            <w:tcW w:w="1216"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17"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中文名称</w:t>
            </w:r>
          </w:p>
        </w:tc>
        <w:tc>
          <w:tcPr>
            <w:tcW w:w="350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氟化氢；无水氟化氢</w:t>
            </w:r>
          </w:p>
        </w:tc>
        <w:tc>
          <w:tcPr>
            <w:tcW w:w="481"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理化性质</w:t>
            </w:r>
          </w:p>
        </w:tc>
        <w:tc>
          <w:tcPr>
            <w:tcW w:w="3667" w:type="dxa"/>
            <w:gridSpan w:val="4"/>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外观及性状</w:t>
            </w:r>
            <w:r>
              <w:rPr>
                <w:rFonts w:ascii="宋体" w:hAnsi="宋体"/>
                <w:color w:val="auto"/>
                <w:sz w:val="21"/>
                <w:szCs w:val="21"/>
              </w:rPr>
              <w:t>:</w:t>
            </w:r>
            <w:r>
              <w:rPr>
                <w:rFonts w:hint="eastAsia" w:ascii="宋体" w:hAnsi="宋体"/>
                <w:color w:val="auto"/>
                <w:sz w:val="21"/>
                <w:szCs w:val="21"/>
              </w:rPr>
              <w:t>无色气体，有刺激性气体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17"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英文名称</w:t>
            </w:r>
          </w:p>
        </w:tc>
        <w:tc>
          <w:tcPr>
            <w:tcW w:w="3506" w:type="dxa"/>
            <w:gridSpan w:val="4"/>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H</w:t>
            </w:r>
            <w:r>
              <w:rPr>
                <w:rFonts w:hint="eastAsia" w:ascii="宋体" w:hAnsi="宋体"/>
                <w:color w:val="auto"/>
                <w:sz w:val="21"/>
                <w:szCs w:val="21"/>
              </w:rPr>
              <w:t>ydrogen fluride</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17"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分子式</w:t>
            </w:r>
          </w:p>
        </w:tc>
        <w:tc>
          <w:tcPr>
            <w:tcW w:w="350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HF</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1258"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溶解性：</w:t>
            </w:r>
          </w:p>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易溶于水</w:t>
            </w:r>
            <w:r>
              <w:rPr>
                <w:rFonts w:hint="eastAsia" w:ascii="宋体" w:hAnsi="宋体"/>
                <w:color w:val="auto"/>
                <w:sz w:val="21"/>
                <w:szCs w:val="21"/>
              </w:rPr>
              <w:t>、</w:t>
            </w:r>
            <w:r>
              <w:rPr>
                <w:rFonts w:ascii="宋体" w:hAnsi="宋体"/>
                <w:color w:val="auto"/>
                <w:sz w:val="21"/>
                <w:szCs w:val="21"/>
              </w:rPr>
              <w:t>乙醇</w:t>
            </w:r>
            <w:r>
              <w:rPr>
                <w:rFonts w:hint="eastAsia" w:ascii="宋体" w:hAnsi="宋体"/>
                <w:color w:val="auto"/>
                <w:sz w:val="21"/>
                <w:szCs w:val="21"/>
              </w:rPr>
              <w:t>，</w:t>
            </w:r>
            <w:r>
              <w:rPr>
                <w:rFonts w:ascii="宋体" w:hAnsi="宋体"/>
                <w:color w:val="auto"/>
                <w:sz w:val="21"/>
                <w:szCs w:val="21"/>
              </w:rPr>
              <w:t>微溶于乙醚</w:t>
            </w:r>
          </w:p>
        </w:tc>
        <w:tc>
          <w:tcPr>
            <w:tcW w:w="2409"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饱和蒸汽压</w:t>
            </w:r>
            <w:r>
              <w:rPr>
                <w:rFonts w:ascii="宋体" w:hAnsi="宋体"/>
                <w:color w:val="auto"/>
                <w:sz w:val="21"/>
                <w:szCs w:val="21"/>
              </w:rPr>
              <w:t>(kPa)</w:t>
            </w:r>
            <w:r>
              <w:rPr>
                <w:rFonts w:hint="eastAsia" w:ascii="宋体" w:hAnsi="宋体"/>
                <w:color w:val="auto"/>
                <w:sz w:val="21"/>
                <w:szCs w:val="21"/>
              </w:rPr>
              <w:t>：53.33（2.5℃）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燃烧爆炸危险性</w:t>
            </w:r>
          </w:p>
        </w:tc>
        <w:tc>
          <w:tcPr>
            <w:tcW w:w="213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闪点</w:t>
            </w:r>
            <w:r>
              <w:rPr>
                <w:rFonts w:ascii="宋体" w:hAnsi="宋体"/>
                <w:color w:val="auto"/>
                <w:sz w:val="21"/>
                <w:szCs w:val="21"/>
              </w:rPr>
              <w:t>(</w:t>
            </w:r>
            <w:r>
              <w:rPr>
                <w:rFonts w:hint="eastAsia" w:ascii="宋体" w:hAnsi="宋体"/>
                <w:color w:val="auto"/>
                <w:sz w:val="21"/>
                <w:szCs w:val="21"/>
              </w:rPr>
              <w:t>℃</w:t>
            </w:r>
            <w:r>
              <w:rPr>
                <w:rFonts w:ascii="宋体" w:hAnsi="宋体"/>
                <w:color w:val="auto"/>
                <w:sz w:val="21"/>
                <w:szCs w:val="21"/>
              </w:rPr>
              <w:t>)</w:t>
            </w:r>
            <w:r>
              <w:rPr>
                <w:rFonts w:hint="eastAsia" w:ascii="宋体" w:hAnsi="宋体"/>
                <w:color w:val="auto"/>
                <w:sz w:val="21"/>
                <w:szCs w:val="21"/>
              </w:rPr>
              <w:t>：无意义</w:t>
            </w:r>
          </w:p>
        </w:tc>
        <w:tc>
          <w:tcPr>
            <w:tcW w:w="222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自燃温度(℃)：无意义</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1258" w:type="dxa"/>
            <w:vMerge w:val="continue"/>
            <w:vAlign w:val="center"/>
          </w:tcPr>
          <w:p>
            <w:pPr>
              <w:topLinePunct/>
              <w:spacing w:line="240" w:lineRule="auto"/>
              <w:ind w:firstLine="0" w:firstLineChars="0"/>
              <w:jc w:val="center"/>
              <w:rPr>
                <w:rFonts w:ascii="宋体" w:hAnsi="宋体"/>
                <w:color w:val="auto"/>
                <w:sz w:val="21"/>
                <w:szCs w:val="21"/>
              </w:rPr>
            </w:pPr>
          </w:p>
        </w:tc>
        <w:tc>
          <w:tcPr>
            <w:tcW w:w="568"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相对</w:t>
            </w:r>
          </w:p>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密度</w:t>
            </w:r>
          </w:p>
        </w:tc>
        <w:tc>
          <w:tcPr>
            <w:tcW w:w="1841" w:type="dxa"/>
            <w:gridSpan w:val="2"/>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空气</w:t>
            </w:r>
            <w:r>
              <w:rPr>
                <w:rFonts w:ascii="宋体" w:hAnsi="宋体"/>
                <w:color w:val="auto"/>
                <w:sz w:val="21"/>
                <w:szCs w:val="21"/>
              </w:rPr>
              <w:t xml:space="preserve">: </w:t>
            </w:r>
            <w:r>
              <w:rPr>
                <w:rFonts w:hint="eastAsia" w:ascii="宋体" w:hAnsi="宋体"/>
                <w:color w:val="auto"/>
                <w:sz w:val="21"/>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213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爆炸极限(V%)：无意义</w:t>
            </w:r>
          </w:p>
        </w:tc>
        <w:tc>
          <w:tcPr>
            <w:tcW w:w="222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火灾危险性分类：戊</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1258" w:type="dxa"/>
            <w:vMerge w:val="continue"/>
            <w:vAlign w:val="center"/>
          </w:tcPr>
          <w:p>
            <w:pPr>
              <w:topLinePunct/>
              <w:spacing w:line="240" w:lineRule="auto"/>
              <w:ind w:firstLine="0" w:firstLineChars="0"/>
              <w:jc w:val="center"/>
              <w:rPr>
                <w:rFonts w:ascii="宋体" w:hAnsi="宋体"/>
                <w:color w:val="auto"/>
                <w:sz w:val="21"/>
                <w:szCs w:val="21"/>
              </w:rPr>
            </w:pPr>
          </w:p>
        </w:tc>
        <w:tc>
          <w:tcPr>
            <w:tcW w:w="568" w:type="dxa"/>
            <w:vMerge w:val="continue"/>
            <w:vAlign w:val="center"/>
          </w:tcPr>
          <w:p>
            <w:pPr>
              <w:topLinePunct/>
              <w:spacing w:line="240" w:lineRule="auto"/>
              <w:ind w:firstLine="0" w:firstLineChars="0"/>
              <w:jc w:val="center"/>
              <w:rPr>
                <w:rFonts w:ascii="宋体" w:hAnsi="宋体"/>
                <w:color w:val="auto"/>
                <w:sz w:val="21"/>
                <w:szCs w:val="21"/>
              </w:rPr>
            </w:pPr>
          </w:p>
        </w:tc>
        <w:tc>
          <w:tcPr>
            <w:tcW w:w="1841" w:type="dxa"/>
            <w:gridSpan w:val="2"/>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 xml:space="preserve">危险特性：氟化氢为反应性极强的物质，能与各种物质发生反应。腐蚀性极强。 </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1258" w:type="dxa"/>
            <w:vMerge w:val="continue"/>
            <w:vAlign w:val="center"/>
          </w:tcPr>
          <w:p>
            <w:pPr>
              <w:topLinePunct/>
              <w:spacing w:line="240" w:lineRule="auto"/>
              <w:ind w:firstLine="0" w:firstLineChars="0"/>
              <w:jc w:val="center"/>
              <w:rPr>
                <w:rFonts w:ascii="宋体" w:hAnsi="宋体"/>
                <w:color w:val="auto"/>
                <w:sz w:val="21"/>
                <w:szCs w:val="21"/>
              </w:rPr>
            </w:pPr>
          </w:p>
        </w:tc>
        <w:tc>
          <w:tcPr>
            <w:tcW w:w="568" w:type="dxa"/>
            <w:vMerge w:val="continue"/>
            <w:vAlign w:val="center"/>
          </w:tcPr>
          <w:p>
            <w:pPr>
              <w:topLinePunct/>
              <w:spacing w:line="240" w:lineRule="auto"/>
              <w:ind w:firstLine="0" w:firstLineChars="0"/>
              <w:jc w:val="center"/>
              <w:rPr>
                <w:rFonts w:ascii="宋体" w:hAnsi="宋体"/>
                <w:color w:val="auto"/>
                <w:sz w:val="21"/>
                <w:szCs w:val="21"/>
              </w:rPr>
            </w:pPr>
          </w:p>
        </w:tc>
        <w:tc>
          <w:tcPr>
            <w:tcW w:w="184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水：0.988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燃烧</w:t>
            </w:r>
            <w:r>
              <w:rPr>
                <w:rFonts w:ascii="宋体" w:hAnsi="宋体"/>
                <w:color w:val="auto"/>
                <w:sz w:val="21"/>
                <w:szCs w:val="21"/>
              </w:rPr>
              <w:t>(</w:t>
            </w:r>
            <w:r>
              <w:rPr>
                <w:rFonts w:hint="eastAsia" w:ascii="宋体" w:hAnsi="宋体"/>
                <w:color w:val="auto"/>
                <w:sz w:val="21"/>
                <w:szCs w:val="21"/>
              </w:rPr>
              <w:t>分解</w:t>
            </w:r>
            <w:r>
              <w:rPr>
                <w:rFonts w:ascii="宋体" w:hAnsi="宋体"/>
                <w:color w:val="auto"/>
                <w:sz w:val="21"/>
                <w:szCs w:val="21"/>
              </w:rPr>
              <w:t>)</w:t>
            </w:r>
            <w:r>
              <w:rPr>
                <w:rFonts w:hint="eastAsia" w:ascii="宋体" w:hAnsi="宋体"/>
                <w:color w:val="auto"/>
                <w:sz w:val="21"/>
                <w:szCs w:val="21"/>
              </w:rPr>
              <w:t>产物：无资料</w:t>
            </w:r>
          </w:p>
        </w:tc>
        <w:tc>
          <w:tcPr>
            <w:tcW w:w="481" w:type="dxa"/>
            <w:vMerge w:val="restart"/>
            <w:vAlign w:val="center"/>
          </w:tcPr>
          <w:p>
            <w:pPr>
              <w:pStyle w:val="31"/>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毒性与健康危害</w:t>
            </w:r>
          </w:p>
        </w:tc>
        <w:tc>
          <w:tcPr>
            <w:tcW w:w="3667" w:type="dxa"/>
            <w:gridSpan w:val="4"/>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职业性接触毒物危害程度分级</w:t>
            </w:r>
            <w:r>
              <w:rPr>
                <w:rFonts w:ascii="宋体" w:hAnsi="宋体"/>
                <w:color w:val="auto"/>
                <w:sz w:val="21"/>
                <w:szCs w:val="21"/>
              </w:rPr>
              <w:t>:</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1"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禁忌物</w:t>
            </w:r>
            <w:r>
              <w:rPr>
                <w:rFonts w:ascii="宋体" w:hAnsi="宋体"/>
                <w:color w:val="auto"/>
                <w:sz w:val="21"/>
                <w:szCs w:val="21"/>
              </w:rPr>
              <w:t>:</w:t>
            </w:r>
            <w:r>
              <w:rPr>
                <w:rFonts w:hint="eastAsia" w:ascii="宋体" w:hAnsi="宋体"/>
                <w:color w:val="auto"/>
                <w:sz w:val="21"/>
                <w:szCs w:val="21"/>
              </w:rPr>
              <w:t>易燃或可燃物</w:t>
            </w:r>
          </w:p>
        </w:tc>
        <w:tc>
          <w:tcPr>
            <w:tcW w:w="481" w:type="dxa"/>
            <w:vMerge w:val="continue"/>
            <w:vAlign w:val="center"/>
          </w:tcPr>
          <w:p>
            <w:pPr>
              <w:pStyle w:val="31"/>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避免接触的条件</w:t>
            </w:r>
            <w:r>
              <w:rPr>
                <w:rFonts w:ascii="宋体" w:hAnsi="宋体"/>
                <w:color w:val="auto"/>
                <w:sz w:val="21"/>
                <w:szCs w:val="21"/>
              </w:rPr>
              <w:t>:</w:t>
            </w:r>
            <w:r>
              <w:rPr>
                <w:rFonts w:hint="eastAsia" w:ascii="宋体" w:hAnsi="宋体"/>
                <w:color w:val="auto"/>
                <w:sz w:val="21"/>
                <w:szCs w:val="21"/>
              </w:rPr>
              <w:t>潮湿空气</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毒性资料</w:t>
            </w:r>
            <w:r>
              <w:rPr>
                <w:rFonts w:ascii="宋体" w:hAnsi="宋体"/>
                <w:color w:val="auto"/>
                <w:sz w:val="21"/>
                <w:szCs w:val="21"/>
              </w:rPr>
              <w:t>:</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6"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灭火剂</w:t>
            </w:r>
            <w:r>
              <w:rPr>
                <w:rFonts w:ascii="宋体" w:hAnsi="宋体"/>
                <w:color w:val="auto"/>
                <w:sz w:val="21"/>
                <w:szCs w:val="21"/>
              </w:rPr>
              <w:t>:</w:t>
            </w:r>
            <w:r>
              <w:rPr>
                <w:rFonts w:hint="eastAsia" w:ascii="宋体" w:hAnsi="宋体"/>
                <w:color w:val="auto"/>
                <w:sz w:val="21"/>
                <w:szCs w:val="21"/>
              </w:rPr>
              <w:t>用雾状水、泡沫灭火</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职业接触限值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急救措施</w:t>
            </w: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皮肤接触：立即脱去污染的衣着，用氯化钙溶液或大量流动清水彻底冲洗至少15min。就医</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MAC</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眼睛接触：立即分开眼睑，用流动清水或生理盐水彻底冲洗5-15min。就医。</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中国PC-TWA：2mg/m</w:t>
            </w:r>
            <w:r>
              <w:rPr>
                <w:rFonts w:hint="eastAsia" w:ascii="宋体" w:hAnsi="宋体"/>
                <w:color w:val="auto"/>
                <w:sz w:val="21"/>
                <w:szCs w:val="21"/>
                <w:vertAlign w:val="superscript"/>
              </w:rPr>
              <w:t>3</w:t>
            </w:r>
            <w:r>
              <w:rPr>
                <w:rFonts w:hint="eastAsia" w:ascii="宋体" w:hAnsi="宋体"/>
                <w:color w:val="auto"/>
                <w:sz w:val="21"/>
                <w:szCs w:val="21"/>
              </w:rPr>
              <w:t>[按F计]</w:t>
            </w:r>
          </w:p>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吸入：迅速脱离现场至空气新鲜处。保持呼吸道通畅。如呼吸困难，给输氧。如呼吸、心跳停止，立即进行心肺复苏。就医。</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美国（ACGIH）TLV-TWA：0.5mg/m</w:t>
            </w:r>
            <w:r>
              <w:rPr>
                <w:rFonts w:hint="eastAsia" w:ascii="宋体" w:hAnsi="宋体"/>
                <w:color w:val="auto"/>
                <w:sz w:val="21"/>
                <w:szCs w:val="21"/>
                <w:vertAlign w:val="superscript"/>
              </w:rPr>
              <w:t>3</w:t>
            </w:r>
            <w:r>
              <w:rPr>
                <w:rFonts w:hint="eastAsia" w:ascii="宋体" w:hAnsi="宋体"/>
                <w:color w:val="auto"/>
                <w:sz w:val="21"/>
                <w:szCs w:val="21"/>
              </w:rPr>
              <w:t>[按F计]</w:t>
            </w:r>
            <w:r>
              <w:rPr>
                <w:rFonts w:hint="eastAsia" w:ascii="宋体" w:hAnsi="宋体"/>
                <w:color w:val="auto"/>
                <w:sz w:val="21"/>
                <w:szCs w:val="21"/>
                <w:lang w:val="en-US" w:eastAsia="zh-CN"/>
              </w:rPr>
              <w:t xml:space="preserve">        </w:t>
            </w:r>
            <w:r>
              <w:rPr>
                <w:rFonts w:hint="eastAsia" w:ascii="宋体" w:hAnsi="宋体"/>
                <w:color w:val="auto"/>
                <w:sz w:val="21"/>
                <w:szCs w:val="21"/>
              </w:rPr>
              <w:t>TLV-C：2ppm[皮]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Merge w:val="continue"/>
            <w:vAlign w:val="center"/>
          </w:tcPr>
          <w:p>
            <w:pPr>
              <w:topLinePunct/>
              <w:spacing w:line="240" w:lineRule="auto"/>
              <w:ind w:firstLine="0" w:firstLineChars="0"/>
              <w:jc w:val="left"/>
              <w:rPr>
                <w:rFonts w:ascii="宋体" w:hAnsi="宋体"/>
                <w:color w:val="auto"/>
                <w:sz w:val="21"/>
                <w:szCs w:val="21"/>
              </w:rPr>
            </w:pP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侵入途径及健康危害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Merge w:val="continue"/>
            <w:vAlign w:val="center"/>
          </w:tcPr>
          <w:p>
            <w:pPr>
              <w:topLinePunct/>
              <w:spacing w:line="240" w:lineRule="auto"/>
              <w:ind w:firstLine="0" w:firstLineChars="0"/>
              <w:jc w:val="left"/>
              <w:rPr>
                <w:rFonts w:ascii="宋体" w:hAnsi="宋体"/>
                <w:color w:val="auto"/>
                <w:sz w:val="21"/>
                <w:szCs w:val="21"/>
              </w:rPr>
            </w:pP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食入：用水漱口，禁止催吐。给饮牛奶或蛋清。就医</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健康危害：对呼吸道黏膜及皮肤有强烈的刺激和腐蚀作用。急性中毒  吸人较高浓度氟化氢，可引起眼及呼吸道粘膜刺激症状，严重者可发生支气管炎。肺炎或肺水肿，甚至发生反射性窒息。眼接触局部剧烈疼痛，重者角膜损伤，甚至发生穿孔。氟化氢极易溶于水，其溶液即为氢氟酸。氢氟酸皮肤灼伤初期皮肤潮红、干燥，创面苍自、坏死，继而呈紫黑色或灰黑色。深部灼伤或处理不当时，可形全现成难以愈合的深溃疡， 损及骨膜和骨质。本品灼伤疼痛剧烈</w:t>
            </w:r>
          </w:p>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慢性影响  眼和上呼吸道刺激症状， 或有鼻衄，嗅觉减退。可有牙齿酸蚀症。骨骼X射线异常与工业性氟病相比少见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防护措施</w:t>
            </w: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呼吸系统防护：可能接触其烟雾时，佩戴过滤式防毒面具（全面罩）或空气呼吸器。紧急事态枪机或撤离时，建议佩戴空气呼吸器。</w:t>
            </w:r>
          </w:p>
        </w:tc>
        <w:tc>
          <w:tcPr>
            <w:tcW w:w="481" w:type="dxa"/>
            <w:vMerge w:val="restart"/>
            <w:vAlign w:val="center"/>
          </w:tcPr>
          <w:p>
            <w:pPr>
              <w:pStyle w:val="31"/>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储存</w:t>
            </w:r>
          </w:p>
        </w:tc>
        <w:tc>
          <w:tcPr>
            <w:tcW w:w="3667" w:type="dxa"/>
            <w:gridSpan w:val="4"/>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储存于阴凉、通风的库房。远离火种，热源。库房温度不超过30℃，相对湿度不超过80%，保持容器密封。应与易燃物、碱类分开存放。切忌混储。储区应备有泄漏应急处理设备。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眼睛防护：呼吸系统防护中已作防护。</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皮肤和身体防护:穿橡胶耐酸碱服。</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手防护：带</w:t>
            </w:r>
            <w:r>
              <w:rPr>
                <w:rFonts w:ascii="宋体" w:hAnsi="宋体"/>
                <w:color w:val="auto"/>
                <w:kern w:val="0"/>
                <w:sz w:val="21"/>
                <w:szCs w:val="21"/>
              </w:rPr>
              <w:t>橡胶耐酸碱</w:t>
            </w:r>
            <w:r>
              <w:rPr>
                <w:rFonts w:hint="eastAsia" w:ascii="宋体" w:hAnsi="宋体"/>
                <w:color w:val="auto"/>
                <w:kern w:val="0"/>
                <w:sz w:val="21"/>
                <w:szCs w:val="21"/>
              </w:rPr>
              <w:t>手套。</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泄漏处理</w:t>
            </w:r>
          </w:p>
        </w:tc>
        <w:tc>
          <w:tcPr>
            <w:tcW w:w="4357" w:type="dxa"/>
            <w:gridSpan w:val="6"/>
            <w:vMerge w:val="restart"/>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作业人员防护措施、防护装备和应急处置程序：根据液体流动和蒸气扩散的影响区域划定警戒区，无关人员从侧风、上风向撤离至安全区。建议应急处理人员戴正压自给式呼吸器，穿防腐蚀、防毒服，戴橡胶耐酸碱手套。穿上适当的防护服前严禁接触破裂的容器和泄漏物。尽可能切断泄漏源</w:t>
            </w:r>
          </w:p>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环境保护措施：防止气体通过下水道、通风系统或有限空间扩散</w:t>
            </w:r>
          </w:p>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泄漏化学品的收容、清除方法及所使用的处置材料：小量泄漏：用干燥的砂土或其他不燃材料吸收或覆盖，收集于容器中。大量泄漏：构筑围堤或挖坑收容。用石灰(CaO)、碎石灰石(CaCO</w:t>
            </w:r>
            <w:r>
              <w:rPr>
                <w:rFonts w:hint="eastAsia" w:ascii="宋体" w:hAnsi="宋体"/>
                <w:color w:val="auto"/>
                <w:kern w:val="0"/>
                <w:sz w:val="21"/>
                <w:szCs w:val="21"/>
                <w:vertAlign w:val="subscript"/>
              </w:rPr>
              <w:t>3</w:t>
            </w:r>
            <w:r>
              <w:rPr>
                <w:rFonts w:hint="eastAsia" w:ascii="宋体" w:hAnsi="宋体"/>
                <w:color w:val="auto"/>
                <w:kern w:val="0"/>
                <w:sz w:val="21"/>
                <w:szCs w:val="21"/>
              </w:rPr>
              <w:t>)、碳酸氢钠苏打灰(NaHCO</w:t>
            </w:r>
            <w:r>
              <w:rPr>
                <w:rFonts w:hint="eastAsia" w:ascii="宋体" w:hAnsi="宋体"/>
                <w:color w:val="auto"/>
                <w:kern w:val="0"/>
                <w:sz w:val="21"/>
                <w:szCs w:val="21"/>
                <w:vertAlign w:val="subscript"/>
              </w:rPr>
              <w:t>3</w:t>
            </w:r>
            <w:r>
              <w:rPr>
                <w:rFonts w:hint="eastAsia" w:ascii="宋体" w:hAnsi="宋体"/>
                <w:color w:val="auto"/>
                <w:kern w:val="0"/>
                <w:sz w:val="21"/>
                <w:szCs w:val="21"/>
              </w:rPr>
              <w:t>)或中和。隔离泄漏取直至气体耗尽。</w:t>
            </w: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Merge w:val="continue"/>
            <w:vAlign w:val="center"/>
          </w:tcPr>
          <w:p>
            <w:pPr>
              <w:topLinePunct/>
              <w:spacing w:line="240" w:lineRule="auto"/>
              <w:ind w:firstLine="0" w:firstLineChars="0"/>
              <w:jc w:val="center"/>
              <w:rPr>
                <w:rFonts w:ascii="宋体" w:hAnsi="宋体"/>
                <w:color w:val="auto"/>
                <w:sz w:val="21"/>
                <w:szCs w:val="21"/>
              </w:rPr>
            </w:pPr>
          </w:p>
        </w:tc>
        <w:tc>
          <w:tcPr>
            <w:tcW w:w="481"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包装</w:t>
            </w:r>
          </w:p>
        </w:tc>
        <w:tc>
          <w:tcPr>
            <w:tcW w:w="3667" w:type="dxa"/>
            <w:gridSpan w:val="4"/>
            <w:vAlign w:val="center"/>
          </w:tcPr>
          <w:p>
            <w:pPr>
              <w:widowControl/>
              <w:spacing w:line="300" w:lineRule="exact"/>
              <w:ind w:firstLine="420"/>
              <w:jc w:val="left"/>
              <w:rPr>
                <w:rFonts w:ascii="宋体" w:hAnsi="宋体"/>
                <w:color w:val="auto"/>
                <w:sz w:val="21"/>
                <w:szCs w:val="21"/>
              </w:rPr>
            </w:pPr>
            <w:r>
              <w:rPr>
                <w:rFonts w:hint="eastAsia" w:ascii="宋体" w:hAnsi="宋体"/>
                <w:color w:val="auto"/>
                <w:sz w:val="21"/>
                <w:szCs w:val="21"/>
              </w:rPr>
              <w:t>危险性类别：</w:t>
            </w:r>
          </w:p>
          <w:p>
            <w:pPr>
              <w:widowControl/>
              <w:spacing w:line="300" w:lineRule="exact"/>
              <w:ind w:firstLine="400"/>
              <w:jc w:val="left"/>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经口</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2</w:t>
            </w:r>
          </w:p>
          <w:p>
            <w:pPr>
              <w:widowControl/>
              <w:spacing w:line="300" w:lineRule="exact"/>
              <w:ind w:firstLine="400"/>
              <w:jc w:val="left"/>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经皮</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1</w:t>
            </w:r>
          </w:p>
          <w:p>
            <w:pPr>
              <w:widowControl/>
              <w:spacing w:line="300" w:lineRule="exact"/>
              <w:ind w:firstLine="400"/>
              <w:jc w:val="left"/>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吸入</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2</w:t>
            </w:r>
          </w:p>
          <w:p>
            <w:pPr>
              <w:widowControl/>
              <w:spacing w:line="300" w:lineRule="exact"/>
              <w:ind w:firstLine="400"/>
              <w:jc w:val="left"/>
              <w:rPr>
                <w:rFonts w:ascii="宋体" w:hAnsi="宋体" w:cs="宋体"/>
                <w:color w:val="auto"/>
                <w:kern w:val="0"/>
                <w:sz w:val="20"/>
                <w:szCs w:val="20"/>
              </w:rPr>
            </w:pPr>
            <w:r>
              <w:rPr>
                <w:rFonts w:hint="eastAsia" w:ascii="宋体" w:hAnsi="宋体" w:cs="宋体"/>
                <w:color w:val="auto"/>
                <w:kern w:val="0"/>
                <w:sz w:val="20"/>
                <w:szCs w:val="20"/>
              </w:rPr>
              <w:t>皮肤腐蚀</w:t>
            </w:r>
            <w:r>
              <w:rPr>
                <w:rFonts w:ascii="宋体" w:hAnsi="宋体" w:cs="宋体"/>
                <w:color w:val="auto"/>
                <w:kern w:val="0"/>
                <w:sz w:val="20"/>
                <w:szCs w:val="20"/>
              </w:rPr>
              <w:t>/</w:t>
            </w:r>
            <w:r>
              <w:rPr>
                <w:rFonts w:hint="eastAsia" w:ascii="宋体" w:hAnsi="宋体" w:cs="宋体"/>
                <w:color w:val="auto"/>
                <w:kern w:val="0"/>
                <w:sz w:val="20"/>
                <w:szCs w:val="20"/>
              </w:rPr>
              <w:t>刺激</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1A</w:t>
            </w:r>
          </w:p>
          <w:p>
            <w:pPr>
              <w:topLinePunct/>
              <w:spacing w:line="240" w:lineRule="auto"/>
              <w:ind w:firstLine="0" w:firstLineChars="0"/>
              <w:jc w:val="left"/>
              <w:rPr>
                <w:rFonts w:ascii="宋体" w:hAnsi="宋体" w:cs="宋体"/>
                <w:color w:val="auto"/>
                <w:kern w:val="0"/>
                <w:sz w:val="20"/>
                <w:szCs w:val="20"/>
              </w:rPr>
            </w:pPr>
            <w:r>
              <w:rPr>
                <w:rFonts w:hint="eastAsia" w:ascii="宋体" w:hAnsi="宋体" w:cs="宋体"/>
                <w:color w:val="auto"/>
                <w:kern w:val="0"/>
                <w:sz w:val="20"/>
                <w:szCs w:val="20"/>
              </w:rPr>
              <w:t>严重眼损伤</w:t>
            </w:r>
            <w:r>
              <w:rPr>
                <w:rFonts w:ascii="宋体" w:hAnsi="宋体" w:cs="宋体"/>
                <w:color w:val="auto"/>
                <w:kern w:val="0"/>
                <w:sz w:val="20"/>
                <w:szCs w:val="20"/>
              </w:rPr>
              <w:t>/</w:t>
            </w:r>
            <w:r>
              <w:rPr>
                <w:rFonts w:hint="eastAsia" w:ascii="宋体" w:hAnsi="宋体" w:cs="宋体"/>
                <w:color w:val="auto"/>
                <w:kern w:val="0"/>
                <w:sz w:val="20"/>
                <w:szCs w:val="20"/>
              </w:rPr>
              <w:t>眼刺激</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1</w:t>
            </w:r>
          </w:p>
          <w:p>
            <w:pPr>
              <w:topLinePunct/>
              <w:spacing w:line="240" w:lineRule="auto"/>
              <w:ind w:firstLine="0" w:firstLineChars="0"/>
              <w:jc w:val="left"/>
              <w:rPr>
                <w:rFonts w:ascii="宋体" w:hAnsi="宋体"/>
                <w:color w:val="auto"/>
                <w:sz w:val="21"/>
                <w:szCs w:val="21"/>
              </w:rPr>
            </w:pPr>
            <w:r>
              <w:rPr>
                <w:rFonts w:hint="eastAsia" w:ascii="宋体" w:hAnsi="宋体" w:cs="宋体"/>
                <w:color w:val="auto"/>
                <w:kern w:val="0"/>
                <w:sz w:val="20"/>
                <w:szCs w:val="20"/>
              </w:rPr>
              <w:t>危害水生环境-急性危害，类别3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6"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6"/>
            <w:vMerge w:val="continue"/>
            <w:vAlign w:val="center"/>
          </w:tcPr>
          <w:p>
            <w:pPr>
              <w:topLinePunct/>
              <w:spacing w:line="240" w:lineRule="auto"/>
              <w:ind w:firstLine="0" w:firstLineChars="0"/>
              <w:jc w:val="center"/>
              <w:rPr>
                <w:rFonts w:ascii="宋体" w:hAnsi="宋体"/>
                <w:color w:val="auto"/>
                <w:sz w:val="21"/>
                <w:szCs w:val="21"/>
              </w:rPr>
            </w:pPr>
          </w:p>
        </w:tc>
        <w:tc>
          <w:tcPr>
            <w:tcW w:w="48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4"/>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危险货物包装标志：8</w:t>
            </w:r>
          </w:p>
        </w:tc>
      </w:tr>
    </w:tbl>
    <w:p>
      <w:pPr>
        <w:ind w:firstLine="0" w:firstLineChars="0"/>
        <w:jc w:val="center"/>
        <w:rPr>
          <w:rFonts w:ascii="宋体" w:hAnsi="宋体" w:cs="宋体"/>
          <w:color w:val="auto"/>
          <w:szCs w:val="21"/>
        </w:rPr>
      </w:pPr>
    </w:p>
    <w:p>
      <w:pPr>
        <w:ind w:firstLine="0" w:firstLineChars="0"/>
        <w:jc w:val="center"/>
        <w:rPr>
          <w:rFonts w:ascii="宋体" w:hAnsi="宋体" w:cs="宋体"/>
          <w:b/>
          <w:color w:val="auto"/>
          <w:sz w:val="24"/>
        </w:rPr>
      </w:pPr>
      <w:r>
        <w:rPr>
          <w:rFonts w:hint="eastAsia" w:ascii="宋体" w:hAnsi="宋体" w:cs="宋体"/>
          <w:b/>
          <w:color w:val="auto"/>
          <w:sz w:val="24"/>
        </w:rPr>
        <w:t>附表2.4-</w:t>
      </w:r>
      <w:r>
        <w:rPr>
          <w:rFonts w:ascii="宋体" w:hAnsi="宋体" w:cs="宋体"/>
          <w:b/>
          <w:color w:val="auto"/>
          <w:sz w:val="24"/>
        </w:rPr>
        <w:t>3</w:t>
      </w:r>
      <w:r>
        <w:rPr>
          <w:rFonts w:hint="eastAsia" w:ascii="宋体" w:hAnsi="宋体" w:cs="宋体"/>
          <w:b/>
          <w:color w:val="auto"/>
          <w:sz w:val="24"/>
        </w:rPr>
        <w:t xml:space="preserve">  四氟化硅的理化性质及危险特性</w:t>
      </w:r>
    </w:p>
    <w:tbl>
      <w:tblPr>
        <w:tblStyle w:val="36"/>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7"/>
        <w:gridCol w:w="399"/>
        <w:gridCol w:w="1341"/>
        <w:gridCol w:w="396"/>
        <w:gridCol w:w="457"/>
        <w:gridCol w:w="1764"/>
        <w:gridCol w:w="390"/>
        <w:gridCol w:w="1207"/>
        <w:gridCol w:w="42"/>
        <w:gridCol w:w="772"/>
        <w:gridCol w:w="521"/>
        <w:gridCol w:w="1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66" w:type="dxa"/>
            <w:gridSpan w:val="2"/>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CAS</w:t>
            </w:r>
          </w:p>
        </w:tc>
        <w:tc>
          <w:tcPr>
            <w:tcW w:w="1341"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7783-61-1</w:t>
            </w:r>
          </w:p>
        </w:tc>
        <w:tc>
          <w:tcPr>
            <w:tcW w:w="853" w:type="dxa"/>
            <w:gridSpan w:val="2"/>
            <w:vAlign w:val="center"/>
          </w:tcPr>
          <w:p>
            <w:pPr>
              <w:topLinePunct/>
              <w:spacing w:line="240" w:lineRule="auto"/>
              <w:ind w:firstLine="0" w:firstLineChars="0"/>
              <w:jc w:val="center"/>
              <w:rPr>
                <w:rFonts w:ascii="宋体" w:hAnsi="宋体"/>
                <w:color w:val="auto"/>
                <w:sz w:val="21"/>
                <w:szCs w:val="21"/>
              </w:rPr>
            </w:pPr>
            <w:bookmarkStart w:id="2170" w:name="_Toc536111728"/>
            <w:bookmarkStart w:id="2171" w:name="_Toc12004034"/>
            <w:r>
              <w:rPr>
                <w:rFonts w:ascii="宋体" w:hAnsi="宋体"/>
                <w:color w:val="auto"/>
                <w:sz w:val="21"/>
                <w:szCs w:val="21"/>
              </w:rPr>
              <w:t>RTECS</w:t>
            </w:r>
            <w:bookmarkEnd w:id="2170"/>
            <w:bookmarkEnd w:id="2171"/>
          </w:p>
        </w:tc>
        <w:tc>
          <w:tcPr>
            <w:tcW w:w="1764" w:type="dxa"/>
            <w:vAlign w:val="center"/>
          </w:tcPr>
          <w:p>
            <w:pPr>
              <w:topLinePunct/>
              <w:spacing w:line="240" w:lineRule="auto"/>
              <w:ind w:firstLine="0" w:firstLineChars="0"/>
              <w:jc w:val="center"/>
              <w:rPr>
                <w:rFonts w:ascii="宋体" w:hAnsi="宋体"/>
                <w:color w:val="auto"/>
                <w:sz w:val="21"/>
                <w:szCs w:val="21"/>
              </w:rPr>
            </w:pPr>
          </w:p>
        </w:tc>
        <w:tc>
          <w:tcPr>
            <w:tcW w:w="390" w:type="dxa"/>
            <w:vAlign w:val="center"/>
          </w:tcPr>
          <w:p>
            <w:pPr>
              <w:topLinePunct/>
              <w:spacing w:line="240" w:lineRule="auto"/>
              <w:ind w:firstLine="0" w:firstLineChars="0"/>
              <w:jc w:val="center"/>
              <w:rPr>
                <w:rFonts w:ascii="宋体" w:hAnsi="宋体"/>
                <w:color w:val="auto"/>
                <w:sz w:val="21"/>
                <w:szCs w:val="21"/>
              </w:rPr>
            </w:pPr>
            <w:bookmarkStart w:id="2172" w:name="_Toc536111729"/>
            <w:bookmarkStart w:id="2173" w:name="_Toc12004035"/>
            <w:r>
              <w:rPr>
                <w:rFonts w:ascii="宋体" w:hAnsi="宋体"/>
                <w:color w:val="auto"/>
                <w:sz w:val="21"/>
                <w:szCs w:val="21"/>
              </w:rPr>
              <w:t>UN</w:t>
            </w:r>
            <w:bookmarkEnd w:id="2172"/>
            <w:bookmarkEnd w:id="2173"/>
          </w:p>
        </w:tc>
        <w:tc>
          <w:tcPr>
            <w:tcW w:w="120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1859</w:t>
            </w:r>
          </w:p>
        </w:tc>
        <w:tc>
          <w:tcPr>
            <w:tcW w:w="1335"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危序号</w:t>
            </w:r>
          </w:p>
        </w:tc>
        <w:tc>
          <w:tcPr>
            <w:tcW w:w="12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66"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中文名称</w:t>
            </w:r>
          </w:p>
        </w:tc>
        <w:tc>
          <w:tcPr>
            <w:tcW w:w="3958"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四氟化硅；氟化硅</w:t>
            </w:r>
          </w:p>
        </w:tc>
        <w:tc>
          <w:tcPr>
            <w:tcW w:w="390"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理化性质</w:t>
            </w: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外观及性状</w:t>
            </w:r>
            <w:r>
              <w:rPr>
                <w:rFonts w:ascii="宋体" w:hAnsi="宋体"/>
                <w:color w:val="auto"/>
                <w:sz w:val="21"/>
                <w:szCs w:val="21"/>
              </w:rPr>
              <w:t xml:space="preserve">: </w:t>
            </w:r>
            <w:r>
              <w:rPr>
                <w:rFonts w:hint="eastAsia" w:ascii="宋体" w:hAnsi="宋体"/>
                <w:color w:val="auto"/>
                <w:sz w:val="21"/>
                <w:szCs w:val="21"/>
              </w:rPr>
              <w:t>无色刺激性气体，在潮湿空气中可产生浓烟雾。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66"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英文名称</w:t>
            </w:r>
          </w:p>
        </w:tc>
        <w:tc>
          <w:tcPr>
            <w:tcW w:w="3958"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silicon tetrafluoride；</w:t>
            </w:r>
          </w:p>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silicon fluoride</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1249" w:type="dxa"/>
            <w:gridSpan w:val="2"/>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溶解性：溶于乙醇、硝酸、氢氟酸，不溶于乙醚。</w:t>
            </w:r>
          </w:p>
        </w:tc>
        <w:tc>
          <w:tcPr>
            <w:tcW w:w="2582" w:type="dxa"/>
            <w:gridSpan w:val="3"/>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饱和蒸汽压</w:t>
            </w:r>
            <w:r>
              <w:rPr>
                <w:rFonts w:ascii="宋体" w:hAnsi="宋体"/>
                <w:color w:val="auto"/>
                <w:sz w:val="21"/>
                <w:szCs w:val="21"/>
              </w:rPr>
              <w:t>(kPa)</w:t>
            </w:r>
            <w:r>
              <w:rPr>
                <w:rFonts w:hint="eastAsia" w:ascii="宋体" w:hAnsi="宋体"/>
                <w:color w:val="auto"/>
                <w:sz w:val="21"/>
                <w:szCs w:val="21"/>
              </w:rPr>
              <w:t>：</w:t>
            </w:r>
            <w:r>
              <w:rPr>
                <w:rFonts w:ascii="宋体" w:hAnsi="宋体"/>
                <w:color w:val="auto"/>
                <w:sz w:val="21"/>
                <w:szCs w:val="21"/>
              </w:rPr>
              <w:t xml:space="preserve"> </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7" w:hRule="atLeast"/>
          <w:jc w:val="center"/>
        </w:trPr>
        <w:tc>
          <w:tcPr>
            <w:tcW w:w="966"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分子式</w:t>
            </w:r>
          </w:p>
        </w:tc>
        <w:tc>
          <w:tcPr>
            <w:tcW w:w="3958" w:type="dxa"/>
            <w:gridSpan w:val="4"/>
            <w:vAlign w:val="center"/>
          </w:tcPr>
          <w:p>
            <w:pPr>
              <w:topLinePunct/>
              <w:spacing w:line="240" w:lineRule="auto"/>
              <w:ind w:firstLine="0" w:firstLineChars="0"/>
              <w:jc w:val="center"/>
              <w:rPr>
                <w:rFonts w:ascii="宋体" w:hAnsi="宋体"/>
                <w:color w:val="auto"/>
                <w:sz w:val="21"/>
                <w:szCs w:val="21"/>
                <w:vertAlign w:val="subscript"/>
              </w:rPr>
            </w:pPr>
            <w:r>
              <w:rPr>
                <w:rFonts w:hint="eastAsia" w:ascii="宋体" w:hAnsi="宋体"/>
                <w:color w:val="auto"/>
                <w:sz w:val="21"/>
                <w:szCs w:val="21"/>
              </w:rPr>
              <w:t>SiF</w:t>
            </w:r>
            <w:r>
              <w:rPr>
                <w:rFonts w:hint="eastAsia" w:ascii="宋体" w:hAnsi="宋体"/>
                <w:color w:val="auto"/>
                <w:sz w:val="21"/>
                <w:szCs w:val="21"/>
                <w:vertAlign w:val="subscript"/>
              </w:rPr>
              <w:t>4</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1249" w:type="dxa"/>
            <w:gridSpan w:val="2"/>
            <w:vMerge w:val="continue"/>
            <w:vAlign w:val="center"/>
          </w:tcPr>
          <w:p>
            <w:pPr>
              <w:topLinePunct/>
              <w:spacing w:line="240" w:lineRule="auto"/>
              <w:ind w:firstLine="0" w:firstLineChars="0"/>
              <w:jc w:val="center"/>
              <w:rPr>
                <w:rFonts w:ascii="宋体" w:hAnsi="宋体"/>
                <w:color w:val="auto"/>
                <w:sz w:val="21"/>
                <w:szCs w:val="21"/>
              </w:rPr>
            </w:pPr>
          </w:p>
        </w:tc>
        <w:tc>
          <w:tcPr>
            <w:tcW w:w="2582" w:type="dxa"/>
            <w:gridSpan w:val="3"/>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燃烧爆炸危险性</w:t>
            </w:r>
          </w:p>
        </w:tc>
        <w:tc>
          <w:tcPr>
            <w:tcW w:w="2136"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闪点</w:t>
            </w:r>
            <w:r>
              <w:rPr>
                <w:rFonts w:ascii="宋体" w:hAnsi="宋体"/>
                <w:color w:val="auto"/>
                <w:sz w:val="21"/>
                <w:szCs w:val="21"/>
              </w:rPr>
              <w:t>(</w:t>
            </w:r>
            <w:r>
              <w:rPr>
                <w:rFonts w:hint="eastAsia" w:ascii="宋体" w:hAnsi="宋体"/>
                <w:color w:val="auto"/>
                <w:sz w:val="21"/>
                <w:szCs w:val="21"/>
              </w:rPr>
              <w:t>℃</w:t>
            </w:r>
            <w:r>
              <w:rPr>
                <w:rFonts w:ascii="宋体" w:hAnsi="宋体"/>
                <w:color w:val="auto"/>
                <w:sz w:val="21"/>
                <w:szCs w:val="21"/>
              </w:rPr>
              <w:t>)</w:t>
            </w:r>
            <w:r>
              <w:rPr>
                <w:rFonts w:hint="eastAsia" w:ascii="宋体" w:hAnsi="宋体"/>
                <w:color w:val="auto"/>
                <w:sz w:val="21"/>
                <w:szCs w:val="21"/>
              </w:rPr>
              <w:t>：无意义</w:t>
            </w:r>
          </w:p>
        </w:tc>
        <w:tc>
          <w:tcPr>
            <w:tcW w:w="222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自燃温度(℃)：无意义</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1249" w:type="dxa"/>
            <w:gridSpan w:val="2"/>
            <w:vMerge w:val="continue"/>
            <w:vAlign w:val="center"/>
          </w:tcPr>
          <w:p>
            <w:pPr>
              <w:topLinePunct/>
              <w:spacing w:line="240" w:lineRule="auto"/>
              <w:ind w:firstLine="0" w:firstLineChars="0"/>
              <w:jc w:val="center"/>
              <w:rPr>
                <w:rFonts w:ascii="宋体" w:hAnsi="宋体"/>
                <w:color w:val="auto"/>
                <w:sz w:val="21"/>
                <w:szCs w:val="21"/>
              </w:rPr>
            </w:pPr>
          </w:p>
        </w:tc>
        <w:tc>
          <w:tcPr>
            <w:tcW w:w="772"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相对</w:t>
            </w:r>
          </w:p>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密度</w:t>
            </w:r>
          </w:p>
        </w:tc>
        <w:tc>
          <w:tcPr>
            <w:tcW w:w="1810"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空气</w:t>
            </w:r>
            <w:r>
              <w:rPr>
                <w:rFonts w:ascii="宋体" w:hAnsi="宋体"/>
                <w:color w:val="auto"/>
                <w:sz w:val="21"/>
                <w:szCs w:val="21"/>
              </w:rPr>
              <w:t>:</w:t>
            </w:r>
            <w:r>
              <w:rPr>
                <w:rFonts w:hint="eastAsia" w:ascii="宋体" w:hAnsi="宋体"/>
                <w:color w:val="auto"/>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2136"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爆炸极限(V%)：无意义</w:t>
            </w:r>
          </w:p>
        </w:tc>
        <w:tc>
          <w:tcPr>
            <w:tcW w:w="222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火灾危险性分类：戊</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1249" w:type="dxa"/>
            <w:gridSpan w:val="2"/>
            <w:vMerge w:val="continue"/>
            <w:vAlign w:val="center"/>
          </w:tcPr>
          <w:p>
            <w:pPr>
              <w:topLinePunct/>
              <w:spacing w:line="240" w:lineRule="auto"/>
              <w:ind w:firstLine="0" w:firstLineChars="0"/>
              <w:jc w:val="center"/>
              <w:rPr>
                <w:rFonts w:ascii="宋体" w:hAnsi="宋体"/>
                <w:color w:val="auto"/>
                <w:sz w:val="21"/>
                <w:szCs w:val="21"/>
              </w:rPr>
            </w:pPr>
          </w:p>
        </w:tc>
        <w:tc>
          <w:tcPr>
            <w:tcW w:w="772" w:type="dxa"/>
            <w:vMerge w:val="continue"/>
            <w:vAlign w:val="center"/>
          </w:tcPr>
          <w:p>
            <w:pPr>
              <w:topLinePunct/>
              <w:spacing w:line="240" w:lineRule="auto"/>
              <w:ind w:firstLine="0" w:firstLineChars="0"/>
              <w:jc w:val="center"/>
              <w:rPr>
                <w:rFonts w:ascii="宋体" w:hAnsi="宋体"/>
                <w:color w:val="auto"/>
                <w:sz w:val="21"/>
                <w:szCs w:val="21"/>
              </w:rPr>
            </w:pPr>
          </w:p>
        </w:tc>
        <w:tc>
          <w:tcPr>
            <w:tcW w:w="1810"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水：1</w:t>
            </w:r>
            <w:r>
              <w:rPr>
                <w:rFonts w:ascii="宋体" w:hAnsi="宋体"/>
                <w:color w:val="auto"/>
                <w:sz w:val="21"/>
                <w:szCs w:val="21"/>
              </w:rPr>
              <w:t>.</w:t>
            </w:r>
            <w:r>
              <w:rPr>
                <w:rFonts w:hint="eastAsia" w:ascii="宋体" w:hAnsi="宋体"/>
                <w:color w:val="auto"/>
                <w:sz w:val="21"/>
                <w:szCs w:val="21"/>
              </w:rPr>
              <w:t>598（-80℃，液体）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危险特性：在潮湿空气中产生白色有腐蚀性和刺激性的氟化氢烟雾。与水剧烈反应，产生硅酸及氟化氢</w:t>
            </w:r>
          </w:p>
        </w:tc>
        <w:tc>
          <w:tcPr>
            <w:tcW w:w="390" w:type="dxa"/>
            <w:vMerge w:val="restart"/>
            <w:vAlign w:val="center"/>
          </w:tcPr>
          <w:p>
            <w:pPr>
              <w:pStyle w:val="31"/>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毒性与健康危害</w:t>
            </w:r>
          </w:p>
        </w:tc>
        <w:tc>
          <w:tcPr>
            <w:tcW w:w="3831" w:type="dxa"/>
            <w:gridSpan w:val="5"/>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职业性接触毒物危害程度分级</w:t>
            </w:r>
            <w:r>
              <w:rPr>
                <w:rFonts w:ascii="宋体" w:hAnsi="宋体"/>
                <w:color w:val="auto"/>
                <w:sz w:val="21"/>
                <w:szCs w:val="21"/>
              </w:rPr>
              <w:t>:</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pStyle w:val="31"/>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毒性资料</w:t>
            </w:r>
            <w:r>
              <w:rPr>
                <w:rFonts w:ascii="宋体" w:hAnsi="宋体"/>
                <w:color w:val="auto"/>
                <w:sz w:val="21"/>
                <w:szCs w:val="21"/>
              </w:rPr>
              <w:t>:</w:t>
            </w:r>
            <w:r>
              <w:rPr>
                <w:rFonts w:hint="eastAsia" w:ascii="宋体" w:hAnsi="宋体"/>
                <w:color w:val="auto"/>
                <w:sz w:val="21"/>
                <w:szCs w:val="21"/>
              </w:rPr>
              <w:t xml:space="preserve"> LC</w:t>
            </w:r>
            <w:r>
              <w:rPr>
                <w:rFonts w:hint="eastAsia" w:ascii="宋体" w:hAnsi="宋体"/>
                <w:color w:val="auto"/>
                <w:sz w:val="21"/>
                <w:szCs w:val="21"/>
                <w:vertAlign w:val="subscript"/>
              </w:rPr>
              <w:t>50</w:t>
            </w:r>
            <w:r>
              <w:rPr>
                <w:rFonts w:hint="eastAsia" w:ascii="宋体" w:hAnsi="宋体"/>
                <w:color w:val="auto"/>
                <w:sz w:val="21"/>
                <w:szCs w:val="21"/>
              </w:rPr>
              <w:t>: 2272ppm (大鼠吸入)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燃烧</w:t>
            </w:r>
            <w:r>
              <w:rPr>
                <w:rFonts w:ascii="宋体" w:hAnsi="宋体"/>
                <w:color w:val="auto"/>
                <w:sz w:val="21"/>
                <w:szCs w:val="21"/>
              </w:rPr>
              <w:t>(</w:t>
            </w:r>
            <w:r>
              <w:rPr>
                <w:rFonts w:hint="eastAsia" w:ascii="宋体" w:hAnsi="宋体"/>
                <w:color w:val="auto"/>
                <w:sz w:val="21"/>
                <w:szCs w:val="21"/>
              </w:rPr>
              <w:t>分解</w:t>
            </w:r>
            <w:r>
              <w:rPr>
                <w:rFonts w:ascii="宋体" w:hAnsi="宋体"/>
                <w:color w:val="auto"/>
                <w:sz w:val="21"/>
                <w:szCs w:val="21"/>
              </w:rPr>
              <w:t>)</w:t>
            </w:r>
            <w:r>
              <w:rPr>
                <w:rFonts w:hint="eastAsia" w:ascii="宋体" w:hAnsi="宋体"/>
                <w:color w:val="auto"/>
                <w:sz w:val="21"/>
                <w:szCs w:val="21"/>
              </w:rPr>
              <w:t>产物：无资料</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职业接触限值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8"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禁忌物</w:t>
            </w:r>
            <w:r>
              <w:rPr>
                <w:rFonts w:ascii="宋体" w:hAnsi="宋体"/>
                <w:color w:val="auto"/>
                <w:sz w:val="21"/>
                <w:szCs w:val="21"/>
              </w:rPr>
              <w:t>:</w:t>
            </w:r>
            <w:r>
              <w:rPr>
                <w:rFonts w:hint="eastAsia" w:ascii="宋体" w:hAnsi="宋体"/>
                <w:color w:val="auto"/>
                <w:sz w:val="21"/>
                <w:szCs w:val="21"/>
              </w:rPr>
              <w:t>强酸</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MAC</w:t>
            </w:r>
            <w:r>
              <w:rPr>
                <w:rFonts w:hint="eastAsia" w:ascii="宋体" w:hAnsi="宋体"/>
                <w:color w:val="auto"/>
                <w:sz w:val="21"/>
                <w:szCs w:val="21"/>
              </w:rPr>
              <w:t>：</w:t>
            </w:r>
            <w:r>
              <w:rPr>
                <w:rFonts w:ascii="宋体" w:hAnsi="宋体"/>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避免接触的条件</w:t>
            </w:r>
            <w:r>
              <w:rPr>
                <w:rFonts w:ascii="宋体" w:hAnsi="宋体"/>
                <w:color w:val="auto"/>
                <w:sz w:val="21"/>
                <w:szCs w:val="21"/>
              </w:rPr>
              <w:t>:</w:t>
            </w:r>
            <w:r>
              <w:rPr>
                <w:rFonts w:hint="eastAsia" w:ascii="宋体" w:hAnsi="宋体"/>
                <w:color w:val="auto"/>
                <w:sz w:val="21"/>
                <w:szCs w:val="21"/>
              </w:rPr>
              <w:t>潮湿空气</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中国PC-TWA：2mg/m</w:t>
            </w:r>
            <w:r>
              <w:rPr>
                <w:rFonts w:hint="eastAsia" w:ascii="宋体" w:hAnsi="宋体"/>
                <w:color w:val="auto"/>
                <w:sz w:val="21"/>
                <w:szCs w:val="21"/>
                <w:vertAlign w:val="superscript"/>
              </w:rPr>
              <w:t>3</w:t>
            </w:r>
            <w:r>
              <w:rPr>
                <w:rFonts w:hint="eastAsia" w:ascii="宋体" w:hAnsi="宋体"/>
                <w:color w:val="auto"/>
                <w:sz w:val="21"/>
                <w:szCs w:val="21"/>
              </w:rPr>
              <w:t>[按F计]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灭火方法</w:t>
            </w:r>
            <w:r>
              <w:rPr>
                <w:rFonts w:ascii="宋体" w:hAnsi="宋体"/>
                <w:color w:val="auto"/>
                <w:sz w:val="21"/>
                <w:szCs w:val="21"/>
              </w:rPr>
              <w:t>:</w:t>
            </w:r>
            <w:r>
              <w:rPr>
                <w:rFonts w:hint="eastAsia" w:ascii="宋体" w:hAnsi="宋体"/>
                <w:color w:val="auto"/>
                <w:sz w:val="21"/>
                <w:szCs w:val="21"/>
              </w:rPr>
              <w:t>用雾状水、干粉、沙土灭火。</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美国（ACGIH）TLV-TWA：2.5mg/m</w:t>
            </w:r>
            <w:r>
              <w:rPr>
                <w:rFonts w:hint="eastAsia" w:ascii="宋体" w:hAnsi="宋体"/>
                <w:color w:val="auto"/>
                <w:sz w:val="21"/>
                <w:szCs w:val="21"/>
                <w:vertAlign w:val="superscript"/>
              </w:rPr>
              <w:t>3</w:t>
            </w:r>
            <w:r>
              <w:rPr>
                <w:rFonts w:hint="eastAsia" w:ascii="宋体" w:hAnsi="宋体"/>
                <w:color w:val="auto"/>
                <w:sz w:val="21"/>
                <w:szCs w:val="21"/>
              </w:rPr>
              <w:t>[按F计]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侵入途径及健康危害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急救措施</w:t>
            </w:r>
          </w:p>
        </w:tc>
        <w:tc>
          <w:tcPr>
            <w:tcW w:w="4357" w:type="dxa"/>
            <w:gridSpan w:val="5"/>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皮肤接触：若有皮肤冻伤，先用温水洗浴，再涂抹冻伤软膏，用消毒沙布包扎。就医。</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健康危害：吸入对呼吸道有刺激性，引起咽喉疼痛、咳嗽、灼烧感、呼吸困难、气促。</w:t>
            </w:r>
            <w:r>
              <w:rPr>
                <w:rFonts w:ascii="宋体" w:hAnsi="宋体"/>
                <w:color w:val="auto"/>
                <w:sz w:val="21"/>
                <w:szCs w:val="21"/>
              </w:rPr>
              <w:t>眼和皮肤接触引起灼伤</w:t>
            </w:r>
          </w:p>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眼睛接触：立即提起眼睑，用大量流动清水或生理盐水冲洗。就医。</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吸入：迅速脱离现场至空气新鲜处。呼吸困难时给输氧。呼吸停止时，立即进行人工呼吸。如有条件给高压氧治疗。</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食入：无资料</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防护措施</w:t>
            </w:r>
          </w:p>
        </w:tc>
        <w:tc>
          <w:tcPr>
            <w:tcW w:w="4357" w:type="dxa"/>
            <w:gridSpan w:val="5"/>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呼吸系统防护：空气中浓度超标时，佩戴过滤式防毒面具（全面罩）。紧急事态枪机或撤离时，建议佩戴空气呼吸器。</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眼睛防护：呼吸系统防护中已作防护。</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3"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皮肤和身体防护:穿隔绝式防毒服。</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手防护：带</w:t>
            </w:r>
            <w:r>
              <w:rPr>
                <w:rFonts w:ascii="宋体" w:hAnsi="宋体"/>
                <w:color w:val="auto"/>
                <w:kern w:val="0"/>
                <w:sz w:val="21"/>
                <w:szCs w:val="21"/>
              </w:rPr>
              <w:t>橡胶</w:t>
            </w:r>
            <w:r>
              <w:rPr>
                <w:rFonts w:hint="eastAsia" w:ascii="宋体" w:hAnsi="宋体"/>
                <w:color w:val="auto"/>
                <w:kern w:val="0"/>
                <w:sz w:val="21"/>
                <w:szCs w:val="21"/>
              </w:rPr>
              <w:t>手套。</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泄漏处理</w:t>
            </w:r>
          </w:p>
        </w:tc>
        <w:tc>
          <w:tcPr>
            <w:tcW w:w="4357" w:type="dxa"/>
            <w:gridSpan w:val="5"/>
            <w:vMerge w:val="restart"/>
            <w:vAlign w:val="center"/>
          </w:tcPr>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作业人员防护措施、防护装备和应急处置程序：根据气体流动的影响区域划定警戒区，无关人员从侧风、上风向撤离至安全区。建议应急处理人员穿内置正压自给式呼吸器的全封闭防化服。尽可能切断泄漏源。喷雾状水抑制蒸汽或改变蒸气云流向，避免水流接触泄漏物</w:t>
            </w:r>
          </w:p>
          <w:p>
            <w:pPr>
              <w:topLinePunct/>
              <w:spacing w:line="240" w:lineRule="auto"/>
              <w:ind w:firstLine="0" w:firstLineChars="0"/>
              <w:jc w:val="left"/>
              <w:rPr>
                <w:rFonts w:ascii="宋体" w:hAnsi="宋体"/>
                <w:color w:val="auto"/>
                <w:kern w:val="0"/>
                <w:sz w:val="21"/>
                <w:szCs w:val="21"/>
              </w:rPr>
            </w:pPr>
            <w:r>
              <w:rPr>
                <w:rFonts w:hint="eastAsia" w:ascii="宋体" w:hAnsi="宋体"/>
                <w:color w:val="auto"/>
                <w:kern w:val="0"/>
                <w:sz w:val="21"/>
                <w:szCs w:val="21"/>
              </w:rPr>
              <w:t>环境保护措施：防止气体通过下水道、通风系统或有限空间扩散</w:t>
            </w:r>
          </w:p>
          <w:p>
            <w:pPr>
              <w:topLinePunct/>
              <w:spacing w:line="240" w:lineRule="auto"/>
              <w:ind w:firstLine="0" w:firstLineChars="0"/>
              <w:jc w:val="left"/>
              <w:rPr>
                <w:rFonts w:ascii="宋体" w:hAnsi="宋体"/>
                <w:color w:val="auto"/>
                <w:sz w:val="21"/>
                <w:szCs w:val="21"/>
              </w:rPr>
            </w:pPr>
            <w:r>
              <w:rPr>
                <w:rFonts w:hint="eastAsia" w:ascii="宋体" w:hAnsi="宋体"/>
                <w:color w:val="auto"/>
                <w:kern w:val="0"/>
                <w:sz w:val="21"/>
                <w:szCs w:val="21"/>
              </w:rPr>
              <w:t>泄漏化学品的收容、清除方法及所使用的处置材料：禁止用水直接冲击泄漏物或泄露源。隔离泄漏区直至气体散尽。</w:t>
            </w:r>
          </w:p>
        </w:tc>
        <w:tc>
          <w:tcPr>
            <w:tcW w:w="390" w:type="dxa"/>
            <w:vMerge w:val="restart"/>
            <w:vAlign w:val="center"/>
          </w:tcPr>
          <w:p>
            <w:pPr>
              <w:pStyle w:val="31"/>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储存</w:t>
            </w:r>
          </w:p>
        </w:tc>
        <w:tc>
          <w:tcPr>
            <w:tcW w:w="3831" w:type="dxa"/>
            <w:gridSpan w:val="5"/>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储存于阴凉、通风的有毒气体专用库房。远离火种，热源。库房温度不超过30℃，应与酸类、食用化学类分开存放，切忌混储。储区应备有泄漏应急处理设备。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Merge w:val="continue"/>
            <w:vAlign w:val="center"/>
          </w:tcPr>
          <w:p>
            <w:pPr>
              <w:topLinePunct/>
              <w:spacing w:line="240" w:lineRule="auto"/>
              <w:ind w:firstLine="0" w:firstLineChars="0"/>
              <w:jc w:val="left"/>
              <w:rPr>
                <w:rFonts w:ascii="宋体" w:hAnsi="宋体"/>
                <w:color w:val="auto"/>
                <w:sz w:val="21"/>
                <w:szCs w:val="21"/>
              </w:rPr>
            </w:pP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3" w:hRule="atLeast"/>
          <w:jc w:val="center"/>
        </w:trPr>
        <w:tc>
          <w:tcPr>
            <w:tcW w:w="56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包装</w:t>
            </w:r>
          </w:p>
        </w:tc>
        <w:tc>
          <w:tcPr>
            <w:tcW w:w="4357" w:type="dxa"/>
            <w:gridSpan w:val="5"/>
            <w:vAlign w:val="center"/>
          </w:tcPr>
          <w:p>
            <w:pPr>
              <w:widowControl/>
              <w:spacing w:line="300" w:lineRule="exact"/>
              <w:ind w:left="0" w:leftChars="0" w:firstLine="0" w:firstLineChars="0"/>
              <w:jc w:val="left"/>
              <w:rPr>
                <w:rFonts w:ascii="宋体" w:hAnsi="宋体"/>
                <w:color w:val="auto"/>
                <w:sz w:val="21"/>
                <w:szCs w:val="21"/>
              </w:rPr>
            </w:pPr>
            <w:r>
              <w:rPr>
                <w:rFonts w:hint="eastAsia" w:ascii="宋体" w:hAnsi="宋体"/>
                <w:color w:val="auto"/>
                <w:sz w:val="21"/>
                <w:szCs w:val="21"/>
              </w:rPr>
              <w:t>危险性类别：加压气体</w:t>
            </w:r>
          </w:p>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急性毒性-吸入,类别3</w:t>
            </w:r>
          </w:p>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皮肤腐蚀/刺激,类别1</w:t>
            </w:r>
          </w:p>
          <w:p>
            <w:pPr>
              <w:topLinePunct/>
              <w:spacing w:line="240" w:lineRule="auto"/>
              <w:ind w:left="0" w:leftChars="0" w:firstLine="0" w:firstLineChars="0"/>
              <w:jc w:val="left"/>
              <w:rPr>
                <w:rFonts w:ascii="宋体" w:hAnsi="宋体"/>
                <w:color w:val="auto"/>
                <w:sz w:val="21"/>
                <w:szCs w:val="21"/>
              </w:rPr>
            </w:pPr>
            <w:r>
              <w:rPr>
                <w:rFonts w:hint="eastAsia" w:ascii="宋体" w:hAnsi="宋体"/>
                <w:color w:val="auto"/>
                <w:sz w:val="21"/>
                <w:szCs w:val="21"/>
              </w:rPr>
              <w:t>严重眼损伤/眼刺激,类别1</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7" w:type="dxa"/>
            <w:vMerge w:val="continue"/>
            <w:vAlign w:val="center"/>
          </w:tcPr>
          <w:p>
            <w:pPr>
              <w:topLinePunct/>
              <w:spacing w:line="240" w:lineRule="auto"/>
              <w:ind w:firstLine="0" w:firstLineChars="0"/>
              <w:jc w:val="center"/>
              <w:rPr>
                <w:rFonts w:ascii="宋体" w:hAnsi="宋体"/>
                <w:color w:val="auto"/>
                <w:sz w:val="21"/>
                <w:szCs w:val="21"/>
              </w:rPr>
            </w:pPr>
          </w:p>
        </w:tc>
        <w:tc>
          <w:tcPr>
            <w:tcW w:w="435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危险货物包装标志：2</w:t>
            </w:r>
          </w:p>
        </w:tc>
        <w:tc>
          <w:tcPr>
            <w:tcW w:w="390" w:type="dxa"/>
            <w:vMerge w:val="continue"/>
            <w:vAlign w:val="center"/>
          </w:tcPr>
          <w:p>
            <w:pPr>
              <w:topLinePunct/>
              <w:spacing w:line="240" w:lineRule="auto"/>
              <w:ind w:firstLine="0" w:firstLineChars="0"/>
              <w:jc w:val="center"/>
              <w:rPr>
                <w:rFonts w:ascii="宋体" w:hAnsi="宋体"/>
                <w:color w:val="auto"/>
                <w:sz w:val="21"/>
                <w:szCs w:val="21"/>
              </w:rPr>
            </w:pPr>
          </w:p>
        </w:tc>
        <w:tc>
          <w:tcPr>
            <w:tcW w:w="3831" w:type="dxa"/>
            <w:gridSpan w:val="5"/>
            <w:vMerge w:val="continue"/>
            <w:vAlign w:val="center"/>
          </w:tcPr>
          <w:p>
            <w:pPr>
              <w:topLinePunct/>
              <w:spacing w:line="240" w:lineRule="auto"/>
              <w:ind w:firstLine="0" w:firstLineChars="0"/>
              <w:jc w:val="center"/>
              <w:rPr>
                <w:rFonts w:ascii="宋体" w:hAnsi="宋体"/>
                <w:color w:val="auto"/>
                <w:sz w:val="21"/>
                <w:szCs w:val="21"/>
              </w:rPr>
            </w:pPr>
          </w:p>
        </w:tc>
      </w:tr>
    </w:tbl>
    <w:p>
      <w:pPr>
        <w:ind w:firstLine="0" w:firstLineChars="0"/>
        <w:jc w:val="center"/>
        <w:rPr>
          <w:rFonts w:ascii="宋体" w:hAnsi="宋体" w:cs="宋体"/>
          <w:b/>
          <w:color w:val="auto"/>
          <w:sz w:val="24"/>
        </w:rPr>
      </w:pPr>
      <w:r>
        <w:rPr>
          <w:b/>
          <w:snapToGrid w:val="0"/>
          <w:color w:val="auto"/>
          <w:kern w:val="0"/>
          <w:sz w:val="24"/>
        </w:rPr>
        <w:t>附</w:t>
      </w:r>
      <w:r>
        <w:rPr>
          <w:rFonts w:hint="eastAsia" w:ascii="宋体" w:hAnsi="宋体" w:cs="宋体"/>
          <w:b/>
          <w:color w:val="auto"/>
          <w:sz w:val="24"/>
        </w:rPr>
        <w:t>表2.4-</w:t>
      </w:r>
      <w:r>
        <w:rPr>
          <w:rFonts w:ascii="宋体" w:hAnsi="宋体" w:cs="宋体"/>
          <w:b/>
          <w:color w:val="auto"/>
          <w:sz w:val="24"/>
        </w:rPr>
        <w:t>4</w:t>
      </w:r>
      <w:r>
        <w:rPr>
          <w:rFonts w:hint="eastAsia" w:ascii="宋体" w:hAnsi="宋体" w:cs="宋体"/>
          <w:b/>
          <w:color w:val="auto"/>
          <w:sz w:val="24"/>
        </w:rPr>
        <w:t xml:space="preserve">  氟硅酸镁的理化性质及危险特性</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87"/>
        <w:gridCol w:w="579"/>
        <w:gridCol w:w="452"/>
        <w:gridCol w:w="889"/>
        <w:gridCol w:w="396"/>
        <w:gridCol w:w="457"/>
        <w:gridCol w:w="1604"/>
        <w:gridCol w:w="641"/>
        <w:gridCol w:w="965"/>
        <w:gridCol w:w="167"/>
        <w:gridCol w:w="605"/>
        <w:gridCol w:w="714"/>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966" w:type="dxa"/>
            <w:gridSpan w:val="2"/>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CAS</w:t>
            </w:r>
          </w:p>
        </w:tc>
        <w:tc>
          <w:tcPr>
            <w:tcW w:w="134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16949-65-8</w:t>
            </w:r>
          </w:p>
        </w:tc>
        <w:tc>
          <w:tcPr>
            <w:tcW w:w="853" w:type="dxa"/>
            <w:gridSpan w:val="2"/>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RTECS</w:t>
            </w:r>
          </w:p>
        </w:tc>
        <w:tc>
          <w:tcPr>
            <w:tcW w:w="1604" w:type="dxa"/>
            <w:vAlign w:val="center"/>
          </w:tcPr>
          <w:p>
            <w:pPr>
              <w:topLinePunct/>
              <w:spacing w:line="240" w:lineRule="auto"/>
              <w:ind w:firstLine="0" w:firstLineChars="0"/>
              <w:jc w:val="center"/>
              <w:rPr>
                <w:rFonts w:ascii="宋体" w:hAnsi="宋体"/>
                <w:color w:val="auto"/>
                <w:sz w:val="21"/>
                <w:szCs w:val="21"/>
              </w:rPr>
            </w:pPr>
          </w:p>
        </w:tc>
        <w:tc>
          <w:tcPr>
            <w:tcW w:w="641" w:type="dxa"/>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UN</w:t>
            </w:r>
          </w:p>
        </w:tc>
        <w:tc>
          <w:tcPr>
            <w:tcW w:w="1132"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2853</w:t>
            </w:r>
          </w:p>
        </w:tc>
        <w:tc>
          <w:tcPr>
            <w:tcW w:w="1319"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危序号</w:t>
            </w:r>
          </w:p>
        </w:tc>
        <w:tc>
          <w:tcPr>
            <w:tcW w:w="1216"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18"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中文名称</w:t>
            </w:r>
          </w:p>
        </w:tc>
        <w:tc>
          <w:tcPr>
            <w:tcW w:w="334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六氟硅酸镁；氟硅酸镁</w:t>
            </w:r>
          </w:p>
        </w:tc>
        <w:tc>
          <w:tcPr>
            <w:tcW w:w="641"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理化性质</w:t>
            </w:r>
          </w:p>
        </w:tc>
        <w:tc>
          <w:tcPr>
            <w:tcW w:w="3667"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外观及性状</w:t>
            </w:r>
            <w:r>
              <w:rPr>
                <w:rFonts w:ascii="宋体" w:hAnsi="宋体"/>
                <w:color w:val="auto"/>
                <w:sz w:val="21"/>
                <w:szCs w:val="21"/>
              </w:rPr>
              <w:t xml:space="preserve">: </w:t>
            </w:r>
            <w:r>
              <w:rPr>
                <w:rFonts w:hint="eastAsia" w:ascii="宋体" w:hAnsi="宋体"/>
                <w:color w:val="auto"/>
                <w:sz w:val="21"/>
                <w:szCs w:val="21"/>
              </w:rPr>
              <w:t>白色易风化无臭结晶。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18"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英文名称</w:t>
            </w:r>
          </w:p>
        </w:tc>
        <w:tc>
          <w:tcPr>
            <w:tcW w:w="3346" w:type="dxa"/>
            <w:gridSpan w:val="4"/>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M</w:t>
            </w:r>
            <w:r>
              <w:rPr>
                <w:rFonts w:hint="eastAsia" w:ascii="宋体" w:hAnsi="宋体"/>
                <w:color w:val="auto"/>
                <w:sz w:val="21"/>
                <w:szCs w:val="21"/>
              </w:rPr>
              <w:t>agnesium silicofluoride；</w:t>
            </w:r>
          </w:p>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M</w:t>
            </w:r>
            <w:r>
              <w:rPr>
                <w:rFonts w:hint="eastAsia" w:ascii="宋体" w:hAnsi="宋体"/>
                <w:color w:val="auto"/>
                <w:sz w:val="21"/>
                <w:szCs w:val="21"/>
              </w:rPr>
              <w:t>agnesium flu-orosilicate；</w:t>
            </w:r>
          </w:p>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M</w:t>
            </w:r>
            <w:r>
              <w:rPr>
                <w:rFonts w:hint="eastAsia" w:ascii="宋体" w:hAnsi="宋体"/>
                <w:color w:val="auto"/>
                <w:sz w:val="21"/>
                <w:szCs w:val="21"/>
              </w:rPr>
              <w:t>agnesium hexafluorosilicate</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965"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溶解性：溶于水、不溶于醇。</w:t>
            </w:r>
          </w:p>
        </w:tc>
        <w:tc>
          <w:tcPr>
            <w:tcW w:w="2702" w:type="dxa"/>
            <w:gridSpan w:val="4"/>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饱和蒸汽压</w:t>
            </w:r>
            <w:r>
              <w:rPr>
                <w:rFonts w:ascii="宋体" w:hAnsi="宋体"/>
                <w:color w:val="auto"/>
                <w:sz w:val="21"/>
                <w:szCs w:val="21"/>
              </w:rPr>
              <w:t>(kPa)</w:t>
            </w:r>
            <w:r>
              <w:rPr>
                <w:rFonts w:hint="eastAsia" w:ascii="宋体" w:hAnsi="宋体"/>
                <w:color w:val="auto"/>
                <w:sz w:val="21"/>
                <w:szCs w:val="21"/>
              </w:rPr>
              <w:t>：</w:t>
            </w:r>
          </w:p>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1" w:hRule="atLeast"/>
          <w:jc w:val="center"/>
        </w:trPr>
        <w:tc>
          <w:tcPr>
            <w:tcW w:w="1418" w:type="dxa"/>
            <w:gridSpan w:val="3"/>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分子式</w:t>
            </w:r>
          </w:p>
        </w:tc>
        <w:tc>
          <w:tcPr>
            <w:tcW w:w="334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MgSiF</w:t>
            </w:r>
            <w:r>
              <w:rPr>
                <w:rFonts w:hint="eastAsia" w:ascii="宋体" w:hAnsi="宋体"/>
                <w:color w:val="auto"/>
                <w:sz w:val="21"/>
                <w:szCs w:val="21"/>
                <w:vertAlign w:val="subscript"/>
              </w:rPr>
              <w:t>6</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965" w:type="dxa"/>
            <w:vMerge w:val="continue"/>
            <w:vAlign w:val="center"/>
          </w:tcPr>
          <w:p>
            <w:pPr>
              <w:topLinePunct/>
              <w:spacing w:line="240" w:lineRule="auto"/>
              <w:ind w:firstLine="0" w:firstLineChars="0"/>
              <w:jc w:val="center"/>
              <w:rPr>
                <w:rFonts w:ascii="宋体" w:hAnsi="宋体"/>
                <w:color w:val="auto"/>
                <w:sz w:val="21"/>
                <w:szCs w:val="21"/>
              </w:rPr>
            </w:pPr>
          </w:p>
        </w:tc>
        <w:tc>
          <w:tcPr>
            <w:tcW w:w="2702" w:type="dxa"/>
            <w:gridSpan w:val="4"/>
            <w:vMerge w:val="continue"/>
            <w:vAlign w:val="center"/>
          </w:tcPr>
          <w:p>
            <w:pPr>
              <w:topLinePunct/>
              <w:spacing w:line="240" w:lineRule="auto"/>
              <w:ind w:firstLine="0" w:firstLineChars="0"/>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燃烧爆炸危险性</w:t>
            </w:r>
          </w:p>
        </w:tc>
        <w:tc>
          <w:tcPr>
            <w:tcW w:w="231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闪点</w:t>
            </w:r>
            <w:r>
              <w:rPr>
                <w:rFonts w:ascii="宋体" w:hAnsi="宋体"/>
                <w:color w:val="auto"/>
                <w:sz w:val="21"/>
                <w:szCs w:val="21"/>
              </w:rPr>
              <w:t>(</w:t>
            </w:r>
            <w:r>
              <w:rPr>
                <w:rFonts w:hint="eastAsia" w:ascii="宋体" w:hAnsi="宋体"/>
                <w:color w:val="auto"/>
                <w:sz w:val="21"/>
                <w:szCs w:val="21"/>
              </w:rPr>
              <w:t>℃</w:t>
            </w:r>
            <w:r>
              <w:rPr>
                <w:rFonts w:ascii="宋体" w:hAnsi="宋体"/>
                <w:color w:val="auto"/>
                <w:sz w:val="21"/>
                <w:szCs w:val="21"/>
              </w:rPr>
              <w:t>)</w:t>
            </w:r>
            <w:r>
              <w:rPr>
                <w:rFonts w:hint="eastAsia" w:ascii="宋体" w:hAnsi="宋体"/>
                <w:color w:val="auto"/>
                <w:sz w:val="21"/>
                <w:szCs w:val="21"/>
              </w:rPr>
              <w:t>：无意义</w:t>
            </w:r>
          </w:p>
        </w:tc>
        <w:tc>
          <w:tcPr>
            <w:tcW w:w="206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自燃温度(℃)：无意义</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965" w:type="dxa"/>
            <w:vMerge w:val="continue"/>
            <w:vAlign w:val="center"/>
          </w:tcPr>
          <w:p>
            <w:pPr>
              <w:topLinePunct/>
              <w:spacing w:line="240" w:lineRule="auto"/>
              <w:ind w:firstLine="0" w:firstLineChars="0"/>
              <w:jc w:val="center"/>
              <w:rPr>
                <w:rFonts w:ascii="宋体" w:hAnsi="宋体"/>
                <w:color w:val="auto"/>
                <w:sz w:val="21"/>
                <w:szCs w:val="21"/>
              </w:rPr>
            </w:pPr>
          </w:p>
        </w:tc>
        <w:tc>
          <w:tcPr>
            <w:tcW w:w="772" w:type="dxa"/>
            <w:gridSpan w:val="2"/>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相对</w:t>
            </w:r>
          </w:p>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密度</w:t>
            </w:r>
          </w:p>
        </w:tc>
        <w:tc>
          <w:tcPr>
            <w:tcW w:w="1930"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空气</w:t>
            </w:r>
            <w:r>
              <w:rPr>
                <w:rFonts w:ascii="宋体" w:hAnsi="宋体"/>
                <w:color w:val="auto"/>
                <w:sz w:val="21"/>
                <w:szCs w:val="21"/>
              </w:rPr>
              <w:t>:</w:t>
            </w:r>
            <w:r>
              <w:rPr>
                <w:rFonts w:hint="eastAsia" w:ascii="宋体" w:hAnsi="宋体"/>
                <w:color w:val="auto"/>
                <w:sz w:val="21"/>
                <w:szCs w:val="21"/>
              </w:rPr>
              <w:t xml:space="preserve"> 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2316" w:type="dxa"/>
            <w:gridSpan w:val="4"/>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 xml:space="preserve">爆炸极限(V%)： 无意义          </w:t>
            </w:r>
          </w:p>
        </w:tc>
        <w:tc>
          <w:tcPr>
            <w:tcW w:w="2061"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火灾危险性分类：戊</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965" w:type="dxa"/>
            <w:vMerge w:val="continue"/>
            <w:vAlign w:val="center"/>
          </w:tcPr>
          <w:p>
            <w:pPr>
              <w:topLinePunct/>
              <w:spacing w:line="240" w:lineRule="auto"/>
              <w:ind w:firstLine="0" w:firstLineChars="0"/>
              <w:jc w:val="center"/>
              <w:rPr>
                <w:rFonts w:ascii="宋体" w:hAnsi="宋体"/>
                <w:color w:val="auto"/>
                <w:sz w:val="21"/>
                <w:szCs w:val="21"/>
              </w:rPr>
            </w:pPr>
          </w:p>
        </w:tc>
        <w:tc>
          <w:tcPr>
            <w:tcW w:w="772" w:type="dxa"/>
            <w:gridSpan w:val="2"/>
            <w:vMerge w:val="continue"/>
            <w:vAlign w:val="center"/>
          </w:tcPr>
          <w:p>
            <w:pPr>
              <w:topLinePunct/>
              <w:spacing w:line="240" w:lineRule="auto"/>
              <w:ind w:firstLine="0" w:firstLineChars="0"/>
              <w:jc w:val="center"/>
              <w:rPr>
                <w:rFonts w:ascii="宋体" w:hAnsi="宋体"/>
                <w:color w:val="auto"/>
                <w:sz w:val="21"/>
                <w:szCs w:val="21"/>
              </w:rPr>
            </w:pPr>
          </w:p>
        </w:tc>
        <w:tc>
          <w:tcPr>
            <w:tcW w:w="1930" w:type="dxa"/>
            <w:gridSpan w:val="2"/>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水：1.788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危险特性：与酸反应，放出有毒的腐蚀性烟气</w:t>
            </w:r>
          </w:p>
        </w:tc>
        <w:tc>
          <w:tcPr>
            <w:tcW w:w="641" w:type="dxa"/>
            <w:vMerge w:val="restart"/>
            <w:vAlign w:val="center"/>
          </w:tcPr>
          <w:p>
            <w:pPr>
              <w:pStyle w:val="31"/>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毒性与健康危害</w:t>
            </w:r>
          </w:p>
        </w:tc>
        <w:tc>
          <w:tcPr>
            <w:tcW w:w="3667"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职业性接触毒物危害程度分级</w:t>
            </w:r>
            <w:r>
              <w:rPr>
                <w:rFonts w:ascii="宋体" w:hAnsi="宋体"/>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Merge w:val="continue"/>
            <w:vAlign w:val="center"/>
          </w:tcPr>
          <w:p>
            <w:pPr>
              <w:topLinePunct/>
              <w:spacing w:line="240" w:lineRule="auto"/>
              <w:ind w:firstLine="0" w:firstLineChars="0"/>
              <w:jc w:val="left"/>
              <w:rPr>
                <w:rFonts w:ascii="宋体" w:hAnsi="宋体"/>
                <w:color w:val="auto"/>
                <w:sz w:val="21"/>
                <w:szCs w:val="21"/>
              </w:rPr>
            </w:pP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毒性资料</w:t>
            </w:r>
            <w:r>
              <w:rPr>
                <w:rFonts w:ascii="宋体" w:hAnsi="宋体"/>
                <w:color w:val="auto"/>
                <w:sz w:val="21"/>
                <w:szCs w:val="21"/>
              </w:rPr>
              <w:t>:</w:t>
            </w:r>
            <w:r>
              <w:rPr>
                <w:rFonts w:hint="eastAsia"/>
                <w:color w:val="auto"/>
              </w:rPr>
              <w:t xml:space="preserve"> </w:t>
            </w:r>
            <w:r>
              <w:rPr>
                <w:rFonts w:hint="eastAsia" w:ascii="宋体" w:hAnsi="宋体"/>
                <w:color w:val="auto"/>
                <w:sz w:val="21"/>
                <w:szCs w:val="21"/>
              </w:rPr>
              <w:t>LD</w:t>
            </w:r>
            <w:r>
              <w:rPr>
                <w:rFonts w:hint="eastAsia" w:ascii="宋体" w:hAnsi="宋体"/>
                <w:color w:val="auto"/>
                <w:sz w:val="21"/>
                <w:szCs w:val="21"/>
                <w:vertAlign w:val="subscript"/>
              </w:rPr>
              <w:t>50</w:t>
            </w:r>
            <w:r>
              <w:rPr>
                <w:rFonts w:hint="eastAsia" w:ascii="宋体" w:hAnsi="宋体"/>
                <w:color w:val="auto"/>
                <w:sz w:val="21"/>
                <w:szCs w:val="21"/>
              </w:rPr>
              <w:t>: 200 (豚鼠经口)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燃烧</w:t>
            </w:r>
            <w:r>
              <w:rPr>
                <w:rFonts w:ascii="宋体" w:hAnsi="宋体"/>
                <w:color w:val="auto"/>
                <w:sz w:val="21"/>
                <w:szCs w:val="21"/>
              </w:rPr>
              <w:t>(</w:t>
            </w:r>
            <w:r>
              <w:rPr>
                <w:rFonts w:hint="eastAsia" w:ascii="宋体" w:hAnsi="宋体"/>
                <w:color w:val="auto"/>
                <w:sz w:val="21"/>
                <w:szCs w:val="21"/>
              </w:rPr>
              <w:t>分解</w:t>
            </w:r>
            <w:r>
              <w:rPr>
                <w:rFonts w:ascii="宋体" w:hAnsi="宋体"/>
                <w:color w:val="auto"/>
                <w:sz w:val="21"/>
                <w:szCs w:val="21"/>
              </w:rPr>
              <w:t>)</w:t>
            </w:r>
            <w:r>
              <w:rPr>
                <w:rFonts w:hint="eastAsia" w:ascii="宋体" w:hAnsi="宋体"/>
                <w:color w:val="auto"/>
                <w:sz w:val="21"/>
                <w:szCs w:val="21"/>
              </w:rPr>
              <w:t>产物：氧化镁</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职业接触限值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8"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禁忌物</w:t>
            </w:r>
            <w:r>
              <w:rPr>
                <w:rFonts w:ascii="宋体" w:hAnsi="宋体"/>
                <w:color w:val="auto"/>
                <w:sz w:val="21"/>
                <w:szCs w:val="21"/>
              </w:rPr>
              <w:t>:</w:t>
            </w:r>
            <w:r>
              <w:rPr>
                <w:rFonts w:hint="eastAsia" w:ascii="宋体" w:hAnsi="宋体"/>
                <w:color w:val="auto"/>
                <w:sz w:val="21"/>
                <w:szCs w:val="21"/>
              </w:rPr>
              <w:t>强酸</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ascii="宋体" w:hAnsi="宋体"/>
                <w:color w:val="auto"/>
                <w:sz w:val="21"/>
                <w:szCs w:val="21"/>
              </w:rPr>
              <w:t>MAC</w:t>
            </w:r>
            <w:r>
              <w:rPr>
                <w:rFonts w:hint="eastAsia" w:ascii="宋体" w:hAnsi="宋体"/>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避免接触的条件</w:t>
            </w:r>
            <w:r>
              <w:rPr>
                <w:rFonts w:ascii="宋体" w:hAnsi="宋体"/>
                <w:color w:val="auto"/>
                <w:sz w:val="21"/>
                <w:szCs w:val="21"/>
              </w:rPr>
              <w:t>:</w:t>
            </w:r>
            <w:r>
              <w:rPr>
                <w:rFonts w:hint="eastAsia" w:ascii="宋体" w:hAnsi="宋体"/>
                <w:color w:val="auto"/>
                <w:sz w:val="21"/>
                <w:szCs w:val="21"/>
              </w:rPr>
              <w:t>无资料</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PC-</w:t>
            </w:r>
            <w:r>
              <w:rPr>
                <w:rFonts w:ascii="宋体" w:hAnsi="宋体"/>
                <w:color w:val="auto"/>
                <w:sz w:val="21"/>
                <w:szCs w:val="21"/>
              </w:rPr>
              <w:t>TWA</w:t>
            </w:r>
            <w:r>
              <w:rPr>
                <w:rFonts w:hint="eastAsia" w:ascii="宋体" w:hAnsi="宋体"/>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灭火剂</w:t>
            </w:r>
            <w:r>
              <w:rPr>
                <w:rFonts w:ascii="宋体" w:hAnsi="宋体"/>
                <w:color w:val="auto"/>
                <w:sz w:val="21"/>
                <w:szCs w:val="21"/>
              </w:rPr>
              <w:t>:</w:t>
            </w:r>
            <w:r>
              <w:rPr>
                <w:rFonts w:hint="eastAsia"/>
                <w:color w:val="auto"/>
              </w:rPr>
              <w:t xml:space="preserve"> </w:t>
            </w:r>
            <w:r>
              <w:rPr>
                <w:rFonts w:hint="eastAsia" w:ascii="宋体" w:hAnsi="宋体"/>
                <w:color w:val="auto"/>
                <w:sz w:val="21"/>
                <w:szCs w:val="21"/>
              </w:rPr>
              <w:t xml:space="preserve">不燃，根据者火原因选择适当灭火剂灭火 </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PC-</w:t>
            </w:r>
            <w:r>
              <w:rPr>
                <w:rFonts w:ascii="宋体" w:hAnsi="宋体"/>
                <w:color w:val="auto"/>
                <w:sz w:val="21"/>
                <w:szCs w:val="21"/>
              </w:rPr>
              <w:t>STEL</w:t>
            </w:r>
            <w:r>
              <w:rPr>
                <w:rFonts w:hint="eastAsia" w:ascii="宋体" w:hAnsi="宋体"/>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急救措施</w:t>
            </w: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皮肤接触：立即脱去污染的衣着，用流动消水彻底冲先。就医</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侵入途径及健康危害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眼睛接触：立即分开眼脸，用流动清水或生理盐水彻底冲洗。就医</w:t>
            </w:r>
            <w:r>
              <w:rPr>
                <w:rFonts w:ascii="宋体" w:hAnsi="宋体"/>
                <w:color w:val="auto"/>
                <w:sz w:val="21"/>
                <w:szCs w:val="21"/>
              </w:rPr>
              <w:t xml:space="preserve"> </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吸入：迅速脱高现场至空气新鲜处。保持呼吸道通畅。如吸困难。给输氧。呼吸、心跳停止，立即进行心肿复苏术。就医。</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健康危害：吸入或误服会中毒。与酸反应，放出刺激性和腐蚀性氟化氢和四氟化硅气体。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食入：引适量温水，催吐(仅限于清醒者)。就医</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防护措施</w:t>
            </w:r>
          </w:p>
        </w:tc>
        <w:tc>
          <w:tcPr>
            <w:tcW w:w="4377" w:type="dxa"/>
            <w:gridSpan w:val="6"/>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呼吸系统防护：空气中粉尘浓度超标时。 建议佩做过滤式防尘呼吸器。紧急事态抢救或撤离时，应该佩戴空气呼吸器。</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Merge w:val="continue"/>
            <w:vAlign w:val="center"/>
          </w:tcPr>
          <w:p>
            <w:pPr>
              <w:topLinePunct/>
              <w:spacing w:line="240" w:lineRule="auto"/>
              <w:ind w:firstLine="0" w:firstLineChars="0"/>
              <w:jc w:val="left"/>
              <w:rPr>
                <w:rFonts w:ascii="宋体" w:hAnsi="宋体"/>
                <w:color w:val="auto"/>
                <w:sz w:val="21"/>
                <w:szCs w:val="21"/>
              </w:rPr>
            </w:pP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眼睛防护：戴化学安全防护眼镜。</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2"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Align w:val="center"/>
          </w:tcPr>
          <w:p>
            <w:pPr>
              <w:topLinePunct/>
              <w:spacing w:line="240" w:lineRule="auto"/>
              <w:ind w:firstLine="420"/>
              <w:jc w:val="left"/>
              <w:rPr>
                <w:rFonts w:ascii="宋体" w:hAnsi="宋体"/>
                <w:color w:val="auto"/>
                <w:sz w:val="21"/>
                <w:szCs w:val="21"/>
              </w:rPr>
            </w:pPr>
            <w:r>
              <w:rPr>
                <w:rFonts w:hint="eastAsia" w:ascii="宋体" w:hAnsi="宋体"/>
                <w:color w:val="auto"/>
                <w:sz w:val="21"/>
                <w:szCs w:val="21"/>
              </w:rPr>
              <w:t>皮肤和身体防护</w:t>
            </w:r>
            <w:r>
              <w:rPr>
                <w:rFonts w:ascii="宋体" w:hAnsi="宋体"/>
                <w:color w:val="auto"/>
                <w:sz w:val="21"/>
                <w:szCs w:val="21"/>
              </w:rPr>
              <w:t>:</w:t>
            </w:r>
            <w:r>
              <w:rPr>
                <w:rFonts w:hint="eastAsia" w:ascii="宋体" w:hAnsi="宋体"/>
                <w:color w:val="auto"/>
                <w:sz w:val="21"/>
                <w:szCs w:val="21"/>
              </w:rPr>
              <w:t>穿防毒物渗透工作服手防护戴橡胶手套。</w:t>
            </w:r>
          </w:p>
        </w:tc>
        <w:tc>
          <w:tcPr>
            <w:tcW w:w="641"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储存</w:t>
            </w:r>
          </w:p>
        </w:tc>
        <w:tc>
          <w:tcPr>
            <w:tcW w:w="3667" w:type="dxa"/>
            <w:gridSpan w:val="5"/>
            <w:vMerge w:val="restart"/>
            <w:vAlign w:val="center"/>
          </w:tcPr>
          <w:p>
            <w:pPr>
              <w:topLinePunct/>
              <w:spacing w:line="240" w:lineRule="auto"/>
              <w:ind w:firstLine="0" w:firstLineChars="0"/>
              <w:jc w:val="left"/>
              <w:rPr>
                <w:rFonts w:ascii="宋体" w:hAnsi="宋体"/>
                <w:color w:val="auto"/>
                <w:sz w:val="21"/>
                <w:szCs w:val="21"/>
              </w:rPr>
            </w:pPr>
            <w:r>
              <w:rPr>
                <w:rFonts w:ascii="宋体" w:hAnsi="宋体"/>
                <w:color w:val="auto"/>
                <w:sz w:val="21"/>
                <w:szCs w:val="21"/>
              </w:rPr>
              <w:t>储存于阴凉</w:t>
            </w:r>
            <w:r>
              <w:rPr>
                <w:rFonts w:hint="eastAsia" w:ascii="宋体" w:hAnsi="宋体"/>
                <w:color w:val="auto"/>
                <w:sz w:val="21"/>
                <w:szCs w:val="21"/>
              </w:rPr>
              <w:t>、</w:t>
            </w:r>
            <w:r>
              <w:rPr>
                <w:rFonts w:ascii="宋体" w:hAnsi="宋体"/>
                <w:color w:val="auto"/>
                <w:sz w:val="21"/>
                <w:szCs w:val="21"/>
              </w:rPr>
              <w:t>通风的库房</w:t>
            </w:r>
            <w:r>
              <w:rPr>
                <w:rFonts w:hint="eastAsia" w:ascii="宋体" w:hAnsi="宋体"/>
                <w:color w:val="auto"/>
                <w:sz w:val="21"/>
                <w:szCs w:val="21"/>
              </w:rPr>
              <w:t>。</w:t>
            </w:r>
            <w:r>
              <w:rPr>
                <w:rFonts w:ascii="宋体" w:hAnsi="宋体"/>
                <w:color w:val="auto"/>
                <w:sz w:val="21"/>
                <w:szCs w:val="21"/>
              </w:rPr>
              <w:t>远离火种</w:t>
            </w:r>
            <w:r>
              <w:rPr>
                <w:rFonts w:hint="eastAsia" w:ascii="宋体" w:hAnsi="宋体"/>
                <w:color w:val="auto"/>
                <w:sz w:val="21"/>
                <w:szCs w:val="21"/>
              </w:rPr>
              <w:t>、</w:t>
            </w:r>
            <w:r>
              <w:rPr>
                <w:rFonts w:ascii="宋体" w:hAnsi="宋体"/>
                <w:color w:val="auto"/>
                <w:sz w:val="21"/>
                <w:szCs w:val="21"/>
              </w:rPr>
              <w:t>热源</w:t>
            </w:r>
            <w:r>
              <w:rPr>
                <w:rFonts w:hint="eastAsia" w:ascii="宋体" w:hAnsi="宋体"/>
                <w:color w:val="auto"/>
                <w:sz w:val="21"/>
                <w:szCs w:val="21"/>
              </w:rPr>
              <w:t>。</w:t>
            </w:r>
            <w:r>
              <w:rPr>
                <w:rFonts w:ascii="宋体" w:hAnsi="宋体"/>
                <w:color w:val="auto"/>
                <w:sz w:val="21"/>
                <w:szCs w:val="21"/>
              </w:rPr>
              <w:t>防止阳光直射</w:t>
            </w:r>
            <w:r>
              <w:rPr>
                <w:rFonts w:hint="eastAsia" w:ascii="宋体" w:hAnsi="宋体"/>
                <w:color w:val="auto"/>
                <w:sz w:val="21"/>
                <w:szCs w:val="21"/>
              </w:rPr>
              <w:t>。</w:t>
            </w:r>
            <w:r>
              <w:rPr>
                <w:rFonts w:ascii="宋体" w:hAnsi="宋体"/>
                <w:color w:val="auto"/>
                <w:sz w:val="21"/>
                <w:szCs w:val="21"/>
              </w:rPr>
              <w:t>包装密封</w:t>
            </w:r>
            <w:r>
              <w:rPr>
                <w:rFonts w:hint="eastAsia" w:ascii="宋体" w:hAnsi="宋体"/>
                <w:color w:val="auto"/>
                <w:sz w:val="21"/>
                <w:szCs w:val="21"/>
              </w:rPr>
              <w:t>。</w:t>
            </w:r>
            <w:r>
              <w:rPr>
                <w:rFonts w:ascii="宋体" w:hAnsi="宋体"/>
                <w:color w:val="auto"/>
                <w:sz w:val="21"/>
                <w:szCs w:val="21"/>
              </w:rPr>
              <w:t>应与酸类</w:t>
            </w:r>
            <w:r>
              <w:rPr>
                <w:rFonts w:hint="eastAsia" w:ascii="宋体" w:hAnsi="宋体"/>
                <w:color w:val="auto"/>
                <w:sz w:val="21"/>
                <w:szCs w:val="21"/>
              </w:rPr>
              <w:t>、</w:t>
            </w:r>
            <w:r>
              <w:rPr>
                <w:rFonts w:ascii="宋体" w:hAnsi="宋体"/>
                <w:color w:val="auto"/>
                <w:sz w:val="21"/>
                <w:szCs w:val="21"/>
              </w:rPr>
              <w:t>食用化学品分开存放</w:t>
            </w:r>
            <w:r>
              <w:rPr>
                <w:rFonts w:hint="eastAsia" w:ascii="宋体" w:hAnsi="宋体"/>
                <w:color w:val="auto"/>
                <w:sz w:val="21"/>
                <w:szCs w:val="21"/>
              </w:rPr>
              <w:t>，</w:t>
            </w:r>
            <w:r>
              <w:rPr>
                <w:rFonts w:ascii="宋体" w:hAnsi="宋体"/>
                <w:color w:val="auto"/>
                <w:sz w:val="21"/>
                <w:szCs w:val="21"/>
              </w:rPr>
              <w:t>切记混储</w:t>
            </w:r>
            <w:r>
              <w:rPr>
                <w:rFonts w:hint="eastAsia" w:ascii="宋体" w:hAnsi="宋体"/>
                <w:color w:val="auto"/>
                <w:sz w:val="21"/>
                <w:szCs w:val="21"/>
              </w:rPr>
              <w:t>。</w:t>
            </w:r>
            <w:r>
              <w:rPr>
                <w:rFonts w:ascii="宋体" w:hAnsi="宋体"/>
                <w:color w:val="auto"/>
                <w:sz w:val="21"/>
                <w:szCs w:val="21"/>
              </w:rPr>
              <w:t>储区应备有合适的材料收容物</w:t>
            </w:r>
            <w:r>
              <w:rPr>
                <w:rFonts w:hint="eastAsia" w:ascii="宋体" w:hAnsi="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泄漏处理</w:t>
            </w:r>
          </w:p>
        </w:tc>
        <w:tc>
          <w:tcPr>
            <w:tcW w:w="4377" w:type="dxa"/>
            <w:gridSpan w:val="6"/>
            <w:vMerge w:val="restart"/>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作业人员防护措施、防护装备和应急处置程序：隔离泄漏污染区。限制出入。建议应急处理人员戴防尘口軍，穿防毒服。穿上适当的防护服前严禁接触破裂的容器和泄漏物。尽可能切断泄漏源。</w:t>
            </w:r>
          </w:p>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环境保护措施：用塑料布覆泄漏物，减少飞散</w:t>
            </w:r>
          </w:p>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泄漏化学品的收容、清除方法及所使用的处置材料：勿使水进人包装容器内。用洁净的铲子收集泄漏物，置于干净、干燥、盖子较松的容器中，将容器移离泄漏区。</w:t>
            </w: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Merge w:val="continue"/>
            <w:vAlign w:val="center"/>
          </w:tcPr>
          <w:p>
            <w:pPr>
              <w:topLinePunct/>
              <w:spacing w:line="240" w:lineRule="auto"/>
              <w:ind w:firstLine="0" w:firstLineChars="0"/>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Merge w:val="continue"/>
            <w:vAlign w:val="center"/>
          </w:tcPr>
          <w:p>
            <w:pPr>
              <w:topLinePunct/>
              <w:spacing w:line="240" w:lineRule="auto"/>
              <w:ind w:firstLine="0" w:firstLineChars="0"/>
              <w:jc w:val="center"/>
              <w:rPr>
                <w:rFonts w:ascii="宋体" w:hAnsi="宋体"/>
                <w:color w:val="auto"/>
                <w:sz w:val="21"/>
                <w:szCs w:val="21"/>
              </w:rPr>
            </w:pPr>
          </w:p>
        </w:tc>
        <w:tc>
          <w:tcPr>
            <w:tcW w:w="641" w:type="dxa"/>
            <w:vMerge w:val="restar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包装</w:t>
            </w: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危险性类别：急性毒性-经口,类别3*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7" w:type="dxa"/>
            <w:vMerge w:val="continue"/>
            <w:vAlign w:val="center"/>
          </w:tcPr>
          <w:p>
            <w:pPr>
              <w:topLinePunct/>
              <w:spacing w:line="240" w:lineRule="auto"/>
              <w:ind w:firstLine="0" w:firstLineChars="0"/>
              <w:jc w:val="center"/>
              <w:rPr>
                <w:rFonts w:ascii="宋体" w:hAnsi="宋体"/>
                <w:color w:val="auto"/>
                <w:sz w:val="21"/>
                <w:szCs w:val="21"/>
              </w:rPr>
            </w:pPr>
          </w:p>
        </w:tc>
        <w:tc>
          <w:tcPr>
            <w:tcW w:w="4377" w:type="dxa"/>
            <w:gridSpan w:val="6"/>
            <w:vMerge w:val="continue"/>
            <w:vAlign w:val="center"/>
          </w:tcPr>
          <w:p>
            <w:pPr>
              <w:topLinePunct/>
              <w:spacing w:line="240" w:lineRule="auto"/>
              <w:ind w:firstLine="0" w:firstLineChars="0"/>
              <w:jc w:val="center"/>
              <w:rPr>
                <w:rFonts w:ascii="宋体" w:hAnsi="宋体"/>
                <w:color w:val="auto"/>
                <w:sz w:val="21"/>
                <w:szCs w:val="21"/>
              </w:rPr>
            </w:pPr>
          </w:p>
        </w:tc>
        <w:tc>
          <w:tcPr>
            <w:tcW w:w="641" w:type="dxa"/>
            <w:vMerge w:val="continue"/>
            <w:vAlign w:val="center"/>
          </w:tcPr>
          <w:p>
            <w:pPr>
              <w:topLinePunct/>
              <w:spacing w:line="240" w:lineRule="auto"/>
              <w:ind w:firstLine="0" w:firstLineChars="0"/>
              <w:jc w:val="center"/>
              <w:rPr>
                <w:rFonts w:ascii="宋体" w:hAnsi="宋体"/>
                <w:color w:val="auto"/>
                <w:sz w:val="21"/>
                <w:szCs w:val="21"/>
              </w:rPr>
            </w:pPr>
          </w:p>
        </w:tc>
        <w:tc>
          <w:tcPr>
            <w:tcW w:w="3667" w:type="dxa"/>
            <w:gridSpan w:val="5"/>
            <w:vAlign w:val="center"/>
          </w:tcPr>
          <w:p>
            <w:pPr>
              <w:topLinePunct/>
              <w:spacing w:line="240" w:lineRule="auto"/>
              <w:ind w:firstLine="0" w:firstLineChars="0"/>
              <w:jc w:val="left"/>
              <w:rPr>
                <w:rFonts w:ascii="宋体" w:hAnsi="宋体"/>
                <w:color w:val="auto"/>
                <w:sz w:val="21"/>
                <w:szCs w:val="21"/>
              </w:rPr>
            </w:pPr>
            <w:r>
              <w:rPr>
                <w:rFonts w:hint="eastAsia" w:ascii="宋体" w:hAnsi="宋体"/>
                <w:color w:val="auto"/>
                <w:sz w:val="21"/>
                <w:szCs w:val="21"/>
              </w:rPr>
              <w:t>危险货物包装标志：6</w:t>
            </w:r>
          </w:p>
        </w:tc>
      </w:tr>
    </w:tbl>
    <w:p>
      <w:pPr>
        <w:pStyle w:val="89"/>
        <w:ind w:firstLine="562" w:firstLineChars="200"/>
        <w:jc w:val="both"/>
        <w:outlineLvl w:val="2"/>
      </w:pPr>
      <w:bookmarkStart w:id="2174" w:name="_Toc10834"/>
      <w:bookmarkStart w:id="2175" w:name="_Toc10035"/>
      <w:bookmarkStart w:id="2176" w:name="_Toc12259"/>
      <w:bookmarkStart w:id="2177" w:name="_Toc15058"/>
      <w:r>
        <w:rPr>
          <w:rFonts w:hint="eastAsia"/>
        </w:rPr>
        <w:t>2.4.3 主要危险、有害物质的特性</w:t>
      </w:r>
      <w:bookmarkEnd w:id="2154"/>
      <w:bookmarkEnd w:id="2155"/>
      <w:bookmarkEnd w:id="2156"/>
      <w:bookmarkEnd w:id="2157"/>
      <w:bookmarkEnd w:id="2158"/>
      <w:bookmarkEnd w:id="2159"/>
      <w:bookmarkEnd w:id="2160"/>
      <w:bookmarkEnd w:id="2161"/>
      <w:bookmarkEnd w:id="2162"/>
      <w:bookmarkEnd w:id="2163"/>
      <w:bookmarkEnd w:id="2164"/>
      <w:bookmarkEnd w:id="2174"/>
      <w:bookmarkEnd w:id="2175"/>
      <w:bookmarkEnd w:id="2176"/>
      <w:bookmarkEnd w:id="2177"/>
    </w:p>
    <w:p>
      <w:pPr>
        <w:pStyle w:val="89"/>
        <w:rPr>
          <w:sz w:val="24"/>
          <w:szCs w:val="24"/>
        </w:rPr>
      </w:pPr>
      <w:r>
        <w:rPr>
          <w:rFonts w:hint="eastAsia"/>
          <w:sz w:val="24"/>
          <w:szCs w:val="24"/>
        </w:rPr>
        <w:t>附表2.4-7 危险化学品的</w:t>
      </w:r>
      <w:r>
        <w:rPr>
          <w:rFonts w:hint="eastAsia" w:ascii="宋体" w:hAnsi="宋体" w:cs="宋体"/>
          <w:color w:val="auto"/>
          <w:kern w:val="0"/>
          <w:sz w:val="24"/>
          <w:szCs w:val="24"/>
        </w:rPr>
        <w:t>分类</w:t>
      </w:r>
      <w:r>
        <w:rPr>
          <w:rFonts w:hint="eastAsia"/>
          <w:sz w:val="24"/>
          <w:szCs w:val="24"/>
        </w:rPr>
        <w:t>数据</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527"/>
        <w:gridCol w:w="1119"/>
        <w:gridCol w:w="3000"/>
        <w:gridCol w:w="2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27" w:type="dxa"/>
            <w:shd w:val="clear" w:color="auto" w:fill="auto"/>
            <w:vAlign w:val="center"/>
          </w:tcPr>
          <w:p>
            <w:pPr>
              <w:widowControl/>
              <w:adjustRightInd/>
              <w:snapToGrid/>
              <w:spacing w:line="240" w:lineRule="auto"/>
              <w:ind w:left="0" w:leftChars="0" w:firstLine="0" w:firstLineChars="0"/>
              <w:jc w:val="center"/>
              <w:rPr>
                <w:rFonts w:ascii="宋体" w:hAnsi="宋体" w:cs="宋体"/>
                <w:b/>
                <w:color w:val="auto"/>
                <w:kern w:val="0"/>
                <w:sz w:val="21"/>
                <w:szCs w:val="21"/>
              </w:rPr>
            </w:pPr>
            <w:r>
              <w:rPr>
                <w:rFonts w:hint="eastAsia" w:ascii="宋体" w:hAnsi="宋体" w:cs="宋体"/>
                <w:b/>
                <w:color w:val="auto"/>
                <w:kern w:val="0"/>
                <w:sz w:val="21"/>
                <w:szCs w:val="21"/>
              </w:rPr>
              <w:t>序</w:t>
            </w:r>
            <w:r>
              <w:rPr>
                <w:rFonts w:hint="eastAsia" w:ascii="宋体" w:hAnsi="宋体" w:cs="宋体"/>
                <w:b/>
                <w:color w:val="auto"/>
                <w:kern w:val="0"/>
                <w:sz w:val="21"/>
                <w:szCs w:val="21"/>
                <w:lang w:val="en-US" w:eastAsia="zh-CN"/>
              </w:rPr>
              <w:t xml:space="preserve">  </w:t>
            </w:r>
            <w:r>
              <w:rPr>
                <w:rFonts w:hint="eastAsia" w:ascii="宋体" w:hAnsi="宋体" w:cs="宋体"/>
                <w:b/>
                <w:color w:val="auto"/>
                <w:kern w:val="0"/>
                <w:sz w:val="21"/>
                <w:szCs w:val="21"/>
              </w:rPr>
              <w:t>号</w:t>
            </w:r>
          </w:p>
        </w:tc>
        <w:tc>
          <w:tcPr>
            <w:tcW w:w="1527"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1</w:t>
            </w:r>
          </w:p>
        </w:tc>
        <w:tc>
          <w:tcPr>
            <w:tcW w:w="1119"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2</w:t>
            </w:r>
          </w:p>
        </w:tc>
        <w:tc>
          <w:tcPr>
            <w:tcW w:w="3000"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3</w:t>
            </w:r>
          </w:p>
        </w:tc>
        <w:tc>
          <w:tcPr>
            <w:tcW w:w="2299"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27" w:type="dxa"/>
            <w:shd w:val="clear" w:color="auto" w:fill="auto"/>
            <w:vAlign w:val="center"/>
          </w:tcPr>
          <w:p>
            <w:pPr>
              <w:widowControl/>
              <w:adjustRightInd/>
              <w:snapToGrid/>
              <w:spacing w:line="240" w:lineRule="auto"/>
              <w:ind w:firstLine="0" w:firstLineChars="0"/>
              <w:jc w:val="center"/>
              <w:rPr>
                <w:rFonts w:ascii="宋体" w:hAnsi="宋体" w:cs="宋体"/>
                <w:b/>
                <w:color w:val="auto"/>
                <w:kern w:val="0"/>
                <w:sz w:val="21"/>
                <w:szCs w:val="21"/>
              </w:rPr>
            </w:pPr>
            <w:r>
              <w:rPr>
                <w:rFonts w:hint="eastAsia" w:ascii="宋体" w:hAnsi="宋体" w:cs="宋体"/>
                <w:b/>
                <w:color w:val="auto"/>
                <w:kern w:val="0"/>
                <w:sz w:val="21"/>
                <w:szCs w:val="21"/>
              </w:rPr>
              <w:t>物料名称</w:t>
            </w:r>
          </w:p>
        </w:tc>
        <w:tc>
          <w:tcPr>
            <w:tcW w:w="1527"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氟硅酸</w:t>
            </w:r>
          </w:p>
        </w:tc>
        <w:tc>
          <w:tcPr>
            <w:tcW w:w="1119"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氟硅酸镁</w:t>
            </w:r>
          </w:p>
        </w:tc>
        <w:tc>
          <w:tcPr>
            <w:tcW w:w="3000"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氟化氢</w:t>
            </w:r>
          </w:p>
        </w:tc>
        <w:tc>
          <w:tcPr>
            <w:tcW w:w="2299"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四氟化硅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127" w:type="dxa"/>
            <w:shd w:val="clear" w:color="auto" w:fill="auto"/>
            <w:vAlign w:val="center"/>
          </w:tcPr>
          <w:p>
            <w:pPr>
              <w:widowControl/>
              <w:adjustRightInd/>
              <w:snapToGrid/>
              <w:spacing w:line="240" w:lineRule="auto"/>
              <w:ind w:firstLine="0" w:firstLineChars="0"/>
              <w:jc w:val="center"/>
              <w:rPr>
                <w:rFonts w:ascii="宋体" w:hAnsi="宋体" w:cs="宋体"/>
                <w:b/>
                <w:color w:val="auto"/>
                <w:kern w:val="0"/>
                <w:sz w:val="21"/>
                <w:szCs w:val="21"/>
              </w:rPr>
            </w:pPr>
            <w:r>
              <w:rPr>
                <w:rFonts w:hint="eastAsia" w:ascii="宋体" w:hAnsi="宋体" w:cs="宋体"/>
                <w:b/>
                <w:color w:val="auto"/>
                <w:kern w:val="0"/>
                <w:sz w:val="21"/>
                <w:szCs w:val="21"/>
              </w:rPr>
              <w:t>危险化学品分类</w:t>
            </w:r>
          </w:p>
        </w:tc>
        <w:tc>
          <w:tcPr>
            <w:tcW w:w="1527" w:type="dxa"/>
            <w:shd w:val="clear" w:color="auto" w:fill="auto"/>
            <w:vAlign w:val="center"/>
          </w:tcPr>
          <w:p>
            <w:pPr>
              <w:widowControl/>
              <w:spacing w:line="32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皮肤腐蚀</w:t>
            </w:r>
            <w:r>
              <w:rPr>
                <w:rFonts w:ascii="宋体" w:hAnsi="宋体" w:cs="宋体"/>
                <w:color w:val="auto"/>
                <w:kern w:val="0"/>
                <w:sz w:val="20"/>
                <w:szCs w:val="20"/>
              </w:rPr>
              <w:t>/</w:t>
            </w:r>
            <w:r>
              <w:rPr>
                <w:rFonts w:hint="eastAsia" w:ascii="宋体" w:hAnsi="宋体" w:cs="宋体"/>
                <w:color w:val="auto"/>
                <w:kern w:val="0"/>
                <w:sz w:val="20"/>
                <w:szCs w:val="20"/>
              </w:rPr>
              <w:t>刺激，类别</w:t>
            </w:r>
            <w:r>
              <w:rPr>
                <w:rFonts w:ascii="宋体" w:hAnsi="宋体" w:cs="宋体"/>
                <w:color w:val="auto"/>
                <w:kern w:val="0"/>
                <w:sz w:val="20"/>
                <w:szCs w:val="20"/>
              </w:rPr>
              <w:t>1B</w:t>
            </w:r>
          </w:p>
          <w:p>
            <w:pPr>
              <w:widowControl/>
              <w:adjustRightInd/>
              <w:snapToGrid/>
              <w:spacing w:line="240" w:lineRule="auto"/>
              <w:ind w:firstLine="0" w:firstLineChars="0"/>
              <w:rPr>
                <w:rFonts w:ascii="宋体" w:hAnsi="宋体" w:cs="宋体"/>
                <w:color w:val="auto"/>
                <w:kern w:val="0"/>
                <w:sz w:val="21"/>
                <w:szCs w:val="21"/>
              </w:rPr>
            </w:pPr>
            <w:r>
              <w:rPr>
                <w:rFonts w:hint="eastAsia" w:ascii="宋体" w:hAnsi="宋体" w:cs="宋体"/>
                <w:color w:val="auto"/>
                <w:kern w:val="0"/>
                <w:sz w:val="20"/>
                <w:szCs w:val="20"/>
              </w:rPr>
              <w:t>严重眼损伤</w:t>
            </w:r>
            <w:r>
              <w:rPr>
                <w:rFonts w:ascii="宋体" w:hAnsi="宋体" w:cs="宋体"/>
                <w:color w:val="auto"/>
                <w:kern w:val="0"/>
                <w:sz w:val="20"/>
                <w:szCs w:val="20"/>
              </w:rPr>
              <w:t>/</w:t>
            </w:r>
            <w:r>
              <w:rPr>
                <w:rFonts w:hint="eastAsia" w:ascii="宋体" w:hAnsi="宋体" w:cs="宋体"/>
                <w:color w:val="auto"/>
                <w:kern w:val="0"/>
                <w:sz w:val="20"/>
                <w:szCs w:val="20"/>
              </w:rPr>
              <w:t>眼刺激，类别</w:t>
            </w:r>
            <w:r>
              <w:rPr>
                <w:rFonts w:ascii="宋体" w:hAnsi="宋体" w:cs="宋体"/>
                <w:color w:val="auto"/>
                <w:kern w:val="0"/>
                <w:sz w:val="20"/>
                <w:szCs w:val="20"/>
              </w:rPr>
              <w:t>1</w:t>
            </w:r>
          </w:p>
        </w:tc>
        <w:tc>
          <w:tcPr>
            <w:tcW w:w="1119" w:type="dxa"/>
            <w:shd w:val="clear" w:color="auto" w:fill="auto"/>
            <w:vAlign w:val="center"/>
          </w:tcPr>
          <w:p>
            <w:pPr>
              <w:widowControl/>
              <w:adjustRightInd/>
              <w:snapToGrid/>
              <w:spacing w:line="240" w:lineRule="auto"/>
              <w:ind w:firstLine="0" w:firstLineChars="0"/>
              <w:jc w:val="center"/>
              <w:rPr>
                <w:color w:val="auto"/>
                <w:kern w:val="0"/>
                <w:sz w:val="21"/>
                <w:szCs w:val="21"/>
              </w:rPr>
            </w:pPr>
            <w:r>
              <w:rPr>
                <w:rFonts w:hint="eastAsia" w:ascii="宋体" w:hAnsi="宋体" w:cs="宋体"/>
                <w:color w:val="auto"/>
                <w:kern w:val="0"/>
                <w:sz w:val="21"/>
                <w:szCs w:val="21"/>
              </w:rPr>
              <w:t>急性毒性</w:t>
            </w:r>
            <w:r>
              <w:rPr>
                <w:color w:val="auto"/>
                <w:kern w:val="0"/>
                <w:sz w:val="21"/>
                <w:szCs w:val="21"/>
              </w:rPr>
              <w:t>-</w:t>
            </w:r>
            <w:r>
              <w:rPr>
                <w:rFonts w:hint="eastAsia" w:ascii="宋体" w:hAnsi="宋体" w:cs="宋体"/>
                <w:color w:val="auto"/>
                <w:kern w:val="0"/>
                <w:sz w:val="21"/>
                <w:szCs w:val="21"/>
              </w:rPr>
              <w:t>经口，类别</w:t>
            </w:r>
            <w:r>
              <w:rPr>
                <w:color w:val="auto"/>
                <w:kern w:val="0"/>
                <w:sz w:val="21"/>
                <w:szCs w:val="21"/>
              </w:rPr>
              <w:t>3</w:t>
            </w:r>
          </w:p>
        </w:tc>
        <w:tc>
          <w:tcPr>
            <w:tcW w:w="3000" w:type="dxa"/>
            <w:shd w:val="clear" w:color="auto" w:fill="auto"/>
            <w:vAlign w:val="center"/>
          </w:tcPr>
          <w:p>
            <w:pPr>
              <w:widowControl/>
              <w:adjustRightInd/>
              <w:snapToGrid/>
              <w:spacing w:line="30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经口，类别</w:t>
            </w:r>
            <w:r>
              <w:rPr>
                <w:rFonts w:ascii="宋体" w:hAnsi="宋体" w:cs="宋体"/>
                <w:color w:val="auto"/>
                <w:kern w:val="0"/>
                <w:sz w:val="20"/>
                <w:szCs w:val="20"/>
              </w:rPr>
              <w:t>2</w:t>
            </w:r>
            <w:r>
              <w:rPr>
                <w:rFonts w:hint="eastAsia" w:ascii="宋体" w:hAnsi="宋体" w:cs="宋体"/>
                <w:color w:val="auto"/>
                <w:kern w:val="0"/>
                <w:sz w:val="20"/>
                <w:szCs w:val="20"/>
              </w:rPr>
              <w:t>；</w:t>
            </w:r>
          </w:p>
          <w:p>
            <w:pPr>
              <w:widowControl/>
              <w:adjustRightInd/>
              <w:snapToGrid/>
              <w:spacing w:line="30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经皮，类别</w:t>
            </w:r>
            <w:r>
              <w:rPr>
                <w:rFonts w:ascii="宋体" w:hAnsi="宋体" w:cs="宋体"/>
                <w:color w:val="auto"/>
                <w:kern w:val="0"/>
                <w:sz w:val="20"/>
                <w:szCs w:val="20"/>
              </w:rPr>
              <w:t>1</w:t>
            </w:r>
            <w:r>
              <w:rPr>
                <w:rFonts w:hint="eastAsia" w:ascii="宋体" w:hAnsi="宋体" w:cs="宋体"/>
                <w:color w:val="auto"/>
                <w:kern w:val="0"/>
                <w:sz w:val="20"/>
                <w:szCs w:val="20"/>
              </w:rPr>
              <w:t>；</w:t>
            </w:r>
          </w:p>
          <w:p>
            <w:pPr>
              <w:widowControl/>
              <w:adjustRightInd/>
              <w:snapToGrid/>
              <w:spacing w:line="30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吸入，类别</w:t>
            </w:r>
            <w:r>
              <w:rPr>
                <w:rFonts w:ascii="宋体" w:hAnsi="宋体" w:cs="宋体"/>
                <w:color w:val="auto"/>
                <w:kern w:val="0"/>
                <w:sz w:val="20"/>
                <w:szCs w:val="20"/>
              </w:rPr>
              <w:t>2</w:t>
            </w:r>
            <w:r>
              <w:rPr>
                <w:rFonts w:hint="eastAsia" w:ascii="宋体" w:hAnsi="宋体" w:cs="宋体"/>
                <w:color w:val="auto"/>
                <w:kern w:val="0"/>
                <w:sz w:val="20"/>
                <w:szCs w:val="20"/>
              </w:rPr>
              <w:t>；</w:t>
            </w:r>
          </w:p>
          <w:p>
            <w:pPr>
              <w:widowControl/>
              <w:adjustRightInd/>
              <w:snapToGrid/>
              <w:spacing w:line="30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皮肤腐蚀</w:t>
            </w:r>
            <w:r>
              <w:rPr>
                <w:rFonts w:ascii="宋体" w:hAnsi="宋体" w:cs="宋体"/>
                <w:color w:val="auto"/>
                <w:kern w:val="0"/>
                <w:sz w:val="20"/>
                <w:szCs w:val="20"/>
              </w:rPr>
              <w:t>/</w:t>
            </w:r>
            <w:r>
              <w:rPr>
                <w:rFonts w:hint="eastAsia" w:ascii="宋体" w:hAnsi="宋体" w:cs="宋体"/>
                <w:color w:val="auto"/>
                <w:kern w:val="0"/>
                <w:sz w:val="20"/>
                <w:szCs w:val="20"/>
              </w:rPr>
              <w:t>刺激，类别</w:t>
            </w:r>
            <w:r>
              <w:rPr>
                <w:rFonts w:ascii="宋体" w:hAnsi="宋体" w:cs="宋体"/>
                <w:color w:val="auto"/>
                <w:kern w:val="0"/>
                <w:sz w:val="20"/>
                <w:szCs w:val="20"/>
              </w:rPr>
              <w:t>1A</w:t>
            </w:r>
            <w:r>
              <w:rPr>
                <w:rFonts w:hint="eastAsia" w:ascii="宋体" w:hAnsi="宋体" w:cs="宋体"/>
                <w:color w:val="auto"/>
                <w:kern w:val="0"/>
                <w:sz w:val="20"/>
                <w:szCs w:val="20"/>
              </w:rPr>
              <w:t>；</w:t>
            </w:r>
          </w:p>
          <w:p>
            <w:pPr>
              <w:widowControl/>
              <w:adjustRightInd/>
              <w:snapToGrid/>
              <w:spacing w:line="240" w:lineRule="auto"/>
              <w:ind w:firstLine="0" w:firstLineChars="0"/>
              <w:jc w:val="left"/>
              <w:rPr>
                <w:rFonts w:ascii="宋体" w:hAnsi="宋体" w:cs="宋体"/>
                <w:color w:val="auto"/>
                <w:kern w:val="0"/>
                <w:sz w:val="20"/>
                <w:szCs w:val="20"/>
              </w:rPr>
            </w:pPr>
            <w:r>
              <w:rPr>
                <w:rFonts w:hint="eastAsia" w:ascii="宋体" w:hAnsi="宋体" w:cs="宋体"/>
                <w:color w:val="auto"/>
                <w:kern w:val="0"/>
                <w:sz w:val="20"/>
                <w:szCs w:val="20"/>
              </w:rPr>
              <w:t>严重眼损伤</w:t>
            </w:r>
            <w:r>
              <w:rPr>
                <w:rFonts w:ascii="宋体" w:hAnsi="宋体" w:cs="宋体"/>
                <w:color w:val="auto"/>
                <w:kern w:val="0"/>
                <w:sz w:val="20"/>
                <w:szCs w:val="20"/>
              </w:rPr>
              <w:t>/</w:t>
            </w:r>
            <w:r>
              <w:rPr>
                <w:rFonts w:hint="eastAsia" w:ascii="宋体" w:hAnsi="宋体" w:cs="宋体"/>
                <w:color w:val="auto"/>
                <w:kern w:val="0"/>
                <w:sz w:val="20"/>
                <w:szCs w:val="20"/>
              </w:rPr>
              <w:t>眼刺激，类别</w:t>
            </w:r>
            <w:r>
              <w:rPr>
                <w:rFonts w:ascii="宋体" w:hAnsi="宋体" w:cs="宋体"/>
                <w:color w:val="auto"/>
                <w:kern w:val="0"/>
                <w:sz w:val="20"/>
                <w:szCs w:val="20"/>
              </w:rPr>
              <w:t>1</w:t>
            </w:r>
            <w:r>
              <w:rPr>
                <w:rFonts w:hint="eastAsia" w:ascii="宋体" w:hAnsi="宋体" w:cs="宋体"/>
                <w:color w:val="auto"/>
                <w:kern w:val="0"/>
                <w:sz w:val="20"/>
                <w:szCs w:val="20"/>
              </w:rPr>
              <w:t>；</w:t>
            </w:r>
          </w:p>
          <w:p>
            <w:pPr>
              <w:widowControl/>
              <w:adjustRightInd/>
              <w:snapToGrid/>
              <w:spacing w:line="240" w:lineRule="auto"/>
              <w:ind w:firstLine="0" w:firstLineChars="0"/>
              <w:jc w:val="left"/>
              <w:rPr>
                <w:color w:val="auto"/>
                <w:kern w:val="0"/>
                <w:sz w:val="21"/>
                <w:szCs w:val="21"/>
              </w:rPr>
            </w:pPr>
            <w:r>
              <w:rPr>
                <w:rFonts w:hint="eastAsia" w:ascii="宋体" w:hAnsi="宋体" w:cs="宋体"/>
                <w:color w:val="auto"/>
                <w:kern w:val="0"/>
                <w:sz w:val="20"/>
                <w:szCs w:val="20"/>
              </w:rPr>
              <w:t>危险水生环境-急性危害，类别3</w:t>
            </w:r>
          </w:p>
        </w:tc>
        <w:tc>
          <w:tcPr>
            <w:tcW w:w="2299" w:type="dxa"/>
            <w:shd w:val="clear" w:color="auto" w:fill="auto"/>
            <w:vAlign w:val="center"/>
          </w:tcPr>
          <w:p>
            <w:pPr>
              <w:widowControl/>
              <w:adjustRightInd/>
              <w:snapToGrid/>
              <w:spacing w:line="310" w:lineRule="exact"/>
              <w:ind w:firstLine="0" w:firstLineChars="0"/>
              <w:rPr>
                <w:rFonts w:ascii="宋体" w:hAnsi="Calibri" w:cs="宋体"/>
                <w:color w:val="auto"/>
                <w:kern w:val="0"/>
                <w:sz w:val="20"/>
                <w:szCs w:val="20"/>
              </w:rPr>
            </w:pPr>
            <w:r>
              <w:rPr>
                <w:rFonts w:hint="eastAsia" w:ascii="宋体" w:hAnsi="宋体" w:cs="宋体"/>
                <w:color w:val="auto"/>
                <w:kern w:val="0"/>
                <w:sz w:val="20"/>
                <w:szCs w:val="20"/>
              </w:rPr>
              <w:t>加压气体</w:t>
            </w:r>
          </w:p>
          <w:p>
            <w:pPr>
              <w:widowControl/>
              <w:adjustRightInd/>
              <w:snapToGrid/>
              <w:spacing w:line="31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急性毒性</w:t>
            </w:r>
            <w:r>
              <w:rPr>
                <w:rFonts w:ascii="宋体" w:hAnsi="宋体" w:cs="宋体"/>
                <w:color w:val="auto"/>
                <w:kern w:val="0"/>
                <w:sz w:val="20"/>
                <w:szCs w:val="20"/>
              </w:rPr>
              <w:t>-</w:t>
            </w:r>
            <w:r>
              <w:rPr>
                <w:rFonts w:hint="eastAsia" w:ascii="宋体" w:hAnsi="宋体" w:cs="宋体"/>
                <w:color w:val="auto"/>
                <w:kern w:val="0"/>
                <w:sz w:val="20"/>
                <w:szCs w:val="20"/>
              </w:rPr>
              <w:t>吸入</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3</w:t>
            </w:r>
            <w:r>
              <w:rPr>
                <w:rFonts w:hint="eastAsia" w:ascii="宋体" w:hAnsi="宋体" w:cs="宋体"/>
                <w:color w:val="auto"/>
                <w:kern w:val="0"/>
                <w:sz w:val="20"/>
                <w:szCs w:val="20"/>
              </w:rPr>
              <w:t>；</w:t>
            </w:r>
          </w:p>
          <w:p>
            <w:pPr>
              <w:widowControl/>
              <w:adjustRightInd/>
              <w:snapToGrid/>
              <w:spacing w:line="31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皮肤腐蚀</w:t>
            </w:r>
            <w:r>
              <w:rPr>
                <w:rFonts w:ascii="宋体" w:hAnsi="宋体" w:cs="宋体"/>
                <w:color w:val="auto"/>
                <w:kern w:val="0"/>
                <w:sz w:val="20"/>
                <w:szCs w:val="20"/>
              </w:rPr>
              <w:t>/</w:t>
            </w:r>
            <w:r>
              <w:rPr>
                <w:rFonts w:hint="eastAsia" w:ascii="宋体" w:hAnsi="宋体" w:cs="宋体"/>
                <w:color w:val="auto"/>
                <w:kern w:val="0"/>
                <w:sz w:val="20"/>
                <w:szCs w:val="20"/>
              </w:rPr>
              <w:t>刺激</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1</w:t>
            </w:r>
            <w:r>
              <w:rPr>
                <w:rFonts w:hint="eastAsia" w:ascii="宋体" w:hAnsi="宋体" w:cs="宋体"/>
                <w:color w:val="auto"/>
                <w:kern w:val="0"/>
                <w:sz w:val="20"/>
                <w:szCs w:val="20"/>
              </w:rPr>
              <w:t>；</w:t>
            </w:r>
          </w:p>
          <w:p>
            <w:pPr>
              <w:widowControl/>
              <w:adjustRightInd/>
              <w:snapToGrid/>
              <w:spacing w:line="310" w:lineRule="exact"/>
              <w:ind w:firstLine="0" w:firstLineChars="0"/>
              <w:rPr>
                <w:rFonts w:ascii="宋体" w:hAnsi="宋体" w:cs="宋体"/>
                <w:color w:val="auto"/>
                <w:kern w:val="0"/>
                <w:sz w:val="20"/>
                <w:szCs w:val="20"/>
              </w:rPr>
            </w:pPr>
            <w:r>
              <w:rPr>
                <w:rFonts w:hint="eastAsia" w:ascii="宋体" w:hAnsi="宋体" w:cs="宋体"/>
                <w:color w:val="auto"/>
                <w:kern w:val="0"/>
                <w:sz w:val="20"/>
                <w:szCs w:val="20"/>
              </w:rPr>
              <w:t>严重眼损伤</w:t>
            </w:r>
            <w:r>
              <w:rPr>
                <w:rFonts w:ascii="宋体" w:hAnsi="宋体" w:cs="宋体"/>
                <w:color w:val="auto"/>
                <w:kern w:val="0"/>
                <w:sz w:val="20"/>
                <w:szCs w:val="20"/>
              </w:rPr>
              <w:t>/</w:t>
            </w:r>
            <w:r>
              <w:rPr>
                <w:rFonts w:hint="eastAsia" w:ascii="宋体" w:hAnsi="宋体" w:cs="宋体"/>
                <w:color w:val="auto"/>
                <w:kern w:val="0"/>
                <w:sz w:val="20"/>
                <w:szCs w:val="20"/>
              </w:rPr>
              <w:t>眼刺激</w:t>
            </w:r>
            <w:r>
              <w:rPr>
                <w:rFonts w:ascii="宋体" w:hAnsi="宋体" w:cs="宋体"/>
                <w:color w:val="auto"/>
                <w:kern w:val="0"/>
                <w:sz w:val="20"/>
                <w:szCs w:val="20"/>
              </w:rPr>
              <w:t>,</w:t>
            </w:r>
            <w:r>
              <w:rPr>
                <w:rFonts w:hint="eastAsia" w:ascii="宋体" w:hAnsi="宋体" w:cs="宋体"/>
                <w:color w:val="auto"/>
                <w:kern w:val="0"/>
                <w:sz w:val="20"/>
                <w:szCs w:val="20"/>
              </w:rPr>
              <w:t>类别</w:t>
            </w:r>
            <w:r>
              <w:rPr>
                <w:rFonts w:ascii="宋体" w:hAnsi="宋体" w:cs="宋体"/>
                <w:color w:val="auto"/>
                <w:kern w:val="0"/>
                <w:sz w:val="20"/>
                <w:szCs w:val="20"/>
              </w:rPr>
              <w:t>1</w:t>
            </w:r>
          </w:p>
        </w:tc>
      </w:tr>
    </w:tbl>
    <w:p>
      <w:pPr>
        <w:pStyle w:val="2"/>
        <w:ind w:firstLine="0" w:firstLineChars="0"/>
      </w:pPr>
      <w:bookmarkStart w:id="2178" w:name="_Toc24275"/>
      <w:bookmarkStart w:id="2179" w:name="_Toc16454"/>
      <w:bookmarkStart w:id="2180" w:name="_Toc118297988"/>
      <w:bookmarkStart w:id="2181" w:name="_Toc16351"/>
      <w:bookmarkStart w:id="2182" w:name="_Toc21364"/>
      <w:bookmarkStart w:id="2183" w:name="_Toc20284"/>
      <w:bookmarkStart w:id="2184" w:name="_Toc15157"/>
      <w:bookmarkStart w:id="2185" w:name="_Toc117866077"/>
      <w:bookmarkStart w:id="2186" w:name="_Toc22850"/>
      <w:bookmarkStart w:id="2187" w:name="_Toc118131130"/>
    </w:p>
    <w:p>
      <w:pPr>
        <w:pStyle w:val="5"/>
        <w:ind w:firstLine="482"/>
        <w:rPr>
          <w:rFonts w:hint="eastAsia"/>
          <w:sz w:val="24"/>
          <w:szCs w:val="24"/>
        </w:rPr>
      </w:pPr>
      <w:bookmarkStart w:id="2188" w:name="_Toc32633"/>
      <w:bookmarkStart w:id="2189" w:name="_Toc17703"/>
      <w:bookmarkStart w:id="2190" w:name="_Toc10160"/>
      <w:bookmarkStart w:id="2191" w:name="_Toc30740"/>
      <w:r>
        <w:rPr>
          <w:rFonts w:hint="eastAsia"/>
          <w:sz w:val="24"/>
          <w:szCs w:val="24"/>
        </w:rPr>
        <w:t>2.4.4 主要危险、有害物质的存在部位</w:t>
      </w:r>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p>
    <w:tbl>
      <w:tblPr>
        <w:tblStyle w:val="36"/>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0"/>
        <w:gridCol w:w="1020"/>
        <w:gridCol w:w="3402"/>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trPr>
        <w:tc>
          <w:tcPr>
            <w:tcW w:w="510" w:type="dxa"/>
            <w:vAlign w:val="center"/>
          </w:tcPr>
          <w:p>
            <w:pPr>
              <w:spacing w:line="240" w:lineRule="auto"/>
              <w:ind w:firstLine="0" w:firstLineChars="0"/>
              <w:jc w:val="center"/>
              <w:rPr>
                <w:rFonts w:ascii="宋体" w:hAnsi="宋体"/>
                <w:b/>
                <w:bCs/>
                <w:color w:val="auto"/>
                <w:kern w:val="0"/>
                <w:sz w:val="21"/>
                <w:szCs w:val="21"/>
              </w:rPr>
            </w:pPr>
            <w:r>
              <w:rPr>
                <w:rFonts w:hint="eastAsia" w:ascii="宋体" w:hAnsi="宋体"/>
                <w:b/>
                <w:bCs/>
                <w:color w:val="auto"/>
                <w:kern w:val="0"/>
                <w:sz w:val="21"/>
                <w:szCs w:val="21"/>
              </w:rPr>
              <w:t>序号</w:t>
            </w:r>
          </w:p>
        </w:tc>
        <w:tc>
          <w:tcPr>
            <w:tcW w:w="1020" w:type="dxa"/>
            <w:vAlign w:val="center"/>
          </w:tcPr>
          <w:p>
            <w:pPr>
              <w:spacing w:line="240" w:lineRule="auto"/>
              <w:ind w:firstLine="0" w:firstLineChars="0"/>
              <w:jc w:val="center"/>
              <w:rPr>
                <w:rFonts w:hint="eastAsia" w:ascii="宋体" w:hAnsi="宋体" w:eastAsia="宋体"/>
                <w:b/>
                <w:bCs/>
                <w:color w:val="auto"/>
                <w:kern w:val="0"/>
                <w:sz w:val="21"/>
                <w:szCs w:val="21"/>
                <w:lang w:eastAsia="zh-CN"/>
              </w:rPr>
            </w:pPr>
            <w:r>
              <w:rPr>
                <w:rFonts w:hint="eastAsia" w:ascii="宋体" w:hAnsi="宋体"/>
                <w:b/>
                <w:bCs/>
                <w:color w:val="auto"/>
                <w:kern w:val="0"/>
                <w:sz w:val="21"/>
                <w:szCs w:val="21"/>
                <w:lang w:eastAsia="zh-CN"/>
              </w:rPr>
              <w:t>危险和有害因素</w:t>
            </w:r>
          </w:p>
        </w:tc>
        <w:tc>
          <w:tcPr>
            <w:tcW w:w="3402" w:type="dxa"/>
            <w:vAlign w:val="center"/>
          </w:tcPr>
          <w:p>
            <w:pPr>
              <w:spacing w:line="240" w:lineRule="auto"/>
              <w:ind w:firstLine="0" w:firstLineChars="0"/>
              <w:jc w:val="center"/>
              <w:rPr>
                <w:rFonts w:ascii="宋体" w:hAnsi="宋体"/>
                <w:b/>
                <w:bCs/>
                <w:color w:val="auto"/>
                <w:kern w:val="0"/>
                <w:sz w:val="21"/>
                <w:szCs w:val="21"/>
              </w:rPr>
            </w:pPr>
            <w:r>
              <w:rPr>
                <w:rFonts w:hint="eastAsia" w:ascii="宋体" w:hAnsi="宋体"/>
                <w:b/>
                <w:bCs/>
                <w:color w:val="auto"/>
                <w:kern w:val="0"/>
                <w:sz w:val="21"/>
                <w:szCs w:val="21"/>
              </w:rPr>
              <w:t>存</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在</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的</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部</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位</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与</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作</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业</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场</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所</w:t>
            </w:r>
          </w:p>
        </w:tc>
        <w:tc>
          <w:tcPr>
            <w:tcW w:w="4139" w:type="dxa"/>
            <w:vAlign w:val="center"/>
          </w:tcPr>
          <w:p>
            <w:pPr>
              <w:spacing w:line="240" w:lineRule="auto"/>
              <w:ind w:firstLine="0" w:firstLineChars="0"/>
              <w:jc w:val="center"/>
              <w:rPr>
                <w:rFonts w:ascii="宋体" w:hAnsi="宋体"/>
                <w:b/>
                <w:bCs/>
                <w:color w:val="auto"/>
                <w:kern w:val="0"/>
                <w:sz w:val="21"/>
                <w:szCs w:val="21"/>
              </w:rPr>
            </w:pPr>
            <w:r>
              <w:rPr>
                <w:rFonts w:hint="eastAsia" w:ascii="宋体" w:hAnsi="宋体"/>
                <w:b/>
                <w:bCs/>
                <w:color w:val="auto"/>
                <w:kern w:val="0"/>
                <w:sz w:val="21"/>
                <w:szCs w:val="21"/>
              </w:rPr>
              <w:t>产</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生</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原</w:t>
            </w:r>
            <w:r>
              <w:rPr>
                <w:rFonts w:hint="eastAsia" w:ascii="宋体" w:hAnsi="宋体"/>
                <w:b/>
                <w:bCs/>
                <w:color w:val="auto"/>
                <w:kern w:val="0"/>
                <w:sz w:val="21"/>
                <w:szCs w:val="21"/>
                <w:lang w:val="en-US" w:eastAsia="zh-CN"/>
              </w:rPr>
              <w:t xml:space="preserve">  </w:t>
            </w:r>
            <w:r>
              <w:rPr>
                <w:rFonts w:hint="eastAsia" w:ascii="宋体" w:hAnsi="宋体"/>
                <w:b/>
                <w:bCs/>
                <w:color w:val="auto"/>
                <w:kern w:val="0"/>
                <w:sz w:val="21"/>
                <w:szCs w:val="21"/>
              </w:rPr>
              <w:t>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"_Toc484008310" </w:instrText>
            </w:r>
            <w:r>
              <w:fldChar w:fldCharType="separate"/>
            </w:r>
            <w:r>
              <w:rPr>
                <w:rFonts w:hint="eastAsia" w:ascii="宋体" w:hAnsi="宋体"/>
                <w:color w:val="auto"/>
                <w:kern w:val="0"/>
                <w:sz w:val="21"/>
                <w:szCs w:val="21"/>
              </w:rPr>
              <w:t>中毒窒息</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氟硅酸镁、氟硅酸生产过程</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进入设备内和各种池内检修清理时，未有效置换，未佩戴个人防护用品，未采取有效的安全措施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2</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"_Toc484008311" </w:instrText>
            </w:r>
            <w:r>
              <w:fldChar w:fldCharType="separate"/>
            </w:r>
            <w:r>
              <w:rPr>
                <w:rFonts w:hint="eastAsia" w:ascii="宋体" w:hAnsi="宋体"/>
                <w:color w:val="auto"/>
                <w:kern w:val="0"/>
                <w:sz w:val="21"/>
                <w:szCs w:val="21"/>
              </w:rPr>
              <w:t>机械伤害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泵、搅拌器、压缩机等的转动部件或传动轴</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运转设备的转动部件或传动轴未设防护罩或防护罩失效；未停机、断电进行检修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3</w:t>
            </w:r>
          </w:p>
        </w:tc>
        <w:tc>
          <w:tcPr>
            <w:tcW w:w="102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触电</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配电箱、电机等电气设备及线路</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电气设备或线路绝缘破坏；电气设备未接地或接地失效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4</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"_Toc484008317" </w:instrText>
            </w:r>
            <w:r>
              <w:fldChar w:fldCharType="separate"/>
            </w:r>
            <w:r>
              <w:rPr>
                <w:rFonts w:hint="eastAsia" w:ascii="宋体" w:hAnsi="宋体"/>
                <w:color w:val="auto"/>
                <w:kern w:val="0"/>
                <w:sz w:val="21"/>
                <w:szCs w:val="21"/>
              </w:rPr>
              <w:t>火灾</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配电室、电气及线路</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电气线路短路着火；违章违规操作；</w:t>
            </w:r>
            <w:r>
              <w:rPr>
                <w:rFonts w:ascii="宋体" w:hAnsi="宋体"/>
                <w:color w:val="auto"/>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8"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5</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"_Toc484008308" </w:instrText>
            </w:r>
            <w:r>
              <w:fldChar w:fldCharType="separate"/>
            </w:r>
            <w:r>
              <w:rPr>
                <w:rFonts w:hint="eastAsia" w:ascii="宋体" w:hAnsi="宋体"/>
                <w:color w:val="auto"/>
                <w:kern w:val="0"/>
                <w:sz w:val="21"/>
                <w:szCs w:val="21"/>
              </w:rPr>
              <w:t>灼烫</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氟硅酸镁、氟硅酸生产过程</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氟硅酸泄漏；违章操作、未穿戴防护用品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6</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"_Toc484008309" </w:instrText>
            </w:r>
            <w:r>
              <w:fldChar w:fldCharType="separate"/>
            </w:r>
            <w:r>
              <w:rPr>
                <w:rFonts w:hint="eastAsia" w:ascii="宋体" w:hAnsi="宋体"/>
                <w:color w:val="auto"/>
                <w:kern w:val="0"/>
                <w:sz w:val="21"/>
                <w:szCs w:val="21"/>
              </w:rPr>
              <w:t>粉尘危害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氧化镁卸车、搬运或加料</w:t>
            </w:r>
            <w:r>
              <w:rPr>
                <w:rFonts w:ascii="宋体" w:hAnsi="宋体"/>
                <w:color w:val="auto"/>
                <w:kern w:val="0"/>
                <w:sz w:val="21"/>
                <w:szCs w:val="21"/>
              </w:rPr>
              <w:t xml:space="preserve"> </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未穿戴防护用品；违章违规操作；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7</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"_Toc484008307" </w:instrText>
            </w:r>
            <w:r>
              <w:fldChar w:fldCharType="separate"/>
            </w:r>
            <w:r>
              <w:rPr>
                <w:rFonts w:hint="eastAsia" w:ascii="宋体" w:hAnsi="宋体"/>
                <w:color w:val="auto"/>
                <w:kern w:val="0"/>
                <w:sz w:val="21"/>
                <w:szCs w:val="21"/>
              </w:rPr>
              <w:t>噪声</w:t>
            </w:r>
            <w:r>
              <w:rPr>
                <w:rFonts w:hint="eastAsia" w:ascii="宋体" w:hAnsi="宋体"/>
                <w:color w:val="auto"/>
                <w:kern w:val="0"/>
                <w:sz w:val="21"/>
                <w:szCs w:val="21"/>
              </w:rPr>
              <w:fldChar w:fldCharType="end"/>
            </w:r>
            <w:r>
              <w:rPr>
                <w:rFonts w:ascii="宋体" w:hAnsi="宋体"/>
                <w:color w:val="auto"/>
                <w:kern w:val="0"/>
                <w:sz w:val="21"/>
                <w:szCs w:val="21"/>
              </w:rPr>
              <w:t>危害</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压滤机、泵、运输车辆等</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未及时进行设备检修、维护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8</w:t>
            </w:r>
          </w:p>
        </w:tc>
        <w:tc>
          <w:tcPr>
            <w:tcW w:w="102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淹溺</w:t>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厂区氟硅酸池、母液池、清液池、事故池可能出现淹溺事故</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池子周围未设置防护栏杆，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9</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"_Toc484008316" </w:instrText>
            </w:r>
            <w:r>
              <w:fldChar w:fldCharType="separate"/>
            </w:r>
            <w:r>
              <w:rPr>
                <w:rFonts w:hint="eastAsia" w:ascii="宋体" w:hAnsi="宋体"/>
                <w:color w:val="auto"/>
                <w:kern w:val="0"/>
                <w:sz w:val="21"/>
                <w:szCs w:val="21"/>
              </w:rPr>
              <w:t>有限空间作业伤害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进入氟硅酸池、母液池、清液池、蒸发器、高位槽等设备设施内部进行清理、检修等作业</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使用电气焊，清理作业前置换不完全或未进行置换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10</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"_Toc484008319" </w:instrText>
            </w:r>
            <w:r>
              <w:fldChar w:fldCharType="separate"/>
            </w:r>
            <w:r>
              <w:rPr>
                <w:rFonts w:hint="eastAsia" w:ascii="宋体" w:hAnsi="宋体"/>
                <w:color w:val="auto"/>
                <w:kern w:val="0"/>
                <w:sz w:val="21"/>
                <w:szCs w:val="21"/>
              </w:rPr>
              <w:t>车辆伤害</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原料、成品运输</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违章驾驶、违章作业；运输设备安全装置失效；作业场所不符合安全要求，场地狭窄、照明缺陷；无证驾驶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1</w:t>
            </w:r>
            <w:r>
              <w:rPr>
                <w:rFonts w:hint="eastAsia" w:ascii="宋体" w:hAnsi="宋体"/>
                <w:color w:val="auto"/>
                <w:kern w:val="0"/>
                <w:sz w:val="21"/>
                <w:szCs w:val="21"/>
              </w:rPr>
              <w:t>1</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"_Toc484008312" </w:instrText>
            </w:r>
            <w:r>
              <w:fldChar w:fldCharType="separate"/>
            </w:r>
            <w:r>
              <w:rPr>
                <w:rFonts w:hint="eastAsia" w:ascii="宋体" w:hAnsi="宋体"/>
                <w:color w:val="auto"/>
                <w:kern w:val="0"/>
                <w:sz w:val="21"/>
                <w:szCs w:val="21"/>
              </w:rPr>
              <w:t>高处坠落</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在高于</w:t>
            </w:r>
            <w:r>
              <w:rPr>
                <w:rFonts w:ascii="宋体" w:hAnsi="宋体"/>
                <w:color w:val="auto"/>
                <w:kern w:val="0"/>
                <w:sz w:val="21"/>
                <w:szCs w:val="21"/>
              </w:rPr>
              <w:t>2m</w:t>
            </w:r>
            <w:r>
              <w:rPr>
                <w:rFonts w:hint="eastAsia" w:ascii="宋体" w:hAnsi="宋体"/>
                <w:color w:val="auto"/>
                <w:kern w:val="0"/>
                <w:sz w:val="21"/>
                <w:szCs w:val="21"/>
              </w:rPr>
              <w:t>以上的各种设备、管道建筑物上作业的岗位</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未设防护栏或防护栏失效；</w:t>
            </w:r>
          </w:p>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未采取防护措施就进行登高作业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trPr>
        <w:tc>
          <w:tcPr>
            <w:tcW w:w="510"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12</w:t>
            </w:r>
          </w:p>
        </w:tc>
        <w:tc>
          <w:tcPr>
            <w:tcW w:w="1020" w:type="dxa"/>
            <w:vAlign w:val="center"/>
          </w:tcPr>
          <w:p>
            <w:pPr>
              <w:spacing w:line="240" w:lineRule="auto"/>
              <w:ind w:firstLine="0" w:firstLineChars="0"/>
              <w:jc w:val="center"/>
              <w:rPr>
                <w:rFonts w:ascii="宋体" w:hAnsi="宋体"/>
                <w:color w:val="auto"/>
                <w:kern w:val="0"/>
                <w:sz w:val="21"/>
                <w:szCs w:val="21"/>
              </w:rPr>
            </w:pPr>
            <w:r>
              <w:fldChar w:fldCharType="begin"/>
            </w:r>
            <w:r>
              <w:instrText xml:space="preserve"> HYPERLINK \l "_Toc484008314" </w:instrText>
            </w:r>
            <w:r>
              <w:fldChar w:fldCharType="separate"/>
            </w:r>
            <w:r>
              <w:rPr>
                <w:rFonts w:hint="eastAsia" w:ascii="宋体" w:hAnsi="宋体"/>
                <w:color w:val="auto"/>
                <w:kern w:val="0"/>
                <w:sz w:val="21"/>
                <w:szCs w:val="21"/>
              </w:rPr>
              <w:t>物体打击</w:t>
            </w:r>
            <w:r>
              <w:rPr>
                <w:rFonts w:hint="eastAsia" w:ascii="宋体" w:hAnsi="宋体"/>
                <w:color w:val="auto"/>
                <w:kern w:val="0"/>
                <w:sz w:val="21"/>
                <w:szCs w:val="21"/>
              </w:rPr>
              <w:fldChar w:fldCharType="end"/>
            </w:r>
          </w:p>
        </w:tc>
        <w:tc>
          <w:tcPr>
            <w:tcW w:w="3402"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安装、检修作业场所</w:t>
            </w:r>
          </w:p>
        </w:tc>
        <w:tc>
          <w:tcPr>
            <w:tcW w:w="4139" w:type="dxa"/>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作业人员在检修中的工具或其他物品从高处掉落；进入危险区未穿戴劳动防护用品；违章作业</w:t>
            </w:r>
          </w:p>
        </w:tc>
      </w:tr>
      <w:bookmarkEnd w:id="2165"/>
      <w:bookmarkEnd w:id="2166"/>
      <w:bookmarkEnd w:id="2167"/>
      <w:bookmarkEnd w:id="2168"/>
      <w:bookmarkEnd w:id="2169"/>
    </w:tbl>
    <w:p>
      <w:pPr>
        <w:pStyle w:val="2"/>
        <w:ind w:left="0" w:leftChars="0" w:firstLine="0" w:firstLineChars="0"/>
      </w:pPr>
      <w:bookmarkStart w:id="2192" w:name="_Toc118131131"/>
      <w:bookmarkStart w:id="2193" w:name="_Toc118297989"/>
      <w:bookmarkStart w:id="2194" w:name="_Toc31381"/>
      <w:bookmarkStart w:id="2195" w:name="_Toc14228"/>
      <w:bookmarkStart w:id="2196" w:name="_Toc30394"/>
      <w:bookmarkStart w:id="2197" w:name="_Toc11206"/>
      <w:bookmarkStart w:id="2198" w:name="_Toc1731"/>
      <w:bookmarkStart w:id="2199" w:name="_Toc29428"/>
      <w:bookmarkStart w:id="2200" w:name="_Toc20173"/>
      <w:bookmarkStart w:id="2201" w:name="_Toc117866078"/>
      <w:bookmarkStart w:id="2202" w:name="_Toc15703"/>
      <w:bookmarkStart w:id="2203" w:name="_Toc9129"/>
      <w:bookmarkStart w:id="2204" w:name="_Toc128056506"/>
      <w:bookmarkStart w:id="2205" w:name="_Toc2074"/>
      <w:bookmarkStart w:id="2206" w:name="_Toc14001"/>
      <w:bookmarkStart w:id="2207" w:name="_Toc42724705"/>
      <w:bookmarkStart w:id="2208" w:name="_Toc128056496"/>
    </w:p>
    <w:p>
      <w:pPr>
        <w:pStyle w:val="4"/>
        <w:ind w:firstLine="562"/>
      </w:pPr>
      <w:bookmarkStart w:id="2209" w:name="_Toc5062"/>
      <w:bookmarkStart w:id="2210" w:name="_Toc11110"/>
      <w:bookmarkStart w:id="2211" w:name="_Toc20769"/>
      <w:bookmarkStart w:id="2212" w:name="_Toc12612"/>
      <w:bookmarkStart w:id="2213" w:name="_Toc14874"/>
      <w:bookmarkStart w:id="2214" w:name="_Toc3433"/>
      <w:bookmarkStart w:id="2215" w:name="_Toc19954"/>
      <w:bookmarkStart w:id="2216" w:name="_Toc16804"/>
      <w:bookmarkStart w:id="2217" w:name="_Toc7014"/>
      <w:bookmarkStart w:id="2218" w:name="_Toc20335"/>
      <w:bookmarkStart w:id="2219" w:name="_Toc26940"/>
      <w:bookmarkStart w:id="2220" w:name="_Toc6629"/>
      <w:bookmarkStart w:id="2221" w:name="_Toc8142"/>
      <w:r>
        <w:rPr>
          <w:rFonts w:hint="eastAsia"/>
        </w:rPr>
        <w:t>2.5 主要</w:t>
      </w:r>
      <w:r>
        <w:rPr>
          <w:rFonts w:hint="eastAsia"/>
          <w:lang w:eastAsia="zh-CN"/>
        </w:rPr>
        <w:t>危险和有害因素</w:t>
      </w:r>
      <w:r>
        <w:rPr>
          <w:rFonts w:hint="eastAsia"/>
        </w:rPr>
        <w:t>分析</w:t>
      </w:r>
      <w:bookmarkEnd w:id="2192"/>
      <w:bookmarkEnd w:id="2193"/>
      <w:bookmarkEnd w:id="2194"/>
      <w:bookmarkEnd w:id="2195"/>
      <w:bookmarkEnd w:id="2196"/>
      <w:bookmarkEnd w:id="2197"/>
      <w:bookmarkEnd w:id="2198"/>
      <w:bookmarkEnd w:id="2199"/>
      <w:bookmarkEnd w:id="2200"/>
      <w:bookmarkEnd w:id="2201"/>
      <w:bookmarkEnd w:id="2202"/>
      <w:bookmarkEnd w:id="2209"/>
      <w:bookmarkEnd w:id="2210"/>
      <w:bookmarkEnd w:id="2211"/>
      <w:bookmarkEnd w:id="2212"/>
      <w:bookmarkEnd w:id="2213"/>
      <w:bookmarkEnd w:id="2214"/>
      <w:bookmarkEnd w:id="2215"/>
      <w:bookmarkEnd w:id="2216"/>
      <w:bookmarkEnd w:id="2217"/>
      <w:bookmarkEnd w:id="2218"/>
      <w:bookmarkEnd w:id="2219"/>
      <w:bookmarkEnd w:id="2220"/>
      <w:bookmarkEnd w:id="2221"/>
    </w:p>
    <w:p>
      <w:pPr>
        <w:pStyle w:val="5"/>
        <w:ind w:firstLine="562"/>
      </w:pPr>
      <w:bookmarkStart w:id="2222" w:name="_Toc19291"/>
      <w:bookmarkStart w:id="2223" w:name="_Toc13266"/>
      <w:bookmarkStart w:id="2224" w:name="_Toc15176"/>
      <w:bookmarkStart w:id="2225" w:name="_Toc25762"/>
      <w:bookmarkStart w:id="2226" w:name="_Toc18360"/>
      <w:bookmarkStart w:id="2227" w:name="_Toc19804"/>
      <w:bookmarkStart w:id="2228" w:name="_Toc31398"/>
      <w:bookmarkStart w:id="2229" w:name="_Toc25091"/>
      <w:bookmarkStart w:id="2230" w:name="_Toc8161"/>
      <w:bookmarkStart w:id="2231" w:name="_Toc19572"/>
      <w:r>
        <w:rPr>
          <w:rFonts w:hint="eastAsia"/>
        </w:rPr>
        <w:t>2.5.1 厂址及总平面布置危险性分析</w:t>
      </w:r>
      <w:bookmarkEnd w:id="2203"/>
      <w:bookmarkEnd w:id="2204"/>
      <w:bookmarkEnd w:id="2205"/>
      <w:bookmarkEnd w:id="2206"/>
      <w:bookmarkEnd w:id="2222"/>
      <w:bookmarkEnd w:id="2223"/>
      <w:bookmarkEnd w:id="2224"/>
      <w:bookmarkEnd w:id="2225"/>
      <w:bookmarkEnd w:id="2226"/>
      <w:bookmarkEnd w:id="2227"/>
      <w:bookmarkEnd w:id="2228"/>
      <w:bookmarkEnd w:id="2229"/>
      <w:bookmarkEnd w:id="2230"/>
      <w:bookmarkEnd w:id="2231"/>
    </w:p>
    <w:p>
      <w:pPr>
        <w:pStyle w:val="6"/>
        <w:ind w:firstLine="562"/>
      </w:pPr>
      <w:bookmarkStart w:id="2232" w:name="_Toc19555"/>
      <w:bookmarkStart w:id="2233" w:name="_Toc23150"/>
      <w:bookmarkStart w:id="2234" w:name="_Toc224"/>
      <w:bookmarkStart w:id="2235" w:name="_Toc128056507"/>
      <w:r>
        <w:rPr>
          <w:rFonts w:hint="eastAsia"/>
        </w:rPr>
        <w:t>2.5</w:t>
      </w:r>
      <w:r>
        <w:t>.1</w:t>
      </w:r>
      <w:r>
        <w:rPr>
          <w:rFonts w:hint="eastAsia"/>
        </w:rPr>
        <w:t>.1 厂址危险性分析</w:t>
      </w:r>
      <w:bookmarkEnd w:id="2232"/>
      <w:bookmarkEnd w:id="2233"/>
      <w:bookmarkEnd w:id="2234"/>
    </w:p>
    <w:p>
      <w:pPr>
        <w:ind w:firstLine="560"/>
        <w:jc w:val="left"/>
        <w:rPr>
          <w:rFonts w:ascii="宋体" w:hAnsi="宋体"/>
          <w:color w:val="000000" w:themeColor="text1"/>
          <w:szCs w:val="28"/>
        </w:rPr>
      </w:pPr>
      <w:r>
        <w:rPr>
          <w:rFonts w:hint="eastAsia" w:ascii="宋体" w:hAnsi="宋体"/>
          <w:color w:val="000000" w:themeColor="text1"/>
          <w:szCs w:val="28"/>
        </w:rPr>
        <w:t>1）工程地质方面的危险性分析</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1</w:t>
      </w:r>
      <w:r>
        <w:rPr>
          <w:rFonts w:hint="eastAsia"/>
          <w:color w:val="000000" w:themeColor="text1"/>
          <w:lang w:eastAsia="zh-CN"/>
        </w:rPr>
        <w:t>）</w:t>
      </w:r>
      <w:r>
        <w:rPr>
          <w:rFonts w:hint="eastAsia"/>
          <w:color w:val="000000" w:themeColor="text1"/>
        </w:rPr>
        <w:t>地质条件</w:t>
      </w:r>
      <w:bookmarkEnd w:id="2235"/>
    </w:p>
    <w:p>
      <w:pPr>
        <w:ind w:firstLine="560"/>
        <w:jc w:val="left"/>
        <w:rPr>
          <w:rFonts w:ascii="宋体" w:hAnsi="宋体"/>
          <w:color w:val="000000" w:themeColor="text1"/>
          <w:szCs w:val="28"/>
        </w:rPr>
      </w:pPr>
      <w:r>
        <w:rPr>
          <w:rFonts w:hint="eastAsia" w:ascii="宋体" w:hAnsi="宋体"/>
          <w:color w:val="000000" w:themeColor="text1"/>
          <w:szCs w:val="28"/>
        </w:rPr>
        <w:t>地质灾害主要由地形地貌、地层岩性，地质构造、地下水、地震、暴雨等因素引发。同时，开挖渠道、机械振动等人类的工程活动可导致地质灾害的发生。工程地质条件不良可导致地面裂缝、地面沉降、地面塌陷等多种类型地质灾害，增加场地改造成本，甚至影响建构筑物安全。</w:t>
      </w:r>
    </w:p>
    <w:p>
      <w:pPr>
        <w:ind w:firstLine="560"/>
        <w:rPr>
          <w:color w:val="000000" w:themeColor="text1"/>
          <w:spacing w:val="8"/>
          <w:szCs w:val="28"/>
        </w:rPr>
      </w:pPr>
      <w:r>
        <w:rPr>
          <w:rFonts w:hint="eastAsia" w:ascii="宋体" w:hAnsi="宋体"/>
          <w:color w:val="000000" w:themeColor="text1"/>
          <w:szCs w:val="28"/>
        </w:rPr>
        <w:t>根据评价人员现场踏勘并结合氟化分公司多年运行情况，</w:t>
      </w:r>
      <w:r>
        <w:rPr>
          <w:rFonts w:hint="eastAsia"/>
          <w:color w:val="000000" w:themeColor="text1"/>
          <w:spacing w:val="8"/>
          <w:szCs w:val="28"/>
        </w:rPr>
        <w:t>同时</w:t>
      </w:r>
      <w:r>
        <w:rPr>
          <w:rFonts w:hint="eastAsia" w:ascii="宋体" w:hAnsi="宋体"/>
          <w:color w:val="000000" w:themeColor="text1"/>
          <w:szCs w:val="28"/>
          <w:lang w:val="en-US" w:eastAsia="zh-CN"/>
        </w:rPr>
        <w:t>结合</w:t>
      </w:r>
      <w:r>
        <w:rPr>
          <w:rFonts w:hint="eastAsia" w:ascii="宋体" w:hAnsi="宋体"/>
          <w:color w:val="000000" w:themeColor="text1"/>
          <w:szCs w:val="28"/>
        </w:rPr>
        <w:t>上次现状评价报告，正常情况下工程地质条件对项目影响程度在可接受范围内。</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lang w:val="en-US" w:eastAsia="zh-CN"/>
        </w:rPr>
        <w:t>2</w:t>
      </w:r>
      <w:r>
        <w:rPr>
          <w:rFonts w:hint="eastAsia" w:ascii="宋体" w:hAnsi="宋体"/>
          <w:color w:val="000000" w:themeColor="text1"/>
          <w:szCs w:val="28"/>
          <w:lang w:eastAsia="zh-CN"/>
        </w:rPr>
        <w:t>）</w:t>
      </w:r>
      <w:r>
        <w:rPr>
          <w:rFonts w:hint="eastAsia" w:ascii="宋体" w:hAnsi="宋体"/>
          <w:color w:val="000000" w:themeColor="text1"/>
          <w:szCs w:val="28"/>
        </w:rPr>
        <w:t>水文地质的危害</w:t>
      </w:r>
    </w:p>
    <w:p>
      <w:pPr>
        <w:ind w:firstLine="560"/>
        <w:jc w:val="left"/>
        <w:rPr>
          <w:rFonts w:ascii="宋体" w:hAnsi="宋体"/>
          <w:color w:val="000000" w:themeColor="text1"/>
          <w:szCs w:val="28"/>
        </w:rPr>
      </w:pPr>
      <w:r>
        <w:rPr>
          <w:rFonts w:hint="eastAsia" w:ascii="宋体" w:hAnsi="宋体"/>
          <w:color w:val="000000" w:themeColor="text1"/>
          <w:szCs w:val="28"/>
        </w:rPr>
        <w:t>氟化分公司周边无江河湖泊，根据建厂时地勘报告显示，氟化分公司建筑基础位于地下水位以上，地下水对地基基础无影响。</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lang w:val="en-US" w:eastAsia="zh-CN"/>
        </w:rPr>
        <w:t>3）</w:t>
      </w:r>
      <w:r>
        <w:rPr>
          <w:rFonts w:hint="eastAsia" w:ascii="宋体" w:hAnsi="宋体"/>
          <w:color w:val="000000" w:themeColor="text1"/>
          <w:szCs w:val="28"/>
        </w:rPr>
        <w:t>地震危害</w:t>
      </w:r>
    </w:p>
    <w:p>
      <w:pPr>
        <w:ind w:firstLine="560"/>
        <w:jc w:val="left"/>
        <w:rPr>
          <w:rFonts w:ascii="宋体" w:hAnsi="宋体"/>
          <w:color w:val="000000" w:themeColor="text1"/>
          <w:szCs w:val="28"/>
        </w:rPr>
      </w:pPr>
      <w:r>
        <w:rPr>
          <w:rFonts w:hint="eastAsia" w:ascii="宋体" w:hAnsi="宋体"/>
          <w:color w:val="000000" w:themeColor="text1"/>
          <w:szCs w:val="28"/>
        </w:rPr>
        <w:t>地震是一种自然灾害，是不可抗拒的，甚至是毁灭性的因素。其对人造成伤亡或对建筑物及设备造成突发损害的因素；有害因素直接或间接影响人的身体健康，导致疾病或对建筑物和设备、环境造成损害的因素。由于地质构造、岩浆活动等地质异常活动现象，易产生地震自然灾害。</w:t>
      </w:r>
    </w:p>
    <w:p>
      <w:pPr>
        <w:ind w:firstLine="560"/>
        <w:jc w:val="left"/>
        <w:rPr>
          <w:rFonts w:ascii="宋体" w:hAnsi="宋体"/>
          <w:color w:val="000000" w:themeColor="text1"/>
          <w:szCs w:val="28"/>
        </w:rPr>
      </w:pPr>
      <w:r>
        <w:rPr>
          <w:rFonts w:hint="eastAsia" w:ascii="宋体" w:hAnsi="宋体"/>
          <w:color w:val="000000" w:themeColor="text1"/>
          <w:szCs w:val="28"/>
        </w:rPr>
        <w:t>项目场地区域抗震设防烈度为8度，地震易破坏建筑物基础，造成建筑物坍塌，对人员、设备设施造成危害，项目建构筑物按当地地震烈度设防，正常情况下的风险在可接受范围内。</w:t>
      </w:r>
    </w:p>
    <w:p>
      <w:pPr>
        <w:ind w:firstLine="560"/>
        <w:jc w:val="left"/>
        <w:rPr>
          <w:rFonts w:ascii="宋体" w:hAnsi="宋体"/>
          <w:color w:val="000000" w:themeColor="text1"/>
          <w:szCs w:val="28"/>
        </w:rPr>
      </w:pPr>
      <w:r>
        <w:rPr>
          <w:rFonts w:hint="eastAsia" w:ascii="宋体" w:hAnsi="宋体"/>
          <w:color w:val="000000" w:themeColor="text1"/>
          <w:szCs w:val="28"/>
        </w:rPr>
        <w:t>2）气象条件方面的危险性分析</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rPr>
        <w:t>1）高温天气：项目所在地</w:t>
      </w:r>
      <w:r>
        <w:rPr>
          <w:rFonts w:hint="eastAsia" w:ascii="宋体" w:hAnsi="宋体"/>
          <w:color w:val="auto"/>
          <w:kern w:val="0"/>
          <w:szCs w:val="28"/>
          <w:u w:color="000000"/>
        </w:rPr>
        <w:t>澄江市</w:t>
      </w:r>
      <w:r>
        <w:rPr>
          <w:rFonts w:hint="eastAsia" w:ascii="宋体" w:hAnsi="宋体"/>
          <w:color w:val="000000" w:themeColor="text1"/>
          <w:szCs w:val="28"/>
        </w:rPr>
        <w:t>极端最高气温为</w:t>
      </w:r>
      <w:r>
        <w:rPr>
          <w:rFonts w:hint="eastAsia" w:ascii="宋体" w:hAnsi="宋体"/>
          <w:color w:val="auto"/>
          <w:kern w:val="0"/>
          <w:szCs w:val="28"/>
          <w:u w:color="000000"/>
        </w:rPr>
        <w:t>33.7℃</w:t>
      </w:r>
      <w:r>
        <w:rPr>
          <w:rFonts w:hint="eastAsia" w:ascii="宋体" w:hAnsi="宋体"/>
          <w:color w:val="000000" w:themeColor="text1"/>
          <w:szCs w:val="28"/>
        </w:rPr>
        <w:t>，高温天气易对人体健康的主要影响是产生中暑，夏季高温天气，作业人员如长时间在日光下工作，有发生中暑的危险。</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rPr>
        <w:t>2）大雾：大雾天气可能会因为能见度低，导致出入厂区的车辆驾驶人员视线不好，导致车辆发生撞击、伤人事故。</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rPr>
        <w:t>3）大风：大风可能会造成高处未佩戴安全防护用品的人员发生高处坠落事故；或导致高处堆放的零散物件坠落，对地面的人员造成物体打击伤害；还可能导致扬尘，造成现场灰尘弥漫，视线不清，从而引发机械伤害、车辆伤害、触电伤害等事故的发生，引起财产损失和人员伤亡。</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rPr>
        <w:t>4）暴雨：暴雨是主要气象灾害之一。长时间的暴雨容易产生积水或径流淹没低洼地段，造成洪涝灾害。设备可能受潮、生产车间、配电室漏雨，地面积水导致电气设备、线路、开关装置短路，发生漏电伤人事故。暴雨可能厂内排水沟疏通不畅，下暴雨时雨水不能有效排出厂外，有可能冲蚀厂区建构筑物基础，造成厂房垮塌等事故。</w:t>
      </w:r>
    </w:p>
    <w:p>
      <w:pPr>
        <w:ind w:firstLine="560"/>
        <w:jc w:val="left"/>
        <w:rPr>
          <w:rFonts w:ascii="宋体" w:hAnsi="宋体"/>
          <w:color w:val="000000" w:themeColor="text1"/>
          <w:szCs w:val="28"/>
        </w:rPr>
      </w:pPr>
      <w:r>
        <w:rPr>
          <w:rFonts w:hint="eastAsia" w:ascii="宋体" w:hAnsi="宋体"/>
          <w:color w:val="000000" w:themeColor="text1"/>
          <w:szCs w:val="28"/>
          <w:lang w:eastAsia="zh-CN"/>
        </w:rPr>
        <w:t>（</w:t>
      </w:r>
      <w:r>
        <w:rPr>
          <w:rFonts w:hint="eastAsia" w:ascii="宋体" w:hAnsi="宋体"/>
          <w:color w:val="000000" w:themeColor="text1"/>
          <w:szCs w:val="28"/>
        </w:rPr>
        <w:t>5）雷击：雷电事故有可能造成对高耸的建筑物和电气设备造成破坏。若企业没有委托有防雷检测资质的单位进行检测，或未严格按照防雷检测报告中的整改建议进行认真整改，有可能发生雷击事故。</w:t>
      </w:r>
    </w:p>
    <w:p>
      <w:pPr>
        <w:ind w:firstLine="560"/>
        <w:jc w:val="left"/>
        <w:rPr>
          <w:rFonts w:hint="eastAsia" w:ascii="宋体" w:hAnsi="宋体"/>
          <w:color w:val="000000" w:themeColor="text1"/>
          <w:szCs w:val="28"/>
        </w:rPr>
      </w:pPr>
      <w:r>
        <w:rPr>
          <w:rFonts w:hint="eastAsia" w:ascii="宋体" w:hAnsi="宋体"/>
          <w:color w:val="000000" w:themeColor="text1"/>
          <w:szCs w:val="28"/>
        </w:rPr>
        <w:t>自然危害因素是客观存在的，其产生不可抗拒，但项目通过采取按照规范设计建构筑物的抗震设防烈度、安装防雷设施、完善排水设施，上述自然危害因素可以预防和减轻。氟化分公司防雷设施由有资质的单位定期进行检测，因此，正常情况下，上述因素对项目的影响在可接受范围内。</w:t>
      </w:r>
      <w:bookmarkStart w:id="2236" w:name="_Toc128056509"/>
    </w:p>
    <w:p>
      <w:pPr>
        <w:ind w:firstLine="560"/>
        <w:jc w:val="left"/>
        <w:rPr>
          <w:rFonts w:hint="eastAsia"/>
          <w:color w:val="000000" w:themeColor="text1"/>
        </w:rPr>
      </w:pPr>
      <w:r>
        <w:rPr>
          <w:rFonts w:hint="eastAsia" w:cs="Times New Roman"/>
          <w:color w:val="000000" w:themeColor="text1"/>
          <w:kern w:val="2"/>
          <w:sz w:val="28"/>
          <w:szCs w:val="24"/>
          <w:lang w:val="en-US" w:eastAsia="zh-CN" w:bidi="ar-SA"/>
        </w:rPr>
        <w:t>3</w:t>
      </w:r>
      <w:r>
        <w:rPr>
          <w:rFonts w:hint="eastAsia" w:ascii="Times New Roman" w:hAnsi="Times New Roman" w:eastAsia="宋体" w:cs="Times New Roman"/>
          <w:color w:val="000000" w:themeColor="text1"/>
          <w:kern w:val="2"/>
          <w:sz w:val="28"/>
          <w:szCs w:val="24"/>
          <w:lang w:val="en-US" w:eastAsia="zh-CN" w:bidi="ar-SA"/>
        </w:rPr>
        <w:t>）</w:t>
      </w:r>
      <w:r>
        <w:rPr>
          <w:rFonts w:hint="eastAsia"/>
          <w:color w:val="000000" w:themeColor="text1"/>
        </w:rPr>
        <w:t>与周边环境相互影响分析</w:t>
      </w:r>
      <w:bookmarkEnd w:id="2236"/>
    </w:p>
    <w:p>
      <w:pPr>
        <w:widowControl/>
        <w:topLinePunct/>
        <w:spacing w:beforeLines="50"/>
        <w:ind w:firstLine="560"/>
        <w:textAlignment w:val="baseline"/>
        <w:rPr>
          <w:rFonts w:ascii="宋体" w:hAnsi="宋体"/>
          <w:color w:val="auto"/>
          <w:szCs w:val="28"/>
          <w:u w:color="000000"/>
        </w:rPr>
      </w:pPr>
      <w:r>
        <w:rPr>
          <w:rFonts w:hint="eastAsia" w:ascii="宋体" w:hAnsi="宋体"/>
          <w:color w:val="auto"/>
          <w:szCs w:val="28"/>
          <w:u w:color="000000"/>
        </w:rPr>
        <w:t>氟化分公司厂址位于云南省玉溪市澄江市九村镇干海子天辰公司生产区内，生产厂房西北面</w:t>
      </w:r>
      <w:r>
        <w:rPr>
          <w:rFonts w:hint="eastAsia" w:ascii="宋体" w:hAnsi="宋体"/>
          <w:color w:val="auto"/>
          <w:szCs w:val="28"/>
          <w:u w:color="000000"/>
          <w:lang w:val="en-US" w:eastAsia="zh-CN"/>
        </w:rPr>
        <w:t>与</w:t>
      </w:r>
      <w:r>
        <w:rPr>
          <w:rFonts w:hint="eastAsia" w:ascii="宋体" w:hAnsi="宋体"/>
          <w:color w:val="auto"/>
          <w:szCs w:val="28"/>
          <w:u w:color="000000"/>
        </w:rPr>
        <w:t>公路相隔，距</w:t>
      </w:r>
      <w:r>
        <w:rPr>
          <w:rFonts w:hint="eastAsia" w:ascii="宋体" w:hAnsi="宋体"/>
          <w:color w:val="auto"/>
          <w:szCs w:val="28"/>
          <w:u w:color="000000"/>
          <w:lang w:val="en-US" w:eastAsia="zh-CN"/>
        </w:rPr>
        <w:t>离</w:t>
      </w:r>
      <w:r>
        <w:rPr>
          <w:rFonts w:hint="eastAsia" w:ascii="宋体" w:hAnsi="宋体"/>
          <w:color w:val="auto"/>
          <w:szCs w:val="28"/>
          <w:u w:color="000000"/>
        </w:rPr>
        <w:t>14.5m为天辰公司机修、辅助设施等，东北面距</w:t>
      </w:r>
      <w:r>
        <w:rPr>
          <w:rFonts w:hint="eastAsia" w:ascii="宋体" w:hAnsi="宋体"/>
          <w:color w:val="auto"/>
          <w:szCs w:val="28"/>
          <w:u w:color="000000"/>
          <w:lang w:val="en-US" w:eastAsia="zh-CN"/>
        </w:rPr>
        <w:t>离</w:t>
      </w:r>
      <w:r>
        <w:rPr>
          <w:rFonts w:hint="eastAsia" w:ascii="宋体" w:hAnsi="宋体"/>
          <w:color w:val="auto"/>
          <w:szCs w:val="28"/>
          <w:u w:color="000000"/>
        </w:rPr>
        <w:t>50m为天辰公司渣场和锅炉房；东南面距离20m为澄江华业磷矿石库房；西南面距离50m为澄江华业生产装置。</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rPr>
      </w:pPr>
      <w:r>
        <w:rPr>
          <w:rFonts w:hint="eastAsia"/>
          <w:color w:val="auto"/>
        </w:rPr>
        <w:t>根据《危险化学品生产装置和储存设施外部安全防护距离确定方法》（GB/T37243-2019）中规定：</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rPr>
      </w:pPr>
      <w:r>
        <w:rPr>
          <w:rFonts w:hint="eastAsia"/>
          <w:color w:val="auto"/>
        </w:rPr>
        <w:t>“4.2 涉及爆炸物的危险化学品生产装置和储存设施应采用事故后果法确定外部安全防护距离。”</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rPr>
      </w:pPr>
      <w:r>
        <w:rPr>
          <w:rFonts w:hint="eastAsia"/>
          <w:color w:val="auto"/>
        </w:rPr>
        <w:t>“4.3 涉及有毒气体或易燃气体，且其设计最大量与GB18218中规定的临界量比值之和大于或等于1的危险化学品生产装置和储存设施应采用定量风险评价方法确定外部安全防护距离。当企业存在上述装置和设施时，应将企业内部所有的危险化学品生产装置和储存设施作为一个整体进行定量风险评估，确定外部安全防护距离。”</w:t>
      </w:r>
    </w:p>
    <w:p>
      <w:pPr>
        <w:ind w:firstLine="560"/>
        <w:rPr>
          <w:color w:val="auto"/>
        </w:rPr>
      </w:pPr>
      <w:r>
        <w:rPr>
          <w:rFonts w:hint="eastAsia"/>
          <w:color w:val="auto"/>
        </w:rPr>
        <w:t>“4.4 本标准4.2及4.3规定以外的危险化学品生产装置和储存设施的外部安全防护距离应满足相关标准规范的距离要求。”</w:t>
      </w:r>
    </w:p>
    <w:p>
      <w:pPr>
        <w:pStyle w:val="58"/>
        <w:topLinePunct/>
        <w:ind w:firstLine="560"/>
        <w:rPr>
          <w:rFonts w:ascii="宋体" w:hAnsi="宋体"/>
          <w:color w:val="auto"/>
          <w:szCs w:val="28"/>
        </w:rPr>
      </w:pP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w:t>
      </w:r>
      <w:r>
        <w:rPr>
          <w:rFonts w:hint="eastAsia"/>
          <w:color w:val="auto"/>
        </w:rPr>
        <w:t>不属于爆炸物、有毒气体，也</w:t>
      </w:r>
      <w:r>
        <w:rPr>
          <w:rFonts w:hint="eastAsia" w:ascii="宋体" w:hAnsi="宋体"/>
          <w:snapToGrid w:val="0"/>
          <w:color w:val="000000" w:themeColor="text1"/>
          <w:kern w:val="0"/>
          <w:szCs w:val="28"/>
        </w:rPr>
        <w:t>不</w:t>
      </w:r>
      <w:r>
        <w:rPr>
          <w:rFonts w:hint="eastAsia"/>
          <w:color w:val="auto"/>
        </w:rPr>
        <w:t>涉及有毒气体或易燃气体，并且氟化分公司不构成重大危险源。故执行“4.4即本标准4.2及4.3规定以外的危险化学品生产装置和储存设施的外部安全防护距离应满足</w:t>
      </w:r>
      <w:r>
        <w:rPr>
          <w:rFonts w:hint="eastAsia"/>
          <w:color w:val="000000" w:themeColor="text1"/>
          <w:lang w:val="zh-CN"/>
        </w:rPr>
        <w:t>《建筑设计防火规范（2018年版）》（GB50016-2014）</w:t>
      </w:r>
      <w:r>
        <w:rPr>
          <w:rFonts w:hint="eastAsia"/>
          <w:color w:val="auto"/>
        </w:rPr>
        <w:t>的距离要求。</w:t>
      </w:r>
    </w:p>
    <w:p>
      <w:pPr>
        <w:ind w:firstLine="560"/>
        <w:jc w:val="left"/>
        <w:rPr>
          <w:rFonts w:ascii="宋体" w:hAnsi="宋体"/>
          <w:color w:val="000000" w:themeColor="text1"/>
          <w:szCs w:val="28"/>
        </w:rPr>
      </w:pPr>
      <w:r>
        <w:rPr>
          <w:rFonts w:hint="eastAsia" w:ascii="宋体" w:hAnsi="宋体"/>
          <w:color w:val="000000" w:themeColor="text1"/>
          <w:szCs w:val="28"/>
        </w:rPr>
        <w:t>氟化分公司与周边单位防火间距符合</w:t>
      </w:r>
      <w:r>
        <w:rPr>
          <w:rFonts w:hint="eastAsia"/>
          <w:color w:val="000000" w:themeColor="text1"/>
          <w:lang w:val="zh-CN"/>
        </w:rPr>
        <w:t>《建筑设计防火规范（2018年版）》（GB50016-2014）</w:t>
      </w:r>
      <w:r>
        <w:rPr>
          <w:rFonts w:hint="eastAsia"/>
          <w:color w:val="000000" w:themeColor="text1"/>
        </w:rPr>
        <w:t>及</w:t>
      </w:r>
      <w:r>
        <w:rPr>
          <w:rFonts w:hint="eastAsia"/>
          <w:color w:val="auto"/>
        </w:rPr>
        <w:t>《危险化学品生产装置和储存设施外部安全防护距离确定方法》（GB/T37243-2019）</w:t>
      </w:r>
      <w:r>
        <w:rPr>
          <w:rFonts w:hint="eastAsia" w:ascii="宋体" w:hAnsi="宋体"/>
          <w:color w:val="000000" w:themeColor="text1"/>
          <w:szCs w:val="28"/>
        </w:rPr>
        <w:t>的要求。</w:t>
      </w:r>
    </w:p>
    <w:p>
      <w:pPr>
        <w:pStyle w:val="6"/>
        <w:ind w:firstLine="562"/>
      </w:pPr>
      <w:bookmarkStart w:id="2237" w:name="_Toc14040"/>
      <w:bookmarkStart w:id="2238" w:name="_Toc2351"/>
      <w:bookmarkStart w:id="2239" w:name="_Toc5790"/>
      <w:r>
        <w:rPr>
          <w:rFonts w:hint="eastAsia"/>
        </w:rPr>
        <w:t>2</w:t>
      </w:r>
      <w:r>
        <w:t>.</w:t>
      </w:r>
      <w:r>
        <w:rPr>
          <w:rFonts w:hint="eastAsia"/>
        </w:rPr>
        <w:t>5</w:t>
      </w:r>
      <w:r>
        <w:t>.</w:t>
      </w:r>
      <w:r>
        <w:rPr>
          <w:rFonts w:hint="eastAsia"/>
        </w:rPr>
        <w:t>1.</w:t>
      </w:r>
      <w:r>
        <w:t>2</w:t>
      </w:r>
      <w:r>
        <w:rPr>
          <w:rFonts w:hint="eastAsia"/>
        </w:rPr>
        <w:t xml:space="preserve"> 总平面布置</w:t>
      </w:r>
      <w:r>
        <w:rPr>
          <w:rFonts w:hint="eastAsia"/>
          <w:lang w:eastAsia="zh-CN"/>
        </w:rPr>
        <w:t>危险和有害因素</w:t>
      </w:r>
      <w:r>
        <w:rPr>
          <w:rFonts w:hint="eastAsia"/>
        </w:rPr>
        <w:t>分析</w:t>
      </w:r>
      <w:bookmarkEnd w:id="2237"/>
      <w:bookmarkEnd w:id="2238"/>
      <w:bookmarkEnd w:id="2239"/>
    </w:p>
    <w:p>
      <w:pPr>
        <w:ind w:firstLine="560"/>
        <w:jc w:val="left"/>
        <w:rPr>
          <w:rFonts w:ascii="宋体" w:hAnsi="宋体"/>
          <w:color w:val="000000" w:themeColor="text1"/>
          <w:szCs w:val="28"/>
        </w:rPr>
      </w:pPr>
      <w:r>
        <w:rPr>
          <w:rFonts w:hint="eastAsia" w:ascii="宋体" w:hAnsi="宋体"/>
          <w:color w:val="000000" w:themeColor="text1"/>
          <w:szCs w:val="28"/>
        </w:rPr>
        <w:t>总平面布置可能对项目造成危害的主要是防火间距、风向、道路、采光、通风、竖向布置等方面。总平面布置不合理主要可能导致火灾、中毒窒息、车辆伤害、机械伤害、触电等危险。引发事故的原因主要有：</w:t>
      </w:r>
    </w:p>
    <w:p>
      <w:pPr>
        <w:ind w:firstLine="560"/>
        <w:rPr>
          <w:rFonts w:ascii="宋体" w:hAnsi="宋体"/>
          <w:color w:val="000000" w:themeColor="text1"/>
          <w:szCs w:val="28"/>
        </w:rPr>
      </w:pPr>
      <w:r>
        <w:rPr>
          <w:rFonts w:hint="eastAsia" w:ascii="宋体" w:hAnsi="宋体"/>
          <w:color w:val="000000" w:themeColor="text1"/>
          <w:szCs w:val="28"/>
        </w:rPr>
        <w:t>1）由于厂区道路空间限制，违章作业、管理不善、无安全警示标识或安全警戒线等可能会造成车辆伤害。</w:t>
      </w:r>
    </w:p>
    <w:p>
      <w:pPr>
        <w:ind w:firstLine="560"/>
        <w:rPr>
          <w:rFonts w:ascii="宋体" w:hAnsi="宋体"/>
          <w:color w:val="000000" w:themeColor="text1"/>
          <w:szCs w:val="28"/>
        </w:rPr>
      </w:pPr>
      <w:r>
        <w:rPr>
          <w:color w:val="000000" w:themeColor="text1"/>
        </w:rPr>
        <w:t>2）</w:t>
      </w:r>
      <w:r>
        <w:rPr>
          <w:rFonts w:hint="eastAsia" w:ascii="宋体" w:hAnsi="宋体"/>
          <w:color w:val="000000" w:themeColor="text1"/>
          <w:szCs w:val="28"/>
        </w:rPr>
        <w:t>在事故收集池、消防水池等处，由于光线不足；没有安全警示标识；标识不清；未设置防护栏杆或防护栏杆损坏、防护栏杆强度或高度不满足规范要求等，作业人员易误入其中可能会造成淹溺危险。</w:t>
      </w:r>
    </w:p>
    <w:p>
      <w:pPr>
        <w:ind w:firstLine="560"/>
        <w:rPr>
          <w:rFonts w:ascii="宋体" w:hAnsi="宋体"/>
          <w:color w:val="000000" w:themeColor="text1"/>
          <w:szCs w:val="28"/>
        </w:rPr>
      </w:pPr>
      <w:r>
        <w:rPr>
          <w:color w:val="000000" w:themeColor="text1"/>
        </w:rPr>
        <w:t>3</w:t>
      </w:r>
      <w:r>
        <w:rPr>
          <w:rFonts w:hint="eastAsia"/>
          <w:color w:val="000000" w:themeColor="text1"/>
        </w:rPr>
        <w:t>）</w:t>
      </w:r>
      <w:r>
        <w:rPr>
          <w:rFonts w:hint="eastAsia" w:ascii="宋体" w:hAnsi="宋体"/>
          <w:color w:val="000000" w:themeColor="text1"/>
          <w:szCs w:val="28"/>
        </w:rPr>
        <w:t>若生产厂房、配电室室内采光、照明不足，视线不清，可能导致误操作，引发火灾等二次事故的发生。</w:t>
      </w:r>
    </w:p>
    <w:p>
      <w:pPr>
        <w:ind w:firstLine="560"/>
        <w:jc w:val="left"/>
        <w:rPr>
          <w:rFonts w:ascii="宋体" w:hAnsi="宋体"/>
          <w:color w:val="000000" w:themeColor="text1"/>
          <w:szCs w:val="28"/>
        </w:rPr>
      </w:pPr>
      <w:r>
        <w:rPr>
          <w:rFonts w:hint="eastAsia" w:ascii="宋体" w:hAnsi="宋体"/>
          <w:color w:val="000000" w:themeColor="text1"/>
          <w:szCs w:val="28"/>
        </w:rPr>
        <w:t>4）其他可能导致事故的原因。</w:t>
      </w:r>
    </w:p>
    <w:p>
      <w:pPr>
        <w:pStyle w:val="5"/>
        <w:ind w:firstLine="562"/>
      </w:pPr>
      <w:bookmarkStart w:id="2240" w:name="_Toc19285"/>
      <w:bookmarkStart w:id="2241" w:name="_Toc16490"/>
      <w:bookmarkStart w:id="2242" w:name="_Toc147"/>
      <w:bookmarkStart w:id="2243" w:name="_Toc16311"/>
      <w:bookmarkStart w:id="2244" w:name="_Toc8154"/>
      <w:bookmarkStart w:id="2245" w:name="_Toc14363"/>
      <w:bookmarkStart w:id="2246" w:name="_Toc19356"/>
      <w:bookmarkStart w:id="2247" w:name="_Toc21592"/>
      <w:bookmarkStart w:id="2248" w:name="_Toc23666"/>
      <w:bookmarkStart w:id="2249" w:name="_Toc11717"/>
      <w:bookmarkStart w:id="2250" w:name="_Toc3344"/>
      <w:bookmarkStart w:id="2251" w:name="_Toc29667"/>
      <w:bookmarkStart w:id="2252" w:name="_Toc15320"/>
      <w:r>
        <w:rPr>
          <w:rFonts w:hint="eastAsia"/>
        </w:rPr>
        <w:t>2.5.2 生产工艺及设备设施危险性分析</w:t>
      </w:r>
      <w:bookmarkEnd w:id="2240"/>
      <w:bookmarkEnd w:id="2241"/>
      <w:bookmarkEnd w:id="2242"/>
      <w:bookmarkEnd w:id="2243"/>
      <w:bookmarkEnd w:id="2244"/>
      <w:bookmarkEnd w:id="2245"/>
      <w:bookmarkEnd w:id="2246"/>
      <w:bookmarkEnd w:id="2247"/>
      <w:bookmarkEnd w:id="2248"/>
      <w:bookmarkEnd w:id="2249"/>
      <w:bookmarkEnd w:id="2250"/>
      <w:bookmarkEnd w:id="2251"/>
      <w:bookmarkEnd w:id="2252"/>
    </w:p>
    <w:p>
      <w:pPr>
        <w:pStyle w:val="6"/>
        <w:ind w:firstLine="562"/>
      </w:pPr>
      <w:bookmarkStart w:id="2253" w:name="_Toc23235"/>
      <w:bookmarkStart w:id="2254" w:name="_Toc7378"/>
      <w:bookmarkStart w:id="2255" w:name="_Toc26719"/>
      <w:bookmarkStart w:id="2256" w:name="_Toc42724719"/>
      <w:r>
        <w:rPr>
          <w:rFonts w:hint="eastAsia"/>
        </w:rPr>
        <w:t xml:space="preserve">2.5.2.1 </w:t>
      </w:r>
      <w:bookmarkEnd w:id="2253"/>
      <w:bookmarkEnd w:id="2254"/>
      <w:bookmarkEnd w:id="2255"/>
      <w:r>
        <w:rPr>
          <w:rFonts w:hint="eastAsia"/>
          <w:szCs w:val="20"/>
        </w:rPr>
        <w:t>氟硅酸镁生产过程危险性分析</w:t>
      </w:r>
    </w:p>
    <w:p>
      <w:pPr>
        <w:topLinePunct/>
        <w:ind w:firstLine="560"/>
        <w:rPr>
          <w:rFonts w:ascii="宋体" w:hAnsi="宋体"/>
          <w:color w:val="auto"/>
        </w:rPr>
      </w:pPr>
      <w:r>
        <w:rPr>
          <w:rFonts w:hint="eastAsia" w:ascii="宋体" w:hAnsi="宋体"/>
          <w:color w:val="auto"/>
        </w:rPr>
        <w:t>装置生产过程分为原料储存、中和过滤、浓缩结晶、干燥包装四个基本过程。</w:t>
      </w:r>
    </w:p>
    <w:p>
      <w:pPr>
        <w:topLinePunct/>
        <w:ind w:firstLine="560"/>
        <w:rPr>
          <w:rFonts w:ascii="宋体" w:hAnsi="宋体"/>
          <w:color w:val="auto"/>
        </w:rPr>
      </w:pPr>
      <w:r>
        <w:rPr>
          <w:rFonts w:hint="eastAsia" w:ascii="宋体" w:hAnsi="宋体"/>
          <w:color w:val="auto"/>
        </w:rPr>
        <w:t>1）原料储存危险性分析</w:t>
      </w:r>
    </w:p>
    <w:p>
      <w:pPr>
        <w:pStyle w:val="66"/>
        <w:topLinePunct/>
        <w:ind w:left="846" w:firstLine="0" w:firstLineChars="0"/>
        <w:rPr>
          <w:rFonts w:ascii="宋体" w:hAnsi="宋体"/>
          <w:color w:val="auto"/>
        </w:rPr>
      </w:pPr>
      <w:r>
        <w:rPr>
          <w:rFonts w:hint="eastAsia" w:ascii="宋体" w:hAnsi="宋体"/>
          <w:color w:val="auto"/>
        </w:rPr>
        <w:t>（1）泄漏危害</w:t>
      </w:r>
    </w:p>
    <w:p>
      <w:pPr>
        <w:topLinePunct/>
        <w:ind w:firstLine="560"/>
        <w:rPr>
          <w:rFonts w:ascii="宋体" w:hAnsi="宋体"/>
          <w:color w:val="auto"/>
        </w:rPr>
      </w:pPr>
      <w:r>
        <w:rPr>
          <w:rFonts w:hint="eastAsia" w:ascii="宋体" w:hAnsi="宋体"/>
          <w:color w:val="auto"/>
        </w:rPr>
        <w:t>设备管路损坏、漫池，可造成氟硅酸水外泄，引起环保和安全事故；作业人员未经安全培训，操作和应急动作失误，没有佩戴劳动安全防护用品，可能造成人体灼伤和泄漏事故；作业现场未配置冲洗设施，人体灼伤后难以及时救治，可造成伤害扩大。</w:t>
      </w:r>
    </w:p>
    <w:p>
      <w:pPr>
        <w:topLinePunct/>
        <w:ind w:firstLine="560" w:firstLineChars="0"/>
        <w:rPr>
          <w:rFonts w:ascii="宋体" w:hAnsi="宋体"/>
          <w:color w:val="auto"/>
        </w:rPr>
      </w:pPr>
      <w:r>
        <w:rPr>
          <w:rFonts w:hint="eastAsia" w:ascii="宋体" w:hAnsi="宋体"/>
          <w:color w:val="auto"/>
        </w:rPr>
        <w:t>（2）机械伤害</w:t>
      </w:r>
    </w:p>
    <w:p>
      <w:pPr>
        <w:topLinePunct/>
        <w:ind w:firstLine="560"/>
        <w:rPr>
          <w:rFonts w:ascii="宋体" w:hAnsi="宋体"/>
          <w:color w:val="auto"/>
        </w:rPr>
      </w:pPr>
      <w:r>
        <w:rPr>
          <w:rFonts w:hint="eastAsia" w:ascii="宋体" w:hAnsi="宋体"/>
          <w:color w:val="auto"/>
        </w:rPr>
        <w:t>作业场所运动设备，如果运转外露部位未设置安全防护设施或安全防护设施缺陷、运动部件意外损坏、安全防护设施存在缺陷、操作人员无自我防范意识，可能引发机械伤害。</w:t>
      </w:r>
    </w:p>
    <w:p>
      <w:pPr>
        <w:topLinePunct/>
        <w:ind w:firstLine="560" w:firstLineChars="0"/>
        <w:rPr>
          <w:rFonts w:ascii="宋体" w:hAnsi="宋体"/>
          <w:color w:val="auto"/>
        </w:rPr>
      </w:pPr>
      <w:r>
        <w:rPr>
          <w:rFonts w:hint="eastAsia" w:ascii="宋体" w:hAnsi="宋体"/>
          <w:color w:val="auto"/>
        </w:rPr>
        <w:t>（3）噪声和振动</w:t>
      </w:r>
    </w:p>
    <w:p>
      <w:pPr>
        <w:topLinePunct/>
        <w:ind w:firstLine="560"/>
        <w:rPr>
          <w:rFonts w:ascii="宋体" w:hAnsi="宋体"/>
          <w:color w:val="auto"/>
        </w:rPr>
      </w:pPr>
      <w:r>
        <w:rPr>
          <w:rFonts w:hint="eastAsia" w:ascii="宋体" w:hAnsi="宋体"/>
          <w:color w:val="auto"/>
        </w:rPr>
        <w:t>氟硅酸泵、运输车辆等，会产生噪音危害；运转设备基础松动，产生非正常位移，可导致人身伤亡和设备事故。</w:t>
      </w:r>
    </w:p>
    <w:p>
      <w:pPr>
        <w:pStyle w:val="66"/>
        <w:numPr>
          <w:ilvl w:val="0"/>
          <w:numId w:val="0"/>
        </w:numPr>
        <w:topLinePunct/>
        <w:ind w:left="988" w:leftChars="0" w:hanging="420" w:firstLineChars="0"/>
        <w:rPr>
          <w:rFonts w:ascii="宋体" w:hAnsi="宋体"/>
          <w:color w:val="auto"/>
        </w:rPr>
      </w:pPr>
      <w:r>
        <w:rPr>
          <w:rFonts w:hint="eastAsia" w:ascii="宋体" w:hAnsi="宋体" w:cs="Times New Roman"/>
          <w:color w:val="auto"/>
          <w:kern w:val="2"/>
          <w:sz w:val="28"/>
          <w:szCs w:val="24"/>
          <w:lang w:val="en-US" w:eastAsia="zh-CN" w:bidi="ar-SA"/>
        </w:rPr>
        <w:t>（4</w:t>
      </w:r>
      <w:r>
        <w:rPr>
          <w:rFonts w:hint="eastAsia" w:ascii="宋体" w:hAnsi="宋体" w:eastAsia="宋体" w:cs="Times New Roman"/>
          <w:color w:val="auto"/>
          <w:kern w:val="2"/>
          <w:sz w:val="28"/>
          <w:szCs w:val="24"/>
          <w:lang w:val="en-US" w:eastAsia="zh-CN" w:bidi="ar-SA"/>
        </w:rPr>
        <w:t>）</w:t>
      </w:r>
      <w:r>
        <w:rPr>
          <w:rFonts w:hint="eastAsia" w:ascii="宋体" w:hAnsi="宋体"/>
          <w:color w:val="auto"/>
        </w:rPr>
        <w:t>灼伤</w:t>
      </w:r>
    </w:p>
    <w:p>
      <w:pPr>
        <w:topLinePunct/>
        <w:ind w:firstLine="560"/>
        <w:rPr>
          <w:rFonts w:ascii="宋体" w:hAnsi="宋体"/>
          <w:color w:val="auto"/>
        </w:rPr>
      </w:pPr>
      <w:r>
        <w:rPr>
          <w:rFonts w:hint="eastAsia" w:ascii="宋体" w:hAnsi="宋体"/>
          <w:color w:val="auto"/>
        </w:rPr>
        <w:t>原料中氟硅酸含量在10%左右，短时接触皮肤不会造成严重化学灼伤，但可诱发长期作业人员职业病。如果酸液进入眼部，可导致较严重灼伤。</w:t>
      </w:r>
    </w:p>
    <w:p>
      <w:pPr>
        <w:pStyle w:val="66"/>
        <w:numPr>
          <w:ilvl w:val="0"/>
          <w:numId w:val="0"/>
        </w:numPr>
        <w:topLinePunct/>
        <w:ind w:left="988" w:leftChars="0" w:hanging="420" w:firstLineChars="0"/>
        <w:rPr>
          <w:rFonts w:ascii="宋体" w:hAnsi="宋体"/>
          <w:color w:val="auto"/>
        </w:rPr>
      </w:pPr>
      <w:r>
        <w:rPr>
          <w:rFonts w:hint="eastAsia" w:ascii="宋体" w:hAnsi="宋体" w:cs="Times New Roman"/>
          <w:color w:val="auto"/>
          <w:kern w:val="2"/>
          <w:sz w:val="28"/>
          <w:szCs w:val="24"/>
          <w:lang w:val="en-US" w:eastAsia="zh-CN" w:bidi="ar-SA"/>
        </w:rPr>
        <w:t>（5</w:t>
      </w:r>
      <w:r>
        <w:rPr>
          <w:rFonts w:hint="eastAsia" w:ascii="宋体" w:hAnsi="宋体" w:eastAsia="宋体" w:cs="Times New Roman"/>
          <w:color w:val="auto"/>
          <w:kern w:val="2"/>
          <w:sz w:val="28"/>
          <w:szCs w:val="24"/>
          <w:lang w:val="en-US" w:eastAsia="zh-CN" w:bidi="ar-SA"/>
        </w:rPr>
        <w:t>）</w:t>
      </w:r>
      <w:r>
        <w:rPr>
          <w:rFonts w:hint="eastAsia" w:ascii="宋体" w:hAnsi="宋体"/>
          <w:color w:val="auto"/>
        </w:rPr>
        <w:t>中毒窒息</w:t>
      </w:r>
    </w:p>
    <w:p>
      <w:pPr>
        <w:topLinePunct/>
        <w:ind w:firstLine="560"/>
        <w:rPr>
          <w:rFonts w:ascii="宋体" w:hAnsi="宋体"/>
          <w:color w:val="auto"/>
        </w:rPr>
      </w:pPr>
      <w:r>
        <w:rPr>
          <w:rFonts w:hint="eastAsia" w:ascii="宋体" w:hAnsi="宋体"/>
          <w:color w:val="auto"/>
        </w:rPr>
        <w:t>项目中的原料氟硅酸受热会分解出少量的氟化氢和四氟化硅气体，因浓度不高，作业场所温度不高，挥发量较少，正常作业时发生急性中毒的可能性不大。但清理氟硅酸池底污泥时，可能因有毒气体浓度过高，人员没有或未正确佩戴防护用品，以及防护用品失效，发生人员中毒窒息事故。</w:t>
      </w:r>
    </w:p>
    <w:p>
      <w:pPr>
        <w:pStyle w:val="66"/>
        <w:numPr>
          <w:ilvl w:val="0"/>
          <w:numId w:val="0"/>
        </w:numPr>
        <w:topLinePunct/>
        <w:ind w:left="988" w:leftChars="0" w:hanging="420" w:firstLineChars="0"/>
        <w:rPr>
          <w:rFonts w:ascii="宋体" w:hAnsi="宋体"/>
          <w:color w:val="auto"/>
        </w:rPr>
      </w:pPr>
      <w:r>
        <w:rPr>
          <w:rFonts w:hint="eastAsia" w:ascii="宋体" w:hAnsi="宋体" w:cs="Times New Roman"/>
          <w:color w:val="auto"/>
          <w:kern w:val="2"/>
          <w:sz w:val="28"/>
          <w:szCs w:val="24"/>
          <w:lang w:val="en-US" w:eastAsia="zh-CN" w:bidi="ar-SA"/>
        </w:rPr>
        <w:t>（6</w:t>
      </w:r>
      <w:r>
        <w:rPr>
          <w:rFonts w:hint="eastAsia" w:ascii="宋体" w:hAnsi="宋体" w:eastAsia="宋体" w:cs="Times New Roman"/>
          <w:color w:val="auto"/>
          <w:kern w:val="2"/>
          <w:sz w:val="28"/>
          <w:szCs w:val="24"/>
          <w:lang w:val="en-US" w:eastAsia="zh-CN" w:bidi="ar-SA"/>
        </w:rPr>
        <w:t>）</w:t>
      </w:r>
      <w:r>
        <w:rPr>
          <w:rFonts w:hint="eastAsia" w:ascii="宋体" w:hAnsi="宋体"/>
          <w:color w:val="auto"/>
        </w:rPr>
        <w:t>淹溺</w:t>
      </w:r>
    </w:p>
    <w:p>
      <w:pPr>
        <w:topLinePunct/>
        <w:ind w:firstLine="560"/>
        <w:rPr>
          <w:rFonts w:ascii="宋体" w:hAnsi="宋体"/>
          <w:color w:val="auto"/>
        </w:rPr>
      </w:pPr>
      <w:r>
        <w:rPr>
          <w:rFonts w:hint="eastAsia" w:ascii="宋体" w:hAnsi="宋体"/>
          <w:color w:val="auto"/>
        </w:rPr>
        <w:t>界区内各储存池、事故池容积较大，深度较深，如果防护设施缺失，人员粗心大意，可导致淹</w:t>
      </w:r>
      <w:r>
        <w:rPr>
          <w:rFonts w:hint="eastAsia" w:ascii="宋体" w:hAnsi="宋体"/>
          <w:color w:val="auto"/>
          <w:lang w:val="en-US" w:eastAsia="zh-CN"/>
        </w:rPr>
        <w:t>溺</w:t>
      </w:r>
      <w:r>
        <w:rPr>
          <w:rFonts w:hint="eastAsia" w:ascii="宋体" w:hAnsi="宋体"/>
          <w:color w:val="auto"/>
        </w:rPr>
        <w:t>事故。</w:t>
      </w:r>
    </w:p>
    <w:p>
      <w:pPr>
        <w:pStyle w:val="66"/>
        <w:numPr>
          <w:ilvl w:val="0"/>
          <w:numId w:val="0"/>
        </w:numPr>
        <w:topLinePunct/>
        <w:ind w:left="988" w:leftChars="0" w:hanging="420" w:firstLineChars="0"/>
        <w:rPr>
          <w:rFonts w:ascii="宋体" w:hAnsi="宋体"/>
          <w:color w:val="auto"/>
        </w:rPr>
      </w:pPr>
      <w:r>
        <w:rPr>
          <w:rFonts w:hint="eastAsia" w:ascii="宋体" w:hAnsi="宋体" w:cs="Times New Roman"/>
          <w:color w:val="auto"/>
          <w:kern w:val="2"/>
          <w:sz w:val="28"/>
          <w:szCs w:val="24"/>
          <w:lang w:val="en-US" w:eastAsia="zh-CN" w:bidi="ar-SA"/>
        </w:rPr>
        <w:t>（7</w:t>
      </w:r>
      <w:r>
        <w:rPr>
          <w:rFonts w:hint="eastAsia" w:ascii="宋体" w:hAnsi="宋体" w:eastAsia="宋体" w:cs="Times New Roman"/>
          <w:color w:val="auto"/>
          <w:kern w:val="2"/>
          <w:sz w:val="28"/>
          <w:szCs w:val="24"/>
          <w:lang w:val="en-US" w:eastAsia="zh-CN" w:bidi="ar-SA"/>
        </w:rPr>
        <w:t>）</w:t>
      </w:r>
      <w:r>
        <w:rPr>
          <w:rFonts w:hint="eastAsia" w:ascii="宋体" w:hAnsi="宋体"/>
          <w:color w:val="auto"/>
        </w:rPr>
        <w:t>粉尘</w:t>
      </w:r>
    </w:p>
    <w:p>
      <w:pPr>
        <w:topLinePunct/>
        <w:ind w:firstLine="560"/>
        <w:rPr>
          <w:rFonts w:ascii="宋体" w:hAnsi="宋体"/>
          <w:color w:val="auto"/>
        </w:rPr>
      </w:pPr>
      <w:r>
        <w:rPr>
          <w:rFonts w:hint="eastAsia" w:ascii="宋体" w:hAnsi="宋体"/>
          <w:color w:val="auto"/>
        </w:rPr>
        <w:t>氧化镁储存搬运、添加过程，会产生扬尘，形成粉尘危害。</w:t>
      </w:r>
    </w:p>
    <w:p>
      <w:pPr>
        <w:pStyle w:val="66"/>
        <w:numPr>
          <w:ilvl w:val="0"/>
          <w:numId w:val="0"/>
        </w:numPr>
        <w:topLinePunct/>
        <w:ind w:left="988" w:leftChars="0" w:hanging="420" w:firstLineChars="0"/>
        <w:rPr>
          <w:rFonts w:ascii="宋体" w:hAnsi="宋体"/>
          <w:color w:val="auto"/>
        </w:rPr>
      </w:pPr>
      <w:r>
        <w:rPr>
          <w:rFonts w:hint="eastAsia" w:ascii="宋体" w:hAnsi="宋体" w:cs="Times New Roman"/>
          <w:color w:val="auto"/>
          <w:kern w:val="2"/>
          <w:sz w:val="28"/>
          <w:szCs w:val="24"/>
          <w:lang w:val="en-US" w:eastAsia="zh-CN" w:bidi="ar-SA"/>
        </w:rPr>
        <w:t>（8</w:t>
      </w:r>
      <w:r>
        <w:rPr>
          <w:rFonts w:hint="eastAsia" w:ascii="宋体" w:hAnsi="宋体" w:eastAsia="宋体" w:cs="Times New Roman"/>
          <w:color w:val="auto"/>
          <w:kern w:val="2"/>
          <w:sz w:val="28"/>
          <w:szCs w:val="24"/>
          <w:lang w:val="en-US" w:eastAsia="zh-CN" w:bidi="ar-SA"/>
        </w:rPr>
        <w:t>）</w:t>
      </w:r>
      <w:r>
        <w:rPr>
          <w:rFonts w:hint="eastAsia" w:ascii="宋体" w:hAnsi="宋体"/>
          <w:color w:val="auto"/>
        </w:rPr>
        <w:t>车辆伤害</w:t>
      </w:r>
    </w:p>
    <w:p>
      <w:pPr>
        <w:topLinePunct/>
        <w:ind w:firstLine="560"/>
        <w:rPr>
          <w:rFonts w:ascii="宋体" w:hAnsi="宋体"/>
          <w:color w:val="auto"/>
        </w:rPr>
      </w:pPr>
      <w:r>
        <w:rPr>
          <w:rFonts w:hint="eastAsia" w:ascii="宋体" w:hAnsi="宋体"/>
          <w:color w:val="auto"/>
        </w:rPr>
        <w:t>运输原料或产品的各种车辆，在装卸、倒车时由于视线不清，指挥失误等原因，可能造成车辆对现场作业人员的伤害；由于车载物固定不稳、捆扎不牢，车速过快，驾驶不当紧急刹车、转弯猛打方向盘，可能造成车辆伤害。</w:t>
      </w:r>
    </w:p>
    <w:p>
      <w:pPr>
        <w:topLinePunct/>
        <w:ind w:firstLine="560"/>
        <w:rPr>
          <w:rFonts w:ascii="宋体" w:hAnsi="宋体"/>
          <w:color w:val="auto"/>
        </w:rPr>
      </w:pPr>
      <w:r>
        <w:rPr>
          <w:rFonts w:hint="eastAsia" w:ascii="宋体" w:hAnsi="宋体"/>
          <w:color w:val="auto"/>
        </w:rPr>
        <w:t>2）中和过滤危险性分析</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中毒窒息</w:t>
      </w:r>
    </w:p>
    <w:p>
      <w:pPr>
        <w:pStyle w:val="58"/>
        <w:topLinePunct/>
        <w:ind w:firstLine="560"/>
        <w:rPr>
          <w:rFonts w:ascii="宋体" w:hAnsi="宋体"/>
          <w:color w:val="auto"/>
          <w:szCs w:val="28"/>
        </w:rPr>
      </w:pPr>
      <w:r>
        <w:rPr>
          <w:rFonts w:hint="eastAsia" w:ascii="宋体" w:hAnsi="宋体"/>
          <w:color w:val="auto"/>
          <w:szCs w:val="28"/>
        </w:rPr>
        <w:t>在中和过程中，管道或设备损坏发生泄漏、氟硅酸池满溢、工作人员没有或未正确佩戴防护用品以及防护用品失效，可能导致工作人员中毒窒息。</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（2</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化学腐蚀</w:t>
      </w:r>
    </w:p>
    <w:p>
      <w:pPr>
        <w:pStyle w:val="58"/>
        <w:topLinePunct/>
        <w:ind w:firstLine="560"/>
        <w:rPr>
          <w:rFonts w:ascii="宋体" w:hAnsi="宋体"/>
          <w:color w:val="auto"/>
          <w:szCs w:val="28"/>
        </w:rPr>
      </w:pPr>
      <w:r>
        <w:rPr>
          <w:rFonts w:hint="eastAsia" w:ascii="宋体" w:hAnsi="宋体" w:cs="宋体"/>
          <w:color w:val="auto"/>
          <w:szCs w:val="28"/>
        </w:rPr>
        <w:t>氟硅酸具有腐蚀性，</w:t>
      </w:r>
      <w:r>
        <w:rPr>
          <w:rFonts w:hint="eastAsia" w:ascii="宋体" w:hAnsi="宋体"/>
          <w:color w:val="auto"/>
          <w:szCs w:val="28"/>
        </w:rPr>
        <w:t>氟硅酸池满溢</w:t>
      </w:r>
      <w:r>
        <w:rPr>
          <w:rFonts w:hint="eastAsia" w:ascii="宋体" w:hAnsi="宋体" w:cs="宋体"/>
          <w:color w:val="auto"/>
          <w:szCs w:val="28"/>
        </w:rPr>
        <w:t>、物料输送、压滤过程泄漏，可能对未进行防腐蚀的场地、建筑物、设备、管道、仪表、电气设施，均会造成腐蚀性破坏，影响安全生产。</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（3</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灼伤</w:t>
      </w:r>
    </w:p>
    <w:p>
      <w:pPr>
        <w:pStyle w:val="58"/>
        <w:topLinePunct/>
        <w:ind w:firstLine="560"/>
        <w:rPr>
          <w:rFonts w:ascii="宋体" w:hAnsi="宋体" w:cs="宋体"/>
          <w:color w:val="auto"/>
          <w:szCs w:val="28"/>
        </w:rPr>
      </w:pPr>
      <w:r>
        <w:rPr>
          <w:rFonts w:hint="eastAsia" w:ascii="宋体" w:hAnsi="宋体" w:cs="宋体"/>
          <w:color w:val="auto"/>
          <w:szCs w:val="28"/>
        </w:rPr>
        <w:t>原料中氟硅酸含量在10%左右，短时接触皮肤不会造成严重化学灼伤，但可诱发长期作业人员职业病。如果酸液进入眼部，可导致较严重灼伤。压滤过程中，氟硅酸泄漏导致人员灼伤。</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（4</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机械伤害</w:t>
      </w:r>
    </w:p>
    <w:p>
      <w:pPr>
        <w:pStyle w:val="58"/>
        <w:topLinePunct/>
        <w:ind w:firstLine="560"/>
        <w:rPr>
          <w:rFonts w:ascii="宋体" w:hAnsi="宋体" w:cs="宋体"/>
          <w:color w:val="auto"/>
          <w:szCs w:val="28"/>
        </w:rPr>
      </w:pPr>
      <w:r>
        <w:rPr>
          <w:rFonts w:hint="eastAsia" w:ascii="宋体" w:hAnsi="宋体" w:cs="宋体"/>
          <w:color w:val="auto"/>
          <w:szCs w:val="28"/>
        </w:rPr>
        <w:t>在中和过程中，泵类、搅拌电机、压滤机等若运转部位未设置防护设施、设施缺陷或</w:t>
      </w:r>
      <w:r>
        <w:rPr>
          <w:rFonts w:ascii="宋体" w:hAnsi="宋体" w:cs="宋体"/>
          <w:color w:val="auto"/>
          <w:szCs w:val="28"/>
        </w:rPr>
        <w:t>防护失效时</w:t>
      </w:r>
      <w:r>
        <w:rPr>
          <w:rFonts w:hint="eastAsia" w:ascii="宋体" w:hAnsi="宋体" w:cs="宋体"/>
          <w:color w:val="auto"/>
          <w:szCs w:val="28"/>
        </w:rPr>
        <w:t>，可能造成机械伤害。</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粉尘</w:t>
      </w:r>
    </w:p>
    <w:p>
      <w:pPr>
        <w:pStyle w:val="58"/>
        <w:topLinePunct/>
        <w:ind w:firstLine="560"/>
        <w:rPr>
          <w:rFonts w:ascii="宋体" w:hAnsi="宋体" w:cs="宋体"/>
          <w:color w:val="auto"/>
          <w:szCs w:val="28"/>
        </w:rPr>
      </w:pPr>
      <w:r>
        <w:rPr>
          <w:rFonts w:hint="eastAsia" w:ascii="宋体" w:hAnsi="宋体" w:cs="宋体"/>
          <w:color w:val="auto"/>
          <w:szCs w:val="28"/>
        </w:rPr>
        <w:t>原料储存搬运、添加过程，会产生扬尘，工作人员</w:t>
      </w:r>
      <w:r>
        <w:rPr>
          <w:rFonts w:hint="eastAsia" w:ascii="宋体" w:hAnsi="宋体"/>
          <w:color w:val="auto"/>
          <w:szCs w:val="28"/>
        </w:rPr>
        <w:t>未佩戴防护用品</w:t>
      </w:r>
      <w:r>
        <w:rPr>
          <w:rFonts w:hint="eastAsia" w:ascii="宋体" w:hAnsi="宋体" w:cs="宋体"/>
          <w:color w:val="auto"/>
          <w:szCs w:val="28"/>
        </w:rPr>
        <w:t>形成粉尘危害。</w:t>
      </w:r>
    </w:p>
    <w:p>
      <w:pPr>
        <w:pStyle w:val="58"/>
        <w:numPr>
          <w:ilvl w:val="1"/>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（6</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淹溺</w:t>
      </w:r>
    </w:p>
    <w:p>
      <w:pPr>
        <w:pStyle w:val="58"/>
        <w:topLinePunct/>
        <w:ind w:firstLine="560"/>
        <w:rPr>
          <w:rFonts w:ascii="宋体" w:hAnsi="宋体" w:cs="宋体"/>
          <w:color w:val="auto"/>
          <w:szCs w:val="28"/>
        </w:rPr>
      </w:pPr>
      <w:r>
        <w:rPr>
          <w:rFonts w:hint="eastAsia" w:ascii="宋体" w:hAnsi="宋体" w:cs="宋体"/>
          <w:color w:val="auto"/>
          <w:szCs w:val="28"/>
        </w:rPr>
        <w:t>界区内各储存池、污水池容积较大，深度较深，如果防护设施缺失，人员粗心大意，可导致淹溺事故。</w:t>
      </w:r>
    </w:p>
    <w:p>
      <w:pPr>
        <w:pStyle w:val="58"/>
        <w:numPr>
          <w:ilvl w:val="1"/>
          <w:numId w:val="0"/>
        </w:numPr>
        <w:topLinePunct/>
        <w:ind w:left="0" w:leftChars="0" w:firstLine="560" w:firstLineChars="200"/>
        <w:rPr>
          <w:rFonts w:ascii="宋体" w:hAnsi="宋体" w:cs="宋体"/>
          <w:color w:val="auto"/>
          <w:szCs w:val="28"/>
        </w:rPr>
      </w:pPr>
      <w:r>
        <w:rPr>
          <w:rFonts w:hint="eastAsia" w:ascii="宋体" w:hAnsi="宋体" w:cs="宋体"/>
          <w:color w:val="auto"/>
          <w:kern w:val="2"/>
          <w:sz w:val="28"/>
          <w:szCs w:val="28"/>
          <w:lang w:val="en-US" w:eastAsia="zh-CN" w:bidi="ar-SA"/>
        </w:rPr>
        <w:t>（7</w:t>
      </w:r>
      <w:r>
        <w:rPr>
          <w:rFonts w:hint="eastAsia" w:ascii="宋体" w:hAnsi="宋体" w:eastAsia="宋体" w:cs="宋体"/>
          <w:color w:val="auto"/>
          <w:kern w:val="2"/>
          <w:sz w:val="28"/>
          <w:szCs w:val="28"/>
          <w:lang w:val="en-US" w:eastAsia="zh-CN" w:bidi="ar-SA"/>
        </w:rPr>
        <w:t>）</w:t>
      </w:r>
      <w:r>
        <w:rPr>
          <w:rFonts w:hint="eastAsia" w:ascii="宋体" w:hAnsi="宋体" w:cs="宋体"/>
          <w:color w:val="auto"/>
          <w:szCs w:val="28"/>
        </w:rPr>
        <w:t>触电</w:t>
      </w:r>
    </w:p>
    <w:p>
      <w:pPr>
        <w:pStyle w:val="58"/>
        <w:topLinePunct/>
        <w:ind w:firstLine="560"/>
        <w:rPr>
          <w:rFonts w:ascii="宋体" w:hAnsi="宋体"/>
          <w:color w:val="auto"/>
        </w:rPr>
      </w:pPr>
      <w:r>
        <w:rPr>
          <w:rFonts w:hint="eastAsia" w:ascii="宋体" w:hAnsi="宋体" w:cs="宋体"/>
          <w:color w:val="auto"/>
          <w:szCs w:val="28"/>
        </w:rPr>
        <w:t>中和</w:t>
      </w:r>
      <w:r>
        <w:rPr>
          <w:rFonts w:ascii="宋体" w:hAnsi="宋体" w:cs="宋体"/>
          <w:color w:val="auto"/>
          <w:szCs w:val="28"/>
        </w:rPr>
        <w:t>设备搅拌器</w:t>
      </w:r>
      <w:r>
        <w:rPr>
          <w:rFonts w:hint="eastAsia" w:ascii="宋体" w:hAnsi="宋体" w:cs="宋体"/>
          <w:color w:val="auto"/>
          <w:szCs w:val="28"/>
        </w:rPr>
        <w:t>、</w:t>
      </w:r>
      <w:r>
        <w:rPr>
          <w:rFonts w:ascii="宋体" w:hAnsi="宋体" w:cs="宋体"/>
          <w:color w:val="auto"/>
          <w:szCs w:val="28"/>
        </w:rPr>
        <w:t>电动葫芦</w:t>
      </w:r>
      <w:r>
        <w:rPr>
          <w:rFonts w:hint="eastAsia" w:ascii="宋体" w:hAnsi="宋体" w:cs="宋体"/>
          <w:color w:val="auto"/>
          <w:szCs w:val="28"/>
        </w:rPr>
        <w:t>、</w:t>
      </w:r>
      <w:r>
        <w:rPr>
          <w:rFonts w:ascii="宋体" w:hAnsi="宋体" w:cs="宋体"/>
          <w:color w:val="auto"/>
          <w:szCs w:val="28"/>
        </w:rPr>
        <w:t>泵</w:t>
      </w:r>
      <w:r>
        <w:rPr>
          <w:rFonts w:hint="eastAsia" w:ascii="宋体" w:hAnsi="宋体" w:cs="宋体"/>
          <w:color w:val="auto"/>
          <w:szCs w:val="28"/>
        </w:rPr>
        <w:t>、</w:t>
      </w:r>
      <w:r>
        <w:rPr>
          <w:rFonts w:ascii="宋体" w:hAnsi="宋体" w:cs="宋体"/>
          <w:color w:val="auto"/>
          <w:szCs w:val="28"/>
        </w:rPr>
        <w:t>压缩机</w:t>
      </w:r>
      <w:r>
        <w:rPr>
          <w:rFonts w:hint="eastAsia" w:ascii="宋体" w:hAnsi="宋体" w:cs="宋体"/>
          <w:color w:val="auto"/>
          <w:szCs w:val="28"/>
        </w:rPr>
        <w:t>的电气线路破损或未穿钢管；作业环境潮湿；电气线路设计、安装、质量缺陷；作业人员缺乏安全知识；作业人员未执行操作规程等可能会引发触电危险。</w:t>
      </w:r>
    </w:p>
    <w:p>
      <w:pPr>
        <w:pStyle w:val="58"/>
        <w:topLinePunct/>
        <w:ind w:firstLine="560"/>
        <w:rPr>
          <w:rFonts w:ascii="宋体" w:hAnsi="宋体"/>
          <w:color w:val="auto"/>
          <w:szCs w:val="28"/>
        </w:rPr>
      </w:pPr>
      <w:r>
        <w:rPr>
          <w:rFonts w:hint="eastAsia" w:ascii="宋体" w:hAnsi="宋体"/>
          <w:color w:val="auto"/>
          <w:szCs w:val="28"/>
        </w:rPr>
        <w:t>3）浓缩结晶</w:t>
      </w:r>
      <w:r>
        <w:rPr>
          <w:rFonts w:hint="eastAsia" w:ascii="宋体" w:hAnsi="宋体"/>
          <w:color w:val="auto"/>
        </w:rPr>
        <w:t>危险性分析</w:t>
      </w:r>
    </w:p>
    <w:p>
      <w:pPr>
        <w:pStyle w:val="58"/>
        <w:numPr>
          <w:ilvl w:val="0"/>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中毒窒息</w:t>
      </w:r>
    </w:p>
    <w:p>
      <w:pPr>
        <w:pStyle w:val="58"/>
        <w:topLinePunct/>
        <w:ind w:firstLine="560"/>
        <w:rPr>
          <w:rFonts w:ascii="宋体" w:hAnsi="宋体"/>
          <w:color w:val="auto"/>
          <w:szCs w:val="28"/>
        </w:rPr>
      </w:pPr>
      <w:r>
        <w:rPr>
          <w:rFonts w:hint="eastAsia" w:ascii="宋体" w:hAnsi="宋体"/>
          <w:color w:val="auto"/>
          <w:szCs w:val="28"/>
        </w:rPr>
        <w:t>浓缩过程中，氟硅酸镁溶液受热分解出氟化氢和四氟化硅气体，若管道或设备泄漏、尾气吸收系统故障停车、密闭不严耐、腐蚀性差等导致有毒气体发生泄漏，工作人员没有或未正确佩戴防护用品以及防护用品失效，可能导致工作人员中毒窒息。</w:t>
      </w:r>
    </w:p>
    <w:p>
      <w:pPr>
        <w:pStyle w:val="58"/>
        <w:numPr>
          <w:ilvl w:val="0"/>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（2</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灼烫</w:t>
      </w:r>
    </w:p>
    <w:p>
      <w:pPr>
        <w:pStyle w:val="58"/>
        <w:topLinePunct/>
        <w:ind w:firstLine="560"/>
        <w:rPr>
          <w:rFonts w:ascii="宋体" w:hAnsi="宋体"/>
          <w:color w:val="auto"/>
          <w:szCs w:val="28"/>
        </w:rPr>
      </w:pPr>
      <w:r>
        <w:rPr>
          <w:rFonts w:hint="eastAsia" w:ascii="宋体" w:hAnsi="宋体"/>
          <w:color w:val="auto"/>
          <w:szCs w:val="28"/>
        </w:rPr>
        <w:t>浓缩采用蒸汽作为浓缩热源，蒸气泄漏可能造成人员烫伤。</w:t>
      </w:r>
    </w:p>
    <w:p>
      <w:pPr>
        <w:pStyle w:val="58"/>
        <w:numPr>
          <w:ilvl w:val="0"/>
          <w:numId w:val="0"/>
        </w:numPr>
        <w:topLinePunct/>
        <w:ind w:left="0" w:leftChars="0" w:firstLine="560" w:firstLineChars="200"/>
        <w:rPr>
          <w:rFonts w:ascii="宋体" w:hAnsi="宋体"/>
          <w:color w:val="auto"/>
          <w:szCs w:val="28"/>
        </w:rPr>
      </w:pPr>
      <w:r>
        <w:rPr>
          <w:rFonts w:hint="eastAsia" w:ascii="宋体" w:hAnsi="宋体" w:cs="Times New Roman"/>
          <w:color w:val="auto"/>
          <w:kern w:val="2"/>
          <w:sz w:val="28"/>
          <w:szCs w:val="28"/>
          <w:lang w:val="en-US" w:eastAsia="zh-CN" w:bidi="ar-SA"/>
        </w:rPr>
        <w:t>（3</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爆炸</w:t>
      </w:r>
    </w:p>
    <w:p>
      <w:pPr>
        <w:pStyle w:val="58"/>
        <w:topLinePunct/>
        <w:ind w:firstLine="560"/>
        <w:rPr>
          <w:rFonts w:ascii="宋体" w:hAnsi="宋体"/>
          <w:color w:val="auto"/>
          <w:szCs w:val="28"/>
        </w:rPr>
      </w:pPr>
      <w:r>
        <w:rPr>
          <w:rFonts w:hint="eastAsia" w:ascii="宋体" w:hAnsi="宋体"/>
          <w:color w:val="auto"/>
          <w:szCs w:val="28"/>
        </w:rPr>
        <w:t>浓缩采用蒸汽作为浓缩热源，若蒸汽压力突然升高，管道设备材质选择不合理，使用期限过长，腐蚀等原因造成材料耐压能力下降等原因，有可能发生超压爆炸。</w:t>
      </w:r>
    </w:p>
    <w:p>
      <w:pPr>
        <w:pStyle w:val="58"/>
        <w:numPr>
          <w:ilvl w:val="0"/>
          <w:numId w:val="0"/>
        </w:numPr>
        <w:topLinePunct/>
        <w:ind w:left="0" w:leftChars="0" w:firstLine="560" w:firstLineChars="200"/>
        <w:rPr>
          <w:rFonts w:ascii="宋体" w:hAnsi="宋体" w:cs="宋体"/>
          <w:color w:val="auto"/>
          <w:szCs w:val="28"/>
        </w:rPr>
      </w:pPr>
      <w:r>
        <w:rPr>
          <w:rFonts w:hint="eastAsia" w:ascii="宋体" w:hAnsi="宋体" w:cs="宋体"/>
          <w:color w:val="auto"/>
          <w:kern w:val="2"/>
          <w:sz w:val="28"/>
          <w:szCs w:val="28"/>
          <w:lang w:val="en-US" w:eastAsia="zh-CN" w:bidi="ar-SA"/>
        </w:rPr>
        <w:t>（4）</w:t>
      </w:r>
      <w:r>
        <w:rPr>
          <w:rFonts w:hint="eastAsia" w:ascii="宋体" w:hAnsi="宋体" w:cs="宋体"/>
          <w:color w:val="auto"/>
          <w:szCs w:val="28"/>
        </w:rPr>
        <w:t>触电</w:t>
      </w:r>
    </w:p>
    <w:p>
      <w:pPr>
        <w:pStyle w:val="58"/>
        <w:topLinePunct/>
        <w:ind w:firstLine="560"/>
        <w:rPr>
          <w:rFonts w:ascii="宋体" w:hAnsi="宋体" w:cs="宋体"/>
          <w:color w:val="auto"/>
          <w:szCs w:val="28"/>
        </w:rPr>
      </w:pPr>
      <w:r>
        <w:rPr>
          <w:rFonts w:hint="eastAsia" w:ascii="宋体" w:hAnsi="宋体" w:cs="宋体"/>
          <w:color w:val="auto"/>
          <w:szCs w:val="28"/>
        </w:rPr>
        <w:t>冷却结晶器的</w:t>
      </w:r>
      <w:r>
        <w:rPr>
          <w:rFonts w:ascii="宋体" w:hAnsi="宋体" w:cs="宋体"/>
          <w:color w:val="auto"/>
          <w:szCs w:val="28"/>
        </w:rPr>
        <w:t>搅拌器</w:t>
      </w:r>
      <w:r>
        <w:rPr>
          <w:rFonts w:hint="eastAsia" w:ascii="宋体" w:hAnsi="宋体" w:cs="宋体"/>
          <w:color w:val="auto"/>
          <w:szCs w:val="28"/>
        </w:rPr>
        <w:t>、</w:t>
      </w:r>
      <w:r>
        <w:rPr>
          <w:rFonts w:ascii="宋体" w:hAnsi="宋体" w:cs="宋体"/>
          <w:color w:val="auto"/>
          <w:szCs w:val="28"/>
        </w:rPr>
        <w:t>抽风机</w:t>
      </w:r>
      <w:r>
        <w:rPr>
          <w:rFonts w:hint="eastAsia" w:ascii="宋体" w:hAnsi="宋体" w:cs="宋体"/>
          <w:color w:val="auto"/>
          <w:szCs w:val="28"/>
        </w:rPr>
        <w:t>、</w:t>
      </w:r>
      <w:r>
        <w:rPr>
          <w:rFonts w:ascii="宋体" w:hAnsi="宋体" w:cs="宋体"/>
          <w:color w:val="auto"/>
          <w:szCs w:val="28"/>
        </w:rPr>
        <w:t>旋风分离器</w:t>
      </w:r>
      <w:r>
        <w:rPr>
          <w:rFonts w:hint="eastAsia" w:ascii="宋体" w:hAnsi="宋体" w:cs="宋体"/>
          <w:color w:val="auto"/>
          <w:szCs w:val="28"/>
        </w:rPr>
        <w:t>、</w:t>
      </w:r>
      <w:r>
        <w:rPr>
          <w:rFonts w:ascii="宋体" w:hAnsi="宋体" w:cs="宋体"/>
          <w:color w:val="auto"/>
          <w:szCs w:val="28"/>
        </w:rPr>
        <w:t>离心机</w:t>
      </w:r>
      <w:r>
        <w:rPr>
          <w:rFonts w:hint="eastAsia" w:ascii="宋体" w:hAnsi="宋体" w:cs="宋体"/>
          <w:color w:val="auto"/>
          <w:szCs w:val="28"/>
        </w:rPr>
        <w:t>的电气线路破损或未穿钢管；作业环境潮湿；电气线路设计、安装、质量缺陷；作业人员缺乏安全知识；作业人员未执行操作规程等可能会引发触电危险。</w:t>
      </w:r>
    </w:p>
    <w:p>
      <w:pPr>
        <w:pStyle w:val="58"/>
        <w:numPr>
          <w:ilvl w:val="0"/>
          <w:numId w:val="0"/>
        </w:numPr>
        <w:topLinePunct/>
        <w:ind w:left="0" w:leftChars="0" w:firstLine="560" w:firstLineChars="200"/>
        <w:rPr>
          <w:rFonts w:ascii="宋体" w:hAnsi="宋体" w:cs="宋体"/>
          <w:color w:val="auto"/>
          <w:szCs w:val="28"/>
        </w:rPr>
      </w:pPr>
      <w:r>
        <w:rPr>
          <w:rFonts w:hint="eastAsia" w:ascii="宋体" w:hAnsi="宋体" w:cs="宋体"/>
          <w:color w:val="auto"/>
          <w:kern w:val="2"/>
          <w:sz w:val="28"/>
          <w:szCs w:val="28"/>
          <w:lang w:val="en-US" w:eastAsia="zh-CN" w:bidi="ar-SA"/>
        </w:rPr>
        <w:t>（5</w:t>
      </w:r>
      <w:r>
        <w:rPr>
          <w:rFonts w:hint="eastAsia" w:ascii="宋体" w:hAnsi="宋体" w:eastAsia="宋体" w:cs="宋体"/>
          <w:color w:val="auto"/>
          <w:kern w:val="2"/>
          <w:sz w:val="28"/>
          <w:szCs w:val="28"/>
          <w:lang w:val="en-US" w:eastAsia="zh-CN" w:bidi="ar-SA"/>
        </w:rPr>
        <w:t>）</w:t>
      </w:r>
      <w:r>
        <w:rPr>
          <w:rFonts w:hint="eastAsia" w:ascii="宋体" w:hAnsi="宋体" w:cs="宋体"/>
          <w:color w:val="auto"/>
          <w:szCs w:val="28"/>
        </w:rPr>
        <w:t>化学腐蚀</w:t>
      </w:r>
    </w:p>
    <w:p>
      <w:pPr>
        <w:pStyle w:val="58"/>
        <w:topLinePunct/>
        <w:ind w:firstLine="560"/>
        <w:rPr>
          <w:rFonts w:ascii="宋体" w:hAnsi="宋体"/>
          <w:color w:val="auto"/>
          <w:szCs w:val="28"/>
        </w:rPr>
      </w:pPr>
      <w:r>
        <w:rPr>
          <w:rFonts w:hint="eastAsia" w:ascii="宋体" w:hAnsi="宋体"/>
          <w:color w:val="auto"/>
          <w:szCs w:val="28"/>
        </w:rPr>
        <w:t>浓缩过程中，氟硅酸镁溶液受热分解出氟化氢和四氟化硅气体，若管道或设备泄漏、尾气吸收系统故障停车、密闭不严耐等导致有毒气体发生泄漏，工作人员没有或未正确佩戴防护用品以及防护用品失效，可能导致工作人员呼吸道黏膜及皮肤有强烈的刺激或腐蚀。</w:t>
      </w:r>
    </w:p>
    <w:p>
      <w:pPr>
        <w:pStyle w:val="58"/>
        <w:topLinePunct/>
        <w:ind w:firstLine="560"/>
        <w:rPr>
          <w:rFonts w:ascii="宋体" w:hAnsi="宋体" w:cs="宋体"/>
          <w:color w:val="auto"/>
          <w:szCs w:val="28"/>
        </w:rPr>
      </w:pPr>
      <w:r>
        <w:rPr>
          <w:rFonts w:hint="eastAsia" w:ascii="宋体" w:hAnsi="宋体" w:cs="宋体"/>
          <w:color w:val="auto"/>
          <w:szCs w:val="28"/>
        </w:rPr>
        <w:t>4）干燥包装过程危险性分析</w:t>
      </w:r>
    </w:p>
    <w:p>
      <w:pPr>
        <w:pStyle w:val="58"/>
        <w:numPr>
          <w:ilvl w:val="0"/>
          <w:numId w:val="0"/>
        </w:numPr>
        <w:topLinePunct/>
        <w:ind w:left="840" w:leftChars="0" w:hanging="420" w:firstLineChars="0"/>
        <w:rPr>
          <w:rFonts w:ascii="宋体" w:hAnsi="宋体"/>
          <w:color w:val="auto"/>
          <w:szCs w:val="28"/>
        </w:rPr>
      </w:pP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中毒窒息</w:t>
      </w:r>
    </w:p>
    <w:p>
      <w:pPr>
        <w:pStyle w:val="58"/>
        <w:topLinePunct/>
        <w:ind w:firstLine="560"/>
        <w:rPr>
          <w:rFonts w:ascii="宋体" w:hAnsi="宋体"/>
          <w:color w:val="auto"/>
          <w:szCs w:val="28"/>
        </w:rPr>
      </w:pPr>
      <w:r>
        <w:rPr>
          <w:rFonts w:hint="eastAsia" w:ascii="宋体" w:hAnsi="宋体"/>
          <w:color w:val="auto"/>
          <w:szCs w:val="28"/>
        </w:rPr>
        <w:t>管道或设备损坏发生泄漏、工作人员没有或未正确佩戴防护用品以及防护用品失效，可能导致工作人员吸入氟硅酸镁中毒窒息。</w:t>
      </w:r>
    </w:p>
    <w:p>
      <w:pPr>
        <w:pStyle w:val="58"/>
        <w:numPr>
          <w:ilvl w:val="0"/>
          <w:numId w:val="0"/>
        </w:numPr>
        <w:topLinePunct/>
        <w:ind w:left="840" w:leftChars="0" w:hanging="420" w:firstLineChars="0"/>
        <w:rPr>
          <w:rFonts w:ascii="宋体" w:hAnsi="宋体"/>
          <w:color w:val="auto"/>
          <w:szCs w:val="28"/>
        </w:rPr>
      </w:pPr>
      <w:r>
        <w:rPr>
          <w:rFonts w:hint="eastAsia" w:ascii="宋体" w:hAnsi="宋体" w:cs="Times New Roman"/>
          <w:color w:val="auto"/>
          <w:kern w:val="2"/>
          <w:sz w:val="28"/>
          <w:szCs w:val="28"/>
          <w:lang w:val="en-US" w:eastAsia="zh-CN" w:bidi="ar-SA"/>
        </w:rPr>
        <w:t>（2</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机械伤害</w:t>
      </w:r>
    </w:p>
    <w:p>
      <w:pPr>
        <w:pStyle w:val="58"/>
        <w:topLinePunct/>
        <w:ind w:firstLine="560"/>
        <w:rPr>
          <w:rFonts w:ascii="宋体" w:hAnsi="宋体" w:cs="宋体"/>
          <w:color w:val="auto"/>
          <w:szCs w:val="28"/>
        </w:rPr>
      </w:pPr>
      <w:r>
        <w:rPr>
          <w:rFonts w:hint="eastAsia" w:ascii="宋体" w:hAnsi="宋体" w:cs="宋体"/>
          <w:color w:val="auto"/>
          <w:szCs w:val="28"/>
        </w:rPr>
        <w:t>泵类、离心机、包装机等若运转部位未设置防护设施、设施缺陷或</w:t>
      </w:r>
      <w:r>
        <w:rPr>
          <w:rFonts w:ascii="宋体" w:hAnsi="宋体" w:cs="宋体"/>
          <w:color w:val="auto"/>
          <w:szCs w:val="28"/>
        </w:rPr>
        <w:t>防护失效时</w:t>
      </w:r>
      <w:r>
        <w:rPr>
          <w:rFonts w:hint="eastAsia" w:ascii="宋体" w:hAnsi="宋体" w:cs="宋体"/>
          <w:color w:val="auto"/>
          <w:szCs w:val="28"/>
        </w:rPr>
        <w:t>，可能造成机械伤害。</w:t>
      </w:r>
    </w:p>
    <w:p>
      <w:pPr>
        <w:pStyle w:val="58"/>
        <w:numPr>
          <w:ilvl w:val="0"/>
          <w:numId w:val="0"/>
        </w:numPr>
        <w:topLinePunct/>
        <w:ind w:left="840" w:leftChars="0" w:hanging="420" w:firstLineChars="0"/>
        <w:rPr>
          <w:rFonts w:ascii="宋体" w:hAnsi="宋体"/>
          <w:color w:val="auto"/>
          <w:szCs w:val="28"/>
        </w:rPr>
      </w:pPr>
      <w:r>
        <w:rPr>
          <w:rFonts w:hint="eastAsia" w:ascii="宋体" w:hAnsi="宋体" w:cs="Times New Roman"/>
          <w:color w:val="auto"/>
          <w:kern w:val="2"/>
          <w:sz w:val="28"/>
          <w:szCs w:val="28"/>
          <w:lang w:val="en-US" w:eastAsia="zh-CN" w:bidi="ar-SA"/>
        </w:rPr>
        <w:t>（3</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灼烫</w:t>
      </w:r>
    </w:p>
    <w:p>
      <w:pPr>
        <w:pStyle w:val="58"/>
        <w:topLinePunct/>
        <w:ind w:firstLine="560"/>
        <w:rPr>
          <w:rFonts w:ascii="宋体" w:hAnsi="宋体"/>
          <w:color w:val="auto"/>
          <w:szCs w:val="28"/>
        </w:rPr>
      </w:pPr>
      <w:r>
        <w:rPr>
          <w:rFonts w:hint="eastAsia" w:ascii="宋体" w:hAnsi="宋体"/>
          <w:color w:val="auto"/>
          <w:szCs w:val="28"/>
        </w:rPr>
        <w:t>干燥采用蒸汽作为热源，蒸气泄漏可能造成人员烫伤。</w:t>
      </w:r>
    </w:p>
    <w:p>
      <w:pPr>
        <w:pStyle w:val="58"/>
        <w:numPr>
          <w:ilvl w:val="0"/>
          <w:numId w:val="0"/>
        </w:numPr>
        <w:topLinePunct/>
        <w:ind w:left="840" w:leftChars="0" w:hanging="420" w:firstLineChars="0"/>
        <w:rPr>
          <w:rFonts w:ascii="宋体" w:hAnsi="宋体"/>
          <w:color w:val="auto"/>
          <w:szCs w:val="28"/>
        </w:rPr>
      </w:pPr>
      <w:r>
        <w:rPr>
          <w:rFonts w:hint="eastAsia" w:ascii="宋体" w:hAnsi="宋体" w:cs="Times New Roman"/>
          <w:color w:val="auto"/>
          <w:kern w:val="2"/>
          <w:sz w:val="28"/>
          <w:szCs w:val="28"/>
          <w:lang w:val="en-US" w:eastAsia="zh-CN" w:bidi="ar-SA"/>
        </w:rPr>
        <w:t>（4</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粉尘</w:t>
      </w:r>
    </w:p>
    <w:p>
      <w:pPr>
        <w:pStyle w:val="58"/>
        <w:topLinePunct/>
        <w:ind w:firstLine="560"/>
        <w:rPr>
          <w:rFonts w:ascii="宋体" w:hAnsi="宋体" w:cs="宋体"/>
          <w:color w:val="auto"/>
          <w:szCs w:val="28"/>
        </w:rPr>
      </w:pPr>
      <w:r>
        <w:rPr>
          <w:rFonts w:hint="eastAsia" w:ascii="宋体" w:hAnsi="宋体" w:cs="宋体"/>
          <w:color w:val="auto"/>
          <w:szCs w:val="28"/>
        </w:rPr>
        <w:t>产品包装过程，会产生扬尘，工作人员</w:t>
      </w:r>
      <w:r>
        <w:rPr>
          <w:rFonts w:hint="eastAsia" w:ascii="宋体" w:hAnsi="宋体"/>
          <w:color w:val="auto"/>
          <w:szCs w:val="28"/>
        </w:rPr>
        <w:t>未佩戴防护用品</w:t>
      </w:r>
      <w:r>
        <w:rPr>
          <w:rFonts w:hint="eastAsia" w:ascii="宋体" w:hAnsi="宋体" w:cs="宋体"/>
          <w:color w:val="auto"/>
          <w:szCs w:val="28"/>
        </w:rPr>
        <w:t>形成粉尘危害。</w:t>
      </w:r>
    </w:p>
    <w:p>
      <w:pPr>
        <w:pStyle w:val="58"/>
        <w:numPr>
          <w:ilvl w:val="0"/>
          <w:numId w:val="0"/>
        </w:numPr>
        <w:topLinePunct/>
        <w:ind w:left="840" w:leftChars="0" w:hanging="420" w:firstLineChars="0"/>
        <w:rPr>
          <w:rFonts w:ascii="宋体" w:hAnsi="宋体"/>
          <w:color w:val="auto"/>
          <w:szCs w:val="28"/>
        </w:rPr>
      </w:pP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w:t>
      </w:r>
      <w:r>
        <w:rPr>
          <w:rFonts w:hint="eastAsia" w:ascii="宋体" w:hAnsi="宋体"/>
          <w:color w:val="auto"/>
          <w:szCs w:val="28"/>
        </w:rPr>
        <w:t>噪声</w:t>
      </w:r>
    </w:p>
    <w:p>
      <w:pPr>
        <w:pStyle w:val="58"/>
        <w:topLinePunct/>
        <w:ind w:firstLine="560"/>
        <w:rPr>
          <w:rFonts w:ascii="宋体" w:hAnsi="宋体"/>
          <w:color w:val="auto"/>
          <w:szCs w:val="28"/>
        </w:rPr>
      </w:pPr>
      <w:r>
        <w:rPr>
          <w:rFonts w:hint="eastAsia" w:ascii="宋体" w:hAnsi="宋体" w:cs="宋体"/>
          <w:color w:val="auto"/>
          <w:szCs w:val="28"/>
        </w:rPr>
        <w:t>生产过程中动设备产生的振动、机械设备传动如压滤机、泵、运输车辆等设备是</w:t>
      </w:r>
      <w:r>
        <w:rPr>
          <w:rFonts w:hint="eastAsia" w:ascii="宋体" w:hAnsi="宋体"/>
          <w:color w:val="auto"/>
          <w:szCs w:val="28"/>
        </w:rPr>
        <w:t>产生</w:t>
      </w:r>
      <w:r>
        <w:rPr>
          <w:rFonts w:hint="eastAsia" w:ascii="宋体" w:hAnsi="宋体" w:cs="宋体"/>
          <w:color w:val="auto"/>
          <w:szCs w:val="28"/>
        </w:rPr>
        <w:t>噪声的主要设备。在运行过程中产生的噪声对人体均可产生不良影响，会引起听觉功能敏感度下降，甚至造成耳聋，或引起神经衰弱、心血管和消化系统疾病；噪声同时干扰和影响信息的交流，使工作人员听不清谈话或发出的语音信号，导致操作失误率上升，引发意外事故。</w:t>
      </w:r>
    </w:p>
    <w:p>
      <w:pPr>
        <w:pStyle w:val="6"/>
        <w:keepNext w:val="0"/>
        <w:ind w:firstLine="562"/>
        <w:rPr>
          <w:b w:val="0"/>
          <w:szCs w:val="20"/>
        </w:rPr>
      </w:pPr>
      <w:r>
        <w:rPr>
          <w:rFonts w:hint="eastAsia"/>
          <w:szCs w:val="20"/>
        </w:rPr>
        <w:t>2.5.2.2 氟硅酸生产过程危险性分析</w:t>
      </w:r>
    </w:p>
    <w:p>
      <w:pPr>
        <w:pStyle w:val="66"/>
        <w:numPr>
          <w:ilvl w:val="0"/>
          <w:numId w:val="1"/>
        </w:numPr>
        <w:topLinePunct/>
        <w:ind w:firstLineChars="0"/>
        <w:rPr>
          <w:rFonts w:ascii="宋体" w:hAnsi="宋体"/>
          <w:color w:val="auto"/>
        </w:rPr>
      </w:pPr>
      <w:r>
        <w:rPr>
          <w:rFonts w:hint="eastAsia" w:ascii="宋体" w:hAnsi="宋体"/>
          <w:color w:val="auto"/>
        </w:rPr>
        <w:t>泄漏危害</w:t>
      </w:r>
    </w:p>
    <w:p>
      <w:pPr>
        <w:topLinePunct/>
        <w:ind w:firstLine="560"/>
        <w:rPr>
          <w:rFonts w:ascii="宋体" w:hAnsi="宋体"/>
          <w:color w:val="auto"/>
        </w:rPr>
      </w:pPr>
      <w:r>
        <w:rPr>
          <w:rFonts w:hint="eastAsia" w:ascii="宋体" w:hAnsi="宋体"/>
          <w:color w:val="auto"/>
        </w:rPr>
        <w:t>设备管路损坏、漫池，可造成氟硅酸水外泄，引起环保和安全事故；作业人员未经安全培训，操作和应急动作失误，没有佩戴劳动安全防护用品，可能造成人体灼伤和泄漏事故；作业现场未配置冲洗设施，人体灼伤后难以及时救治，可造成伤害扩大。</w:t>
      </w:r>
    </w:p>
    <w:p>
      <w:pPr>
        <w:pStyle w:val="66"/>
        <w:numPr>
          <w:ilvl w:val="0"/>
          <w:numId w:val="1"/>
        </w:numPr>
        <w:topLinePunct/>
        <w:ind w:firstLineChars="0"/>
        <w:rPr>
          <w:rFonts w:ascii="宋体" w:hAnsi="宋体"/>
          <w:color w:val="auto"/>
        </w:rPr>
      </w:pPr>
      <w:r>
        <w:rPr>
          <w:rFonts w:hint="eastAsia" w:ascii="宋体" w:hAnsi="宋体"/>
          <w:color w:val="auto"/>
        </w:rPr>
        <w:t>机械伤害</w:t>
      </w:r>
    </w:p>
    <w:p>
      <w:pPr>
        <w:topLinePunct/>
        <w:ind w:firstLine="560"/>
        <w:rPr>
          <w:rFonts w:ascii="宋体" w:hAnsi="宋体"/>
          <w:color w:val="auto"/>
        </w:rPr>
      </w:pPr>
      <w:r>
        <w:rPr>
          <w:rFonts w:hint="eastAsia" w:ascii="宋体" w:hAnsi="宋体"/>
          <w:color w:val="auto"/>
        </w:rPr>
        <w:t>作业场所运动设备，如果运转外露部位未设置安全防护设施或安全防护设施缺陷、运动部件意外损坏、安全防护设施存在缺陷、操作人员无自我防范意识，可能引发机械伤害。</w:t>
      </w:r>
    </w:p>
    <w:p>
      <w:pPr>
        <w:pStyle w:val="66"/>
        <w:numPr>
          <w:ilvl w:val="0"/>
          <w:numId w:val="1"/>
        </w:numPr>
        <w:topLinePunct/>
        <w:ind w:firstLineChars="0"/>
        <w:rPr>
          <w:rFonts w:ascii="宋体" w:hAnsi="宋体"/>
          <w:color w:val="auto"/>
        </w:rPr>
      </w:pPr>
      <w:r>
        <w:rPr>
          <w:rFonts w:hint="eastAsia" w:ascii="宋体" w:hAnsi="宋体"/>
          <w:color w:val="auto"/>
        </w:rPr>
        <w:t>噪声</w:t>
      </w:r>
    </w:p>
    <w:p>
      <w:pPr>
        <w:topLinePunct/>
        <w:ind w:firstLine="560"/>
        <w:rPr>
          <w:rFonts w:ascii="宋体" w:hAnsi="宋体"/>
          <w:color w:val="auto"/>
        </w:rPr>
      </w:pPr>
      <w:r>
        <w:rPr>
          <w:rFonts w:hint="eastAsia" w:ascii="宋体" w:hAnsi="宋体"/>
          <w:color w:val="auto"/>
        </w:rPr>
        <w:t>氟硅酸泵、运输车辆等，会产生噪音危害；运转设备基础松动，产生非正常位移，可导致人身伤亡和设备事故。</w:t>
      </w:r>
    </w:p>
    <w:p>
      <w:pPr>
        <w:pStyle w:val="66"/>
        <w:numPr>
          <w:ilvl w:val="0"/>
          <w:numId w:val="1"/>
        </w:numPr>
        <w:topLinePunct/>
        <w:ind w:firstLineChars="0"/>
        <w:rPr>
          <w:rFonts w:ascii="宋体" w:hAnsi="宋体"/>
          <w:color w:val="auto"/>
        </w:rPr>
      </w:pPr>
      <w:r>
        <w:rPr>
          <w:rFonts w:hint="eastAsia" w:ascii="宋体" w:hAnsi="宋体"/>
          <w:color w:val="auto"/>
        </w:rPr>
        <w:t>灼烫</w:t>
      </w:r>
    </w:p>
    <w:p>
      <w:pPr>
        <w:topLinePunct/>
        <w:ind w:firstLine="560"/>
        <w:rPr>
          <w:rFonts w:ascii="宋体" w:hAnsi="宋体"/>
          <w:color w:val="auto"/>
        </w:rPr>
      </w:pPr>
      <w:r>
        <w:rPr>
          <w:rFonts w:hint="eastAsia" w:ascii="宋体" w:hAnsi="宋体"/>
          <w:color w:val="auto"/>
        </w:rPr>
        <w:t>原料中氟硅酸含量在10%左右，短时接触皮肤不会造成严重化学灼伤，但可诱发长期作业人员职业病。如果酸液进入眼部，可导致较严重灼伤。</w:t>
      </w:r>
    </w:p>
    <w:p>
      <w:pPr>
        <w:topLinePunct/>
        <w:ind w:firstLine="560"/>
        <w:rPr>
          <w:rFonts w:ascii="宋体" w:hAnsi="宋体"/>
          <w:color w:val="auto"/>
        </w:rPr>
      </w:pPr>
      <w:r>
        <w:rPr>
          <w:rFonts w:hint="eastAsia" w:ascii="宋体" w:hAnsi="宋体"/>
          <w:color w:val="auto"/>
        </w:rPr>
        <w:t>由于本工序使用蒸汽做为浓缩热源，存在蒸气烫伤可能。</w:t>
      </w:r>
    </w:p>
    <w:p>
      <w:pPr>
        <w:pStyle w:val="66"/>
        <w:numPr>
          <w:ilvl w:val="0"/>
          <w:numId w:val="1"/>
        </w:numPr>
        <w:topLinePunct/>
        <w:ind w:firstLineChars="0"/>
        <w:rPr>
          <w:rFonts w:ascii="宋体" w:hAnsi="宋体"/>
          <w:color w:val="auto"/>
        </w:rPr>
      </w:pPr>
      <w:r>
        <w:rPr>
          <w:rFonts w:hint="eastAsia" w:ascii="宋体" w:hAnsi="宋体"/>
          <w:color w:val="auto"/>
        </w:rPr>
        <w:t>中毒窒息</w:t>
      </w:r>
    </w:p>
    <w:p>
      <w:pPr>
        <w:topLinePunct/>
        <w:ind w:firstLine="560"/>
        <w:rPr>
          <w:rFonts w:ascii="宋体" w:hAnsi="宋体"/>
          <w:color w:val="auto"/>
        </w:rPr>
      </w:pPr>
      <w:r>
        <w:rPr>
          <w:rFonts w:hint="eastAsia" w:ascii="宋体" w:hAnsi="宋体"/>
          <w:color w:val="auto"/>
        </w:rPr>
        <w:t>项目中的原料氟硅酸受热会分解出少量的氟化氢和四氟化硅气体，因浓度不高，作业场所温度不高，挥发量较少，正常作业时发生急性中毒的可能性不大。但清理氟硅酸池底污泥时，可能因有毒气体浓度过高，人员没有或未正确佩戴防护用品，以及防护用品失效，发生人员中毒窒息事故。</w:t>
      </w:r>
    </w:p>
    <w:p>
      <w:pPr>
        <w:pStyle w:val="66"/>
        <w:numPr>
          <w:ilvl w:val="0"/>
          <w:numId w:val="1"/>
        </w:numPr>
        <w:topLinePunct/>
        <w:ind w:firstLineChars="0"/>
        <w:rPr>
          <w:rFonts w:ascii="宋体" w:hAnsi="宋体"/>
          <w:color w:val="auto"/>
        </w:rPr>
      </w:pPr>
      <w:r>
        <w:rPr>
          <w:rFonts w:hint="eastAsia" w:ascii="宋体" w:hAnsi="宋体"/>
          <w:color w:val="auto"/>
        </w:rPr>
        <w:t>淹溺</w:t>
      </w:r>
    </w:p>
    <w:p>
      <w:pPr>
        <w:topLinePunct/>
        <w:ind w:firstLine="560"/>
        <w:rPr>
          <w:rFonts w:ascii="宋体" w:hAnsi="宋体"/>
          <w:color w:val="auto"/>
        </w:rPr>
      </w:pPr>
      <w:r>
        <w:rPr>
          <w:rFonts w:hint="eastAsia" w:ascii="宋体" w:hAnsi="宋体"/>
          <w:color w:val="auto"/>
        </w:rPr>
        <w:t>界区内各储存池、事故池容积较大，深度较深，如果防护设施缺失，人员粗心大意，可导致淹溺事故。</w:t>
      </w:r>
    </w:p>
    <w:p>
      <w:pPr>
        <w:pStyle w:val="6"/>
        <w:keepNext w:val="0"/>
        <w:keepLines w:val="0"/>
        <w:pageBreakBefore w:val="0"/>
        <w:widowControl w:val="0"/>
        <w:kinsoku/>
        <w:wordWrap/>
        <w:overflowPunct/>
        <w:topLinePunct w:val="0"/>
        <w:autoSpaceDE/>
        <w:autoSpaceDN/>
        <w:bidi w:val="0"/>
        <w:adjustRightInd w:val="0"/>
        <w:snapToGrid w:val="0"/>
        <w:ind w:firstLine="562"/>
        <w:textAlignment w:val="auto"/>
        <w:outlineLvl w:val="3"/>
        <w:rPr>
          <w:color w:val="auto"/>
        </w:rPr>
      </w:pPr>
      <w:r>
        <w:rPr>
          <w:rFonts w:hint="eastAsia"/>
          <w:color w:val="auto"/>
        </w:rPr>
        <w:t>2.5.2.3主要设备设施危险性分析</w:t>
      </w:r>
    </w:p>
    <w:p>
      <w:pPr>
        <w:pStyle w:val="58"/>
        <w:topLinePunct/>
        <w:ind w:firstLine="560"/>
        <w:rPr>
          <w:rFonts w:ascii="宋体" w:hAnsi="宋体"/>
          <w:color w:val="auto"/>
          <w:szCs w:val="28"/>
        </w:rPr>
      </w:pPr>
      <w:r>
        <w:rPr>
          <w:rFonts w:hint="eastAsia" w:ascii="宋体" w:hAnsi="宋体"/>
          <w:color w:val="auto"/>
          <w:szCs w:val="28"/>
        </w:rPr>
        <w:t>1）各种设备的选择和安装若没有选择有资质的厂家和单位所生产的合格产品，安装的设备若不符合国家规定的各项技术指标，会埋下隐患，在生产使用过程中容易发生安全事故。</w:t>
      </w:r>
    </w:p>
    <w:p>
      <w:pPr>
        <w:pStyle w:val="58"/>
        <w:topLinePunct/>
        <w:ind w:firstLine="560"/>
        <w:rPr>
          <w:rFonts w:ascii="宋体" w:hAnsi="宋体"/>
          <w:color w:val="auto"/>
          <w:szCs w:val="28"/>
        </w:rPr>
      </w:pPr>
      <w:r>
        <w:rPr>
          <w:rFonts w:hint="eastAsia" w:ascii="宋体" w:hAnsi="宋体"/>
          <w:color w:val="auto"/>
          <w:szCs w:val="28"/>
        </w:rPr>
        <w:t>2）若所选用的蒸发器或尾气吸收装置的各种附件或安全防护装置失灵（如安全阀、压力表、液位计、温度计等）或配置不到位，在运行过程中，一旦工艺操作指标出现偏差或人员操作失误，可能引起超压爆炸事故，同时造成有毒气体泄漏，引起人员中毒等事故。</w:t>
      </w:r>
    </w:p>
    <w:p>
      <w:pPr>
        <w:pStyle w:val="58"/>
        <w:topLinePunct/>
        <w:ind w:firstLine="560"/>
        <w:rPr>
          <w:rFonts w:ascii="宋体" w:hAnsi="宋体"/>
          <w:color w:val="auto"/>
          <w:szCs w:val="28"/>
        </w:rPr>
      </w:pPr>
      <w:r>
        <w:rPr>
          <w:rFonts w:hint="eastAsia" w:ascii="宋体" w:hAnsi="宋体"/>
          <w:color w:val="auto"/>
          <w:szCs w:val="28"/>
        </w:rPr>
        <w:t>3）若各种转动设备（如：泵、压滤机、抽风机）的运转部分的润滑部位缺油，会造成设备损坏及停车，停车还可能造成物料泄漏、堵塞等，引起人员伤亡事故。</w:t>
      </w:r>
    </w:p>
    <w:p>
      <w:pPr>
        <w:pStyle w:val="58"/>
        <w:topLinePunct/>
        <w:ind w:firstLine="560"/>
        <w:rPr>
          <w:rFonts w:ascii="宋体" w:hAnsi="宋体"/>
          <w:color w:val="auto"/>
          <w:szCs w:val="28"/>
        </w:rPr>
      </w:pPr>
      <w:r>
        <w:rPr>
          <w:rFonts w:hint="eastAsia" w:ascii="宋体" w:hAnsi="宋体"/>
          <w:color w:val="auto"/>
          <w:szCs w:val="28"/>
        </w:rPr>
        <w:t>4）若各种转动设备裸露在外的轴、连轴节、键和固定螺钉没有安装防护罩或防护罩损坏或检修拆下防护罩，事后未恢复，由于设备高速运转，在操作过程中，可能造成操作人员人身伤害。</w:t>
      </w:r>
    </w:p>
    <w:p>
      <w:pPr>
        <w:pStyle w:val="58"/>
        <w:topLinePunct/>
        <w:ind w:firstLine="560"/>
        <w:rPr>
          <w:rFonts w:ascii="宋体" w:hAnsi="宋体"/>
          <w:color w:val="auto"/>
          <w:szCs w:val="28"/>
        </w:rPr>
      </w:pPr>
      <w:r>
        <w:rPr>
          <w:rFonts w:hint="eastAsia" w:ascii="宋体" w:hAnsi="宋体"/>
          <w:color w:val="auto"/>
          <w:szCs w:val="28"/>
        </w:rPr>
        <w:t>5）若各种转动设备在运转过程中产生振动,长时间振动可能出现基础或地脚螺栓松动,若在巡回检查中没有及时发现,机械设备会出现剧烈振动，发生机械伤害事故。</w:t>
      </w:r>
    </w:p>
    <w:p>
      <w:pPr>
        <w:pStyle w:val="58"/>
        <w:topLinePunct/>
        <w:ind w:firstLine="560"/>
        <w:rPr>
          <w:rFonts w:ascii="宋体" w:hAnsi="宋体"/>
          <w:color w:val="auto"/>
          <w:szCs w:val="28"/>
        </w:rPr>
      </w:pPr>
      <w:r>
        <w:rPr>
          <w:rFonts w:ascii="宋体" w:hAnsi="宋体"/>
          <w:color w:val="auto"/>
          <w:szCs w:val="28"/>
        </w:rPr>
        <w:t>6</w:t>
      </w:r>
      <w:r>
        <w:rPr>
          <w:rFonts w:hint="eastAsia" w:ascii="宋体" w:hAnsi="宋体"/>
          <w:color w:val="auto"/>
          <w:szCs w:val="28"/>
        </w:rPr>
        <w:t>）中和槽、晶浆槽、高位槽等设备设施，若未采用防泄漏措施，或者设备设施未进行定期检维修，导致贮槽、管道及其阀门等存在缺陷，可能引起物料泄漏。</w:t>
      </w:r>
    </w:p>
    <w:p>
      <w:pPr>
        <w:pStyle w:val="58"/>
        <w:topLinePunct/>
        <w:ind w:firstLine="560"/>
        <w:rPr>
          <w:rFonts w:ascii="宋体" w:hAnsi="宋体"/>
          <w:color w:val="auto"/>
          <w:szCs w:val="28"/>
        </w:rPr>
      </w:pPr>
      <w:r>
        <w:rPr>
          <w:rFonts w:ascii="宋体" w:hAnsi="宋体"/>
          <w:color w:val="auto"/>
          <w:szCs w:val="28"/>
        </w:rPr>
        <w:t>7</w:t>
      </w:r>
      <w:r>
        <w:rPr>
          <w:rFonts w:hint="eastAsia" w:ascii="宋体" w:hAnsi="宋体"/>
          <w:color w:val="auto"/>
          <w:szCs w:val="28"/>
        </w:rPr>
        <w:t>）若各种工艺设备与管道及阀门的连接处出现密封不严、设备的安装、操作和维护的方法不正确，均可能引起物料外泄，造成人员中毒、窒息、烫伤等事故。</w:t>
      </w:r>
    </w:p>
    <w:p>
      <w:pPr>
        <w:pStyle w:val="58"/>
        <w:topLinePunct/>
        <w:ind w:firstLine="560"/>
        <w:rPr>
          <w:rFonts w:ascii="宋体" w:hAnsi="宋体"/>
          <w:color w:val="auto"/>
          <w:szCs w:val="28"/>
        </w:rPr>
      </w:pPr>
      <w:r>
        <w:rPr>
          <w:rFonts w:hint="eastAsia" w:ascii="宋体" w:hAnsi="宋体"/>
          <w:color w:val="auto"/>
          <w:szCs w:val="28"/>
        </w:rPr>
        <w:t>8）若蒸发器使用的安全附件等存在故障，或者安全附件未定期进行检定、校验，导致蒸发器长期超压运行，可能发生蒸发器爆炸事故。</w:t>
      </w:r>
    </w:p>
    <w:p>
      <w:pPr>
        <w:pStyle w:val="58"/>
        <w:topLinePunct/>
        <w:ind w:firstLine="560"/>
        <w:rPr>
          <w:rFonts w:ascii="宋体" w:hAnsi="宋体"/>
          <w:color w:val="auto"/>
          <w:szCs w:val="28"/>
        </w:rPr>
      </w:pPr>
      <w:r>
        <w:rPr>
          <w:rFonts w:hint="eastAsia" w:ascii="宋体" w:hAnsi="宋体"/>
          <w:color w:val="auto"/>
          <w:szCs w:val="28"/>
        </w:rPr>
        <w:t>9）若氟硅酸池、清液池、母液池未设置隔离栏杆、警示标语、安全告知，作业人员意外跌落，可发生淹溺、中毒、灼伤等事故。</w:t>
      </w:r>
    </w:p>
    <w:p>
      <w:pPr>
        <w:topLinePunct/>
        <w:ind w:firstLine="560"/>
        <w:rPr>
          <w:rFonts w:ascii="宋体" w:hAnsi="宋体"/>
          <w:snapToGrid w:val="0"/>
          <w:color w:val="000000" w:themeColor="text1"/>
          <w:kern w:val="0"/>
          <w:sz w:val="24"/>
        </w:rPr>
      </w:pPr>
      <w:r>
        <w:rPr>
          <w:rFonts w:hint="eastAsia" w:ascii="宋体" w:hAnsi="宋体"/>
          <w:color w:val="auto"/>
          <w:szCs w:val="28"/>
        </w:rPr>
        <w:t>10）</w:t>
      </w:r>
      <w:r>
        <w:rPr>
          <w:rFonts w:hint="eastAsia" w:ascii="宋体" w:hAnsi="宋体" w:cs="宋体"/>
          <w:color w:val="auto"/>
          <w:szCs w:val="28"/>
        </w:rPr>
        <w:t>在生产过程中使用的电气设备（包括搅拌器、泵、压滤机、旋风分离器、抽风机等）的电气线路破损或未穿钢管；作业环境潮湿；电气线路设计、安装、质量缺陷；作业人员缺乏安全知识；作业人员未执行操作规程等可能会引发触电危险。</w:t>
      </w:r>
      <w:bookmarkEnd w:id="2256"/>
    </w:p>
    <w:p>
      <w:pPr>
        <w:pStyle w:val="5"/>
        <w:ind w:firstLine="562"/>
      </w:pPr>
      <w:bookmarkStart w:id="2257" w:name="_Toc42724716"/>
      <w:bookmarkStart w:id="2258" w:name="_Toc2553"/>
      <w:bookmarkStart w:id="2259" w:name="_Toc12000"/>
      <w:bookmarkStart w:id="2260" w:name="_Toc13076"/>
      <w:bookmarkStart w:id="2261" w:name="_Toc28056"/>
      <w:bookmarkStart w:id="2262" w:name="_Toc8595"/>
      <w:bookmarkStart w:id="2263" w:name="_Toc15982"/>
      <w:bookmarkStart w:id="2264" w:name="_Toc21362"/>
      <w:bookmarkStart w:id="2265" w:name="_Toc128056498"/>
      <w:bookmarkStart w:id="2266" w:name="_Toc518768156"/>
      <w:bookmarkStart w:id="2267" w:name="_Toc31793"/>
      <w:bookmarkStart w:id="2268" w:name="_Toc24349"/>
      <w:bookmarkStart w:id="2269" w:name="_Toc21296"/>
      <w:bookmarkStart w:id="2270" w:name="_Toc30604"/>
      <w:bookmarkStart w:id="2271" w:name="_Toc15284"/>
      <w:bookmarkStart w:id="2272" w:name="_Toc25134"/>
      <w:bookmarkStart w:id="2273" w:name="_Toc2504"/>
      <w:bookmarkStart w:id="2274" w:name="_Toc128056501"/>
      <w:bookmarkStart w:id="2275" w:name="_Toc3840"/>
      <w:bookmarkStart w:id="2276" w:name="_Toc6459"/>
      <w:r>
        <w:rPr>
          <w:rFonts w:hint="eastAsia"/>
        </w:rPr>
        <w:t>2.5.3 公用工程及辅助设施危险性分析</w:t>
      </w:r>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Start w:id="2277" w:name="_Toc42724717"/>
    </w:p>
    <w:p>
      <w:pPr>
        <w:pStyle w:val="6"/>
        <w:ind w:firstLine="562"/>
      </w:pPr>
      <w:bookmarkStart w:id="2278" w:name="_Toc9719"/>
      <w:bookmarkStart w:id="2279" w:name="_Toc1480"/>
      <w:bookmarkStart w:id="2280" w:name="_Toc25964"/>
      <w:r>
        <w:rPr>
          <w:rFonts w:hint="eastAsia"/>
        </w:rPr>
        <w:t>2.5.3</w:t>
      </w:r>
      <w:r>
        <w:t>.1</w:t>
      </w:r>
      <w:r>
        <w:rPr>
          <w:rFonts w:hint="eastAsia"/>
        </w:rPr>
        <w:t xml:space="preserve"> 供配电系统危险有害因素分析</w:t>
      </w:r>
      <w:bookmarkEnd w:id="2277"/>
      <w:bookmarkEnd w:id="2278"/>
      <w:bookmarkEnd w:id="2279"/>
      <w:bookmarkEnd w:id="2280"/>
    </w:p>
    <w:p>
      <w:pPr>
        <w:ind w:firstLine="562"/>
        <w:rPr>
          <w:b/>
          <w:bCs/>
          <w:color w:val="000000" w:themeColor="text1"/>
        </w:rPr>
      </w:pPr>
      <w:r>
        <w:rPr>
          <w:rFonts w:hint="eastAsia"/>
          <w:b/>
          <w:bCs/>
          <w:color w:val="000000" w:themeColor="text1"/>
        </w:rPr>
        <w:t>1）触电危险性</w:t>
      </w:r>
    </w:p>
    <w:p>
      <w:pPr>
        <w:ind w:firstLine="560"/>
        <w:rPr>
          <w:color w:val="000000" w:themeColor="text1"/>
        </w:rPr>
      </w:pPr>
      <w:r>
        <w:rPr>
          <w:rFonts w:hint="eastAsia"/>
          <w:color w:val="000000" w:themeColor="text1"/>
        </w:rPr>
        <w:t>触电的伤害机率远远高于其它伤害，这是由于作业性质决定的。引起触电事故的主要原因，除了设备缺陷，设计不周等技术因素外，大部分是由于违章操作引起的，常见的有：</w:t>
      </w:r>
    </w:p>
    <w:p>
      <w:pPr>
        <w:ind w:firstLine="560"/>
        <w:rPr>
          <w:color w:val="000000" w:themeColor="text1"/>
        </w:rPr>
      </w:pPr>
      <w:r>
        <w:rPr>
          <w:rFonts w:hint="eastAsia"/>
          <w:color w:val="000000" w:themeColor="text1"/>
          <w:lang w:val="en-US" w:eastAsia="zh-CN"/>
        </w:rPr>
        <w:t>（1）</w:t>
      </w:r>
      <w:r>
        <w:rPr>
          <w:rFonts w:hint="eastAsia"/>
          <w:color w:val="000000" w:themeColor="text1"/>
        </w:rPr>
        <w:t>装设接地线不验电；</w:t>
      </w:r>
    </w:p>
    <w:p>
      <w:pPr>
        <w:ind w:firstLine="560"/>
        <w:rPr>
          <w:color w:val="000000" w:themeColor="text1"/>
        </w:rPr>
      </w:pPr>
      <w:r>
        <w:rPr>
          <w:rFonts w:hint="eastAsia"/>
          <w:color w:val="000000" w:themeColor="text1"/>
          <w:lang w:val="en-US" w:eastAsia="zh-CN"/>
        </w:rPr>
        <w:t>（2）</w:t>
      </w:r>
      <w:r>
        <w:rPr>
          <w:rFonts w:hint="eastAsia"/>
          <w:color w:val="000000" w:themeColor="text1"/>
        </w:rPr>
        <w:t>线路检修时不装设或未按规定装设接地线；</w:t>
      </w:r>
    </w:p>
    <w:p>
      <w:pPr>
        <w:ind w:firstLine="560"/>
        <w:rPr>
          <w:color w:val="000000" w:themeColor="text1"/>
        </w:rPr>
      </w:pPr>
      <w:r>
        <w:rPr>
          <w:rFonts w:hint="eastAsia"/>
          <w:color w:val="000000" w:themeColor="text1"/>
          <w:lang w:eastAsia="zh-CN"/>
        </w:rPr>
        <w:t>（</w:t>
      </w:r>
      <w:r>
        <w:rPr>
          <w:rFonts w:hint="eastAsia"/>
          <w:color w:val="000000" w:themeColor="text1"/>
        </w:rPr>
        <w:t>3</w:t>
      </w:r>
      <w:r>
        <w:rPr>
          <w:rFonts w:hint="eastAsia"/>
          <w:color w:val="000000" w:themeColor="text1"/>
          <w:lang w:eastAsia="zh-CN"/>
        </w:rPr>
        <w:t>）</w:t>
      </w:r>
      <w:r>
        <w:rPr>
          <w:rFonts w:hint="eastAsia"/>
          <w:color w:val="000000" w:themeColor="text1"/>
        </w:rPr>
        <w:t>线路或电气设备工作完毕，未办理工作终结手续，就对停电设备恢复送电；</w:t>
      </w:r>
    </w:p>
    <w:p>
      <w:pPr>
        <w:ind w:firstLine="560"/>
        <w:rPr>
          <w:color w:val="000000" w:themeColor="text1"/>
        </w:rPr>
      </w:pPr>
      <w:r>
        <w:rPr>
          <w:rFonts w:hint="eastAsia"/>
          <w:color w:val="000000" w:themeColor="text1"/>
          <w:lang w:eastAsia="zh-CN"/>
        </w:rPr>
        <w:t>（</w:t>
      </w:r>
      <w:r>
        <w:rPr>
          <w:rFonts w:hint="eastAsia"/>
          <w:color w:val="000000" w:themeColor="text1"/>
        </w:rPr>
        <w:t>4</w:t>
      </w:r>
      <w:r>
        <w:rPr>
          <w:rFonts w:hint="eastAsia"/>
          <w:color w:val="000000" w:themeColor="text1"/>
          <w:lang w:eastAsia="zh-CN"/>
        </w:rPr>
        <w:t>）</w:t>
      </w:r>
      <w:r>
        <w:rPr>
          <w:rFonts w:hint="eastAsia"/>
          <w:color w:val="000000" w:themeColor="text1"/>
        </w:rPr>
        <w:t>在带电设备附近进行作业，不符合安全距离或无监护措施；</w:t>
      </w:r>
    </w:p>
    <w:p>
      <w:pPr>
        <w:ind w:firstLine="560"/>
        <w:rPr>
          <w:color w:val="000000" w:themeColor="text1"/>
        </w:rPr>
      </w:pPr>
      <w:r>
        <w:rPr>
          <w:rFonts w:hint="eastAsia"/>
          <w:color w:val="000000" w:themeColor="text1"/>
          <w:lang w:eastAsia="zh-CN"/>
        </w:rPr>
        <w:t>（</w:t>
      </w:r>
      <w:r>
        <w:rPr>
          <w:rFonts w:hint="eastAsia"/>
          <w:color w:val="000000" w:themeColor="text1"/>
        </w:rPr>
        <w:t>5</w:t>
      </w:r>
      <w:r>
        <w:rPr>
          <w:rFonts w:hint="eastAsia"/>
          <w:color w:val="000000" w:themeColor="text1"/>
          <w:lang w:eastAsia="zh-CN"/>
        </w:rPr>
        <w:t>）</w:t>
      </w:r>
      <w:r>
        <w:rPr>
          <w:rFonts w:hint="eastAsia"/>
          <w:color w:val="000000" w:themeColor="text1"/>
        </w:rPr>
        <w:t>倒闸操作不核对设备名称、编号、位置状态；</w:t>
      </w:r>
    </w:p>
    <w:p>
      <w:pPr>
        <w:ind w:firstLine="560"/>
        <w:rPr>
          <w:color w:val="000000" w:themeColor="text1"/>
        </w:rPr>
      </w:pPr>
      <w:r>
        <w:rPr>
          <w:rFonts w:hint="eastAsia"/>
          <w:color w:val="000000" w:themeColor="text1"/>
          <w:lang w:eastAsia="zh-CN"/>
        </w:rPr>
        <w:t>（</w:t>
      </w:r>
      <w:r>
        <w:rPr>
          <w:rFonts w:hint="eastAsia"/>
          <w:color w:val="000000" w:themeColor="text1"/>
        </w:rPr>
        <w:t>6</w:t>
      </w:r>
      <w:r>
        <w:rPr>
          <w:rFonts w:hint="eastAsia"/>
          <w:color w:val="000000" w:themeColor="text1"/>
          <w:lang w:eastAsia="zh-CN"/>
        </w:rPr>
        <w:t>）</w:t>
      </w:r>
      <w:r>
        <w:rPr>
          <w:rFonts w:hint="eastAsia"/>
          <w:color w:val="000000" w:themeColor="text1"/>
        </w:rPr>
        <w:t>跨越安全围栏或超越安全警界线；工作人员误碰带电设备；以及在带电设备附近使用钢尺，皮卷尺等进行测量或携带金属超高物体在带电设备下行走；</w:t>
      </w:r>
    </w:p>
    <w:p>
      <w:pPr>
        <w:ind w:firstLine="560"/>
        <w:rPr>
          <w:color w:val="000000" w:themeColor="text1"/>
        </w:rPr>
      </w:pPr>
      <w:r>
        <w:rPr>
          <w:rFonts w:hint="eastAsia"/>
          <w:color w:val="000000" w:themeColor="text1"/>
          <w:lang w:eastAsia="zh-CN"/>
        </w:rPr>
        <w:t>（</w:t>
      </w:r>
      <w:r>
        <w:rPr>
          <w:rFonts w:hint="eastAsia"/>
          <w:color w:val="000000" w:themeColor="text1"/>
        </w:rPr>
        <w:t>7</w:t>
      </w:r>
      <w:r>
        <w:rPr>
          <w:rFonts w:hint="eastAsia"/>
          <w:color w:val="000000" w:themeColor="text1"/>
          <w:lang w:eastAsia="zh-CN"/>
        </w:rPr>
        <w:t>）</w:t>
      </w:r>
      <w:r>
        <w:rPr>
          <w:rFonts w:hint="eastAsia"/>
          <w:color w:val="000000" w:themeColor="text1"/>
        </w:rPr>
        <w:t>引线摆动碰地，触及带电体；</w:t>
      </w:r>
    </w:p>
    <w:p>
      <w:pPr>
        <w:ind w:firstLine="560"/>
        <w:rPr>
          <w:color w:val="000000" w:themeColor="text1"/>
        </w:rPr>
      </w:pPr>
      <w:r>
        <w:rPr>
          <w:rFonts w:hint="eastAsia"/>
          <w:color w:val="000000" w:themeColor="text1"/>
          <w:lang w:eastAsia="zh-CN"/>
        </w:rPr>
        <w:t>（</w:t>
      </w:r>
      <w:r>
        <w:rPr>
          <w:rFonts w:hint="eastAsia"/>
          <w:color w:val="000000" w:themeColor="text1"/>
        </w:rPr>
        <w:t>8</w:t>
      </w:r>
      <w:r>
        <w:rPr>
          <w:rFonts w:hint="eastAsia"/>
          <w:color w:val="000000" w:themeColor="text1"/>
          <w:lang w:eastAsia="zh-CN"/>
        </w:rPr>
        <w:t>）</w:t>
      </w:r>
      <w:r>
        <w:rPr>
          <w:rFonts w:hint="eastAsia"/>
          <w:color w:val="000000" w:themeColor="text1"/>
        </w:rPr>
        <w:t>悬垂绝缘子串的绝缘强度不够；</w:t>
      </w:r>
    </w:p>
    <w:p>
      <w:pPr>
        <w:ind w:firstLine="560"/>
        <w:rPr>
          <w:color w:val="000000" w:themeColor="text1"/>
        </w:rPr>
      </w:pPr>
      <w:r>
        <w:rPr>
          <w:rFonts w:hint="eastAsia"/>
          <w:color w:val="000000" w:themeColor="text1"/>
          <w:lang w:eastAsia="zh-CN"/>
        </w:rPr>
        <w:t>（</w:t>
      </w:r>
      <w:r>
        <w:rPr>
          <w:rFonts w:hint="eastAsia"/>
          <w:color w:val="000000" w:themeColor="text1"/>
        </w:rPr>
        <w:t>9</w:t>
      </w:r>
      <w:r>
        <w:rPr>
          <w:rFonts w:hint="eastAsia"/>
          <w:color w:val="000000" w:themeColor="text1"/>
          <w:lang w:eastAsia="zh-CN"/>
        </w:rPr>
        <w:t>）</w:t>
      </w:r>
      <w:r>
        <w:rPr>
          <w:rFonts w:hint="eastAsia"/>
          <w:color w:val="000000" w:themeColor="text1"/>
        </w:rPr>
        <w:t>电缆有残余电荷；</w:t>
      </w:r>
    </w:p>
    <w:p>
      <w:pPr>
        <w:ind w:firstLine="560"/>
        <w:rPr>
          <w:color w:val="000000" w:themeColor="text1"/>
        </w:rPr>
      </w:pPr>
      <w:r>
        <w:rPr>
          <w:rFonts w:hint="eastAsia"/>
          <w:color w:val="000000" w:themeColor="text1"/>
          <w:lang w:eastAsia="zh-CN"/>
        </w:rPr>
        <w:t>（</w:t>
      </w:r>
      <w:r>
        <w:rPr>
          <w:rFonts w:hint="eastAsia"/>
          <w:color w:val="000000" w:themeColor="text1"/>
        </w:rPr>
        <w:t>10</w:t>
      </w:r>
      <w:r>
        <w:rPr>
          <w:rFonts w:hint="eastAsia"/>
          <w:color w:val="000000" w:themeColor="text1"/>
          <w:lang w:eastAsia="zh-CN"/>
        </w:rPr>
        <w:t>）</w:t>
      </w:r>
      <w:r>
        <w:rPr>
          <w:rFonts w:hint="eastAsia"/>
          <w:color w:val="000000" w:themeColor="text1"/>
        </w:rPr>
        <w:t>工作人员擅自扩大工作范围；</w:t>
      </w:r>
    </w:p>
    <w:p>
      <w:pPr>
        <w:ind w:firstLine="560"/>
        <w:rPr>
          <w:color w:val="000000" w:themeColor="text1"/>
        </w:rPr>
      </w:pPr>
      <w:r>
        <w:rPr>
          <w:rFonts w:hint="eastAsia"/>
          <w:color w:val="000000" w:themeColor="text1"/>
          <w:lang w:eastAsia="zh-CN"/>
        </w:rPr>
        <w:t>（</w:t>
      </w:r>
      <w:r>
        <w:rPr>
          <w:rFonts w:hint="eastAsia"/>
          <w:color w:val="000000" w:themeColor="text1"/>
        </w:rPr>
        <w:t>11</w:t>
      </w:r>
      <w:r>
        <w:rPr>
          <w:rFonts w:hint="eastAsia"/>
          <w:color w:val="000000" w:themeColor="text1"/>
          <w:lang w:eastAsia="zh-CN"/>
        </w:rPr>
        <w:t>）</w:t>
      </w:r>
      <w:r>
        <w:rPr>
          <w:rFonts w:hint="eastAsia"/>
          <w:color w:val="000000" w:themeColor="text1"/>
        </w:rPr>
        <w:t>带电作业、无证操作、未落实工作票制等。</w:t>
      </w:r>
    </w:p>
    <w:p>
      <w:pPr>
        <w:ind w:firstLine="536"/>
        <w:rPr>
          <w:color w:val="000000" w:themeColor="text1"/>
          <w:spacing w:val="-6"/>
        </w:rPr>
      </w:pPr>
      <w:r>
        <w:rPr>
          <w:rFonts w:hint="eastAsia"/>
          <w:color w:val="000000" w:themeColor="text1"/>
          <w:spacing w:val="-6"/>
        </w:rPr>
        <w:t>此外，高低压电气设备、输电线路及各种电动机械等在缺少保护或保护失灵情况下，人触及带电部位、手持电动工具漏电及异常情况的跨步电压等，都可能发生触电事故。特别是在检修、抢修作业中发生机率较高。较高的建筑物所设避雷针及接地网如果发生故障，过电压将会危及人身安全。</w:t>
      </w:r>
    </w:p>
    <w:p>
      <w:pPr>
        <w:ind w:firstLine="562"/>
        <w:rPr>
          <w:b/>
          <w:bCs/>
          <w:color w:val="000000" w:themeColor="text1"/>
        </w:rPr>
      </w:pPr>
      <w:r>
        <w:rPr>
          <w:rFonts w:hint="eastAsia"/>
          <w:b/>
          <w:bCs/>
          <w:color w:val="000000" w:themeColor="text1"/>
        </w:rPr>
        <w:t>2）</w:t>
      </w:r>
      <w:r>
        <w:rPr>
          <w:b/>
          <w:bCs/>
          <w:color w:val="000000" w:themeColor="text1"/>
        </w:rPr>
        <w:t>电气火灾</w:t>
      </w:r>
      <w:r>
        <w:rPr>
          <w:rFonts w:hint="eastAsia"/>
          <w:b/>
          <w:bCs/>
          <w:color w:val="000000" w:themeColor="text1"/>
        </w:rPr>
        <w:t>、</w:t>
      </w:r>
      <w:r>
        <w:rPr>
          <w:b/>
          <w:bCs/>
          <w:color w:val="000000" w:themeColor="text1"/>
        </w:rPr>
        <w:t>爆炸危险</w:t>
      </w:r>
      <w:r>
        <w:rPr>
          <w:rFonts w:hint="eastAsia"/>
          <w:b/>
          <w:bCs/>
          <w:color w:val="000000" w:themeColor="text1"/>
        </w:rPr>
        <w:t>性</w:t>
      </w:r>
    </w:p>
    <w:p>
      <w:pPr>
        <w:ind w:firstLine="560"/>
        <w:rPr>
          <w:color w:val="000000" w:themeColor="text1"/>
        </w:rPr>
      </w:pPr>
      <w:r>
        <w:rPr>
          <w:rFonts w:hint="eastAsia"/>
          <w:color w:val="000000" w:themeColor="text1"/>
        </w:rPr>
        <w:t>电火花、电弧和电气设备、部件的危险温度（大于爆炸性混合物自</w:t>
      </w:r>
      <w:r>
        <w:rPr>
          <w:rFonts w:hint="eastAsia"/>
          <w:color w:val="000000" w:themeColor="text1"/>
          <w:lang w:val="en-US" w:eastAsia="zh-CN"/>
        </w:rPr>
        <w:t>燃</w:t>
      </w:r>
      <w:r>
        <w:rPr>
          <w:rFonts w:hint="eastAsia"/>
          <w:color w:val="000000" w:themeColor="text1"/>
        </w:rPr>
        <w:t>点），是引起可燃性气体、蒸汽、粉尘等燃烧爆炸的主要火源之一。</w:t>
      </w:r>
    </w:p>
    <w:p>
      <w:pPr>
        <w:ind w:firstLine="560"/>
        <w:rPr>
          <w:color w:val="000000" w:themeColor="text1"/>
        </w:rPr>
      </w:pPr>
      <w:r>
        <w:rPr>
          <w:rFonts w:hint="eastAsia"/>
          <w:color w:val="000000" w:themeColor="text1"/>
        </w:rPr>
        <w:t>引起电气火灾和爆炸的原因有以下几个方面：</w:t>
      </w:r>
    </w:p>
    <w:p>
      <w:pPr>
        <w:ind w:firstLine="560"/>
        <w:rPr>
          <w:color w:val="000000" w:themeColor="text1"/>
        </w:rPr>
      </w:pPr>
      <w:r>
        <w:rPr>
          <w:rFonts w:hint="eastAsia"/>
          <w:color w:val="000000" w:themeColor="text1"/>
          <w:lang w:eastAsia="zh-CN"/>
        </w:rPr>
        <w:t>（</w:t>
      </w:r>
      <w:r>
        <w:rPr>
          <w:rFonts w:hint="eastAsia"/>
          <w:color w:val="000000" w:themeColor="text1"/>
        </w:rPr>
        <w:t>1</w:t>
      </w:r>
      <w:r>
        <w:rPr>
          <w:rFonts w:hint="eastAsia"/>
          <w:color w:val="000000" w:themeColor="text1"/>
          <w:lang w:eastAsia="zh-CN"/>
        </w:rPr>
        <w:t>）</w:t>
      </w:r>
      <w:r>
        <w:rPr>
          <w:rFonts w:hint="eastAsia"/>
          <w:color w:val="000000" w:themeColor="text1"/>
        </w:rPr>
        <w:t>短路：发生短路时电流可能超过正常时的数十倍，致使电线、电气温度急剧上升，远远超过允许值，而且伴有短路电弧发生，造成火灾；</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2）</w:t>
      </w:r>
      <w:r>
        <w:rPr>
          <w:rFonts w:hint="eastAsia"/>
          <w:color w:val="000000" w:themeColor="text1"/>
        </w:rPr>
        <w:t>过载：线路电动机，变压器超载运行均将导致绝缘材料起火；</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3）</w:t>
      </w:r>
      <w:r>
        <w:rPr>
          <w:rFonts w:hint="eastAsia"/>
          <w:color w:val="000000" w:themeColor="text1"/>
        </w:rPr>
        <w:t>接触不良：导线接头连接不牢或焊接不良均会使接触电阻过高，导致接头过热起火。接触不良的电线接头、开关接点、滑触线等还会迸发火花引燃周围易燃、易爆物质。</w:t>
      </w:r>
    </w:p>
    <w:p>
      <w:pPr>
        <w:ind w:firstLine="562"/>
        <w:rPr>
          <w:b/>
          <w:bCs/>
          <w:color w:val="000000" w:themeColor="text1"/>
        </w:rPr>
      </w:pPr>
      <w:r>
        <w:rPr>
          <w:rFonts w:hint="eastAsia"/>
          <w:b/>
          <w:bCs/>
          <w:color w:val="000000" w:themeColor="text1"/>
        </w:rPr>
        <w:t>3）雷击危险性</w:t>
      </w:r>
    </w:p>
    <w:p>
      <w:pPr>
        <w:ind w:firstLine="560"/>
        <w:rPr>
          <w:color w:val="000000" w:themeColor="text1"/>
        </w:rPr>
      </w:pPr>
      <w:r>
        <w:rPr>
          <w:rFonts w:hint="eastAsia"/>
          <w:color w:val="000000" w:themeColor="text1"/>
        </w:rPr>
        <w:t>伴随雷击出现的极高电压和极大电流，具有很大的破坏力，它包括了雷击过电压的破坏，热作用的破坏和机械作用的破坏。</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1）</w:t>
      </w:r>
      <w:r>
        <w:rPr>
          <w:rFonts w:hint="eastAsia"/>
          <w:color w:val="000000" w:themeColor="text1"/>
        </w:rPr>
        <w:t>电作用的破坏</w:t>
      </w:r>
    </w:p>
    <w:p>
      <w:pPr>
        <w:ind w:firstLine="560"/>
        <w:rPr>
          <w:color w:val="000000" w:themeColor="text1"/>
        </w:rPr>
      </w:pPr>
      <w:r>
        <w:rPr>
          <w:rFonts w:hint="eastAsia"/>
          <w:color w:val="000000" w:themeColor="text1"/>
        </w:rPr>
        <w:t>雷击产生数十万甚至数百万的冲击电压，可以损坏发电机、变压器、电动机、断路器等电气设备的绝缘，造成大面积长时间的停产等安全事故。</w:t>
      </w:r>
    </w:p>
    <w:p>
      <w:pPr>
        <w:ind w:firstLine="560"/>
        <w:rPr>
          <w:color w:val="000000" w:themeColor="text1"/>
        </w:rPr>
      </w:pPr>
      <w:r>
        <w:rPr>
          <w:rFonts w:hint="eastAsia"/>
          <w:color w:val="000000" w:themeColor="text1"/>
        </w:rPr>
        <w:t>设备绝缘损坏会引起火灾事故，如果雷电对人体放电，将会使人致命。</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2</w:t>
      </w:r>
      <w:r>
        <w:rPr>
          <w:rFonts w:hint="eastAsia"/>
          <w:color w:val="000000" w:themeColor="text1"/>
          <w:lang w:eastAsia="zh-CN"/>
        </w:rPr>
        <w:t>）</w:t>
      </w:r>
      <w:r>
        <w:rPr>
          <w:rFonts w:hint="eastAsia"/>
          <w:color w:val="000000" w:themeColor="text1"/>
        </w:rPr>
        <w:t>热作用的破坏</w:t>
      </w:r>
    </w:p>
    <w:p>
      <w:pPr>
        <w:ind w:firstLine="560"/>
        <w:rPr>
          <w:color w:val="000000" w:themeColor="text1"/>
        </w:rPr>
      </w:pPr>
      <w:r>
        <w:rPr>
          <w:rFonts w:hint="eastAsia"/>
          <w:color w:val="000000" w:themeColor="text1"/>
        </w:rPr>
        <w:t>巨大的雷电流流过导体时，在极短的时间内转换成巨大的热能，从而造成发热导体周围的可燃物燃烧，如果雷电直接击在易燃物上，可能引起火灾或者爆炸。</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3</w:t>
      </w:r>
      <w:r>
        <w:rPr>
          <w:rFonts w:hint="eastAsia"/>
          <w:color w:val="000000" w:themeColor="text1"/>
          <w:lang w:eastAsia="zh-CN"/>
        </w:rPr>
        <w:t>）</w:t>
      </w:r>
      <w:r>
        <w:rPr>
          <w:rFonts w:hint="eastAsia"/>
          <w:color w:val="000000" w:themeColor="text1"/>
        </w:rPr>
        <w:t>机械作用的破坏</w:t>
      </w:r>
    </w:p>
    <w:p>
      <w:pPr>
        <w:ind w:firstLine="560"/>
        <w:rPr>
          <w:color w:val="000000" w:themeColor="text1"/>
        </w:rPr>
      </w:pPr>
      <w:r>
        <w:rPr>
          <w:rFonts w:hint="eastAsia"/>
          <w:color w:val="000000" w:themeColor="text1"/>
        </w:rPr>
        <w:t>巨大的雷电流通过被击物时，瞬间产生大量的热能，如果被击物是液体的管道或贮罐，则被击物内的液体可能急剧气化，剧烈膨胀为大量气体，致使被击物破坏或爆炸。此外静电作用力以及雷击时产生的气浪，也都具有很强的破坏作用。</w:t>
      </w:r>
    </w:p>
    <w:p>
      <w:pPr>
        <w:ind w:firstLine="562"/>
        <w:rPr>
          <w:b/>
          <w:bCs/>
          <w:color w:val="000000" w:themeColor="text1"/>
        </w:rPr>
      </w:pPr>
      <w:r>
        <w:rPr>
          <w:rFonts w:hint="eastAsia"/>
          <w:b/>
          <w:bCs/>
          <w:color w:val="000000" w:themeColor="text1"/>
        </w:rPr>
        <w:t>4）静电危险性</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1</w:t>
      </w:r>
      <w:r>
        <w:rPr>
          <w:rFonts w:hint="eastAsia"/>
          <w:color w:val="000000" w:themeColor="text1"/>
          <w:lang w:eastAsia="zh-CN"/>
        </w:rPr>
        <w:t>）</w:t>
      </w:r>
      <w:r>
        <w:rPr>
          <w:rFonts w:hint="eastAsia"/>
          <w:color w:val="000000" w:themeColor="text1"/>
        </w:rPr>
        <w:t>容易积累静电的常见部位和原因</w:t>
      </w:r>
    </w:p>
    <w:p>
      <w:pPr>
        <w:ind w:firstLine="560"/>
        <w:rPr>
          <w:color w:val="000000" w:themeColor="text1"/>
        </w:rPr>
      </w:pPr>
      <w:r>
        <w:rPr>
          <w:rFonts w:hint="eastAsia"/>
          <w:color w:val="000000" w:themeColor="text1"/>
        </w:rPr>
        <w:t>①低导电液体在管道中的流速超过1m/s时，液体喷出管口时，液体注入容器发生冲击、冲刷或飞溅；②压缩气体、液化气体在管道中流动时和由管口喷出时；③高压可燃气体放空口或高速喷出处；④用高压蒸汽吹扫可燃易爆气体、液体贮罐内部；⑤各种低导电物料混合器的搅拌机件；⑥传动皮带与皮带轮在高速旋转中的摩擦。</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2</w:t>
      </w:r>
      <w:r>
        <w:rPr>
          <w:rFonts w:hint="eastAsia"/>
          <w:color w:val="000000" w:themeColor="text1"/>
          <w:lang w:eastAsia="zh-CN"/>
        </w:rPr>
        <w:t>）</w:t>
      </w:r>
      <w:r>
        <w:rPr>
          <w:rFonts w:hint="eastAsia"/>
          <w:color w:val="000000" w:themeColor="text1"/>
        </w:rPr>
        <w:t>静电能够引起火灾的爆炸</w:t>
      </w:r>
    </w:p>
    <w:p>
      <w:pPr>
        <w:ind w:firstLine="560"/>
        <w:rPr>
          <w:color w:val="000000" w:themeColor="text1"/>
        </w:rPr>
      </w:pPr>
      <w:r>
        <w:rPr>
          <w:rFonts w:hint="eastAsia"/>
          <w:color w:val="000000" w:themeColor="text1"/>
        </w:rPr>
        <w:t>静电在一定的条件下会形成很高的静电电压。在静电电压所产生的电场强度超过周围介质的绝缘击穿电场强度时，则会产生静电放电，如果在易燃易爆物质的场所中出现静电放电，则静电放电火花就会引起火灾和爆炸。</w:t>
      </w:r>
    </w:p>
    <w:p>
      <w:pPr>
        <w:ind w:firstLine="560"/>
        <w:rPr>
          <w:color w:val="000000" w:themeColor="text1"/>
        </w:rPr>
      </w:pPr>
      <w:r>
        <w:rPr>
          <w:rFonts w:hint="eastAsia"/>
          <w:color w:val="000000" w:themeColor="text1"/>
          <w:lang w:eastAsia="zh-CN"/>
        </w:rPr>
        <w:t>（</w:t>
      </w:r>
      <w:r>
        <w:rPr>
          <w:rFonts w:hint="eastAsia"/>
          <w:color w:val="000000" w:themeColor="text1"/>
          <w:lang w:val="en-US" w:eastAsia="zh-CN"/>
        </w:rPr>
        <w:t>3</w:t>
      </w:r>
      <w:r>
        <w:rPr>
          <w:rFonts w:hint="eastAsia"/>
          <w:color w:val="000000" w:themeColor="text1"/>
          <w:lang w:eastAsia="zh-CN"/>
        </w:rPr>
        <w:t>）</w:t>
      </w:r>
      <w:r>
        <w:rPr>
          <w:rFonts w:hint="eastAsia"/>
          <w:color w:val="000000" w:themeColor="text1"/>
        </w:rPr>
        <w:t>静电引起电击</w:t>
      </w:r>
    </w:p>
    <w:p>
      <w:pPr>
        <w:ind w:firstLine="560"/>
        <w:rPr>
          <w:color w:val="000000" w:themeColor="text1"/>
        </w:rPr>
      </w:pPr>
      <w:r>
        <w:rPr>
          <w:rFonts w:hint="eastAsia"/>
          <w:color w:val="000000" w:themeColor="text1"/>
        </w:rPr>
        <w:t>静电引起的电击不是持续通过人体的电流，而是由静放电造成的瞬间冲击性的电击，所以静电电击不会引起致命的伤害，但人体可能因此发生高空坠落，摔倒等二次事故。静电刺激人的神经系统，会使工作人员的精神紧张，工作效率降低。</w:t>
      </w:r>
    </w:p>
    <w:p>
      <w:pPr>
        <w:pStyle w:val="6"/>
        <w:ind w:firstLine="562"/>
      </w:pPr>
      <w:bookmarkStart w:id="2281" w:name="_Toc14215"/>
      <w:bookmarkStart w:id="2282" w:name="_Toc42724718"/>
      <w:bookmarkStart w:id="2283" w:name="_Toc10808"/>
      <w:bookmarkStart w:id="2284" w:name="_Toc17201"/>
      <w:r>
        <w:rPr>
          <w:rFonts w:hint="eastAsia"/>
        </w:rPr>
        <w:t>2.5.3</w:t>
      </w:r>
      <w:r>
        <w:t>.2</w:t>
      </w:r>
      <w:r>
        <w:rPr>
          <w:rFonts w:hint="eastAsia"/>
        </w:rPr>
        <w:t xml:space="preserve"> 给排水系统危险有害因素分析</w:t>
      </w:r>
      <w:bookmarkEnd w:id="2281"/>
      <w:bookmarkEnd w:id="2282"/>
      <w:bookmarkEnd w:id="2283"/>
      <w:bookmarkEnd w:id="2284"/>
    </w:p>
    <w:p>
      <w:pPr>
        <w:ind w:firstLine="560"/>
        <w:rPr>
          <w:color w:val="000000" w:themeColor="text1"/>
        </w:rPr>
      </w:pPr>
      <w:r>
        <w:rPr>
          <w:rFonts w:hint="eastAsia"/>
          <w:color w:val="000000" w:themeColor="text1"/>
        </w:rPr>
        <w:t>包括生产生活给水系统、消防水系统、循环水冷却水系统和排水系统等。</w:t>
      </w:r>
    </w:p>
    <w:p>
      <w:pPr>
        <w:ind w:firstLine="562"/>
        <w:rPr>
          <w:b/>
          <w:bCs/>
          <w:color w:val="000000" w:themeColor="text1"/>
        </w:rPr>
      </w:pPr>
      <w:r>
        <w:rPr>
          <w:rFonts w:hint="eastAsia"/>
          <w:b/>
          <w:bCs/>
          <w:color w:val="000000" w:themeColor="text1"/>
        </w:rPr>
        <w:t>1）淹溺危险性</w:t>
      </w:r>
    </w:p>
    <w:p>
      <w:pPr>
        <w:ind w:firstLine="560"/>
        <w:rPr>
          <w:color w:val="000000" w:themeColor="text1"/>
        </w:rPr>
      </w:pPr>
      <w:r>
        <w:rPr>
          <w:rFonts w:hint="eastAsia"/>
          <w:color w:val="000000" w:themeColor="text1"/>
        </w:rPr>
        <w:t>在整个给水系统、循环水系统和排水系统中，有水库、沟、池等，若防护设施不全或生产运行管理不当，有淹溺危险性。</w:t>
      </w:r>
    </w:p>
    <w:p>
      <w:pPr>
        <w:ind w:firstLine="562"/>
        <w:rPr>
          <w:b/>
          <w:bCs/>
          <w:color w:val="000000" w:themeColor="text1"/>
        </w:rPr>
      </w:pPr>
      <w:r>
        <w:rPr>
          <w:rFonts w:hint="eastAsia"/>
          <w:b/>
          <w:bCs/>
          <w:color w:val="000000" w:themeColor="text1"/>
        </w:rPr>
        <w:t>2）高处坠落危险性</w:t>
      </w:r>
    </w:p>
    <w:p>
      <w:pPr>
        <w:ind w:firstLine="560"/>
        <w:rPr>
          <w:color w:val="000000" w:themeColor="text1"/>
        </w:rPr>
      </w:pPr>
      <w:r>
        <w:rPr>
          <w:rFonts w:hint="eastAsia"/>
          <w:color w:val="000000" w:themeColor="text1"/>
        </w:rPr>
        <w:t>给排水管网，有水池等高层建筑，生产操作、巡回检查、设备检修时有高处坠落危险；在水管架空位置若有可能成为行人走捷径的桥梁通道或小孩攀爬玩耍地点时也有高处坠落的危险。</w:t>
      </w:r>
    </w:p>
    <w:p>
      <w:pPr>
        <w:ind w:firstLine="562"/>
        <w:rPr>
          <w:b/>
          <w:bCs/>
          <w:color w:val="000000" w:themeColor="text1"/>
        </w:rPr>
      </w:pPr>
      <w:r>
        <w:rPr>
          <w:rFonts w:hint="eastAsia"/>
          <w:b/>
          <w:bCs/>
          <w:color w:val="000000" w:themeColor="text1"/>
        </w:rPr>
        <w:t>3）机械伤害危险性</w:t>
      </w:r>
    </w:p>
    <w:p>
      <w:pPr>
        <w:ind w:firstLine="560"/>
        <w:rPr>
          <w:color w:val="000000" w:themeColor="text1"/>
        </w:rPr>
      </w:pPr>
      <w:r>
        <w:rPr>
          <w:rFonts w:hint="eastAsia"/>
          <w:color w:val="000000" w:themeColor="text1"/>
        </w:rPr>
        <w:t>给排水系统有清水泵、循环泵、污水泵、冷却风机、搅拌器等传动设施或运转设备，若发生“三违”现象和防护措施失效，则存在机械伤害危险。</w:t>
      </w:r>
    </w:p>
    <w:p>
      <w:pPr>
        <w:pStyle w:val="6"/>
        <w:ind w:firstLine="562"/>
      </w:pPr>
      <w:bookmarkStart w:id="2285" w:name="_Toc30136"/>
      <w:bookmarkStart w:id="2286" w:name="_Toc17961"/>
      <w:bookmarkStart w:id="2287" w:name="_Toc25955"/>
      <w:r>
        <w:rPr>
          <w:rFonts w:hint="eastAsia"/>
        </w:rPr>
        <w:t>2</w:t>
      </w:r>
      <w:r>
        <w:t>.</w:t>
      </w:r>
      <w:r>
        <w:rPr>
          <w:rFonts w:hint="eastAsia"/>
        </w:rPr>
        <w:t>5.3</w:t>
      </w:r>
      <w:r>
        <w:t>.3</w:t>
      </w:r>
      <w:r>
        <w:rPr>
          <w:rFonts w:hint="eastAsia"/>
        </w:rPr>
        <w:t xml:space="preserve"> 消防系统危险和有害因素分析</w:t>
      </w:r>
      <w:bookmarkEnd w:id="2285"/>
      <w:bookmarkEnd w:id="2286"/>
      <w:bookmarkEnd w:id="2287"/>
    </w:p>
    <w:p>
      <w:pPr>
        <w:ind w:firstLine="560"/>
        <w:rPr>
          <w:color w:val="000000" w:themeColor="text1"/>
        </w:rPr>
      </w:pPr>
      <w:r>
        <w:rPr>
          <w:rFonts w:hint="eastAsia"/>
          <w:color w:val="000000" w:themeColor="text1"/>
        </w:rPr>
        <w:t>1）若系统消防设施配备不足，或消防设施布置不合理，发生火灾事故时不便扑救，造成事故扩大。</w:t>
      </w:r>
    </w:p>
    <w:p>
      <w:pPr>
        <w:ind w:firstLine="560"/>
        <w:rPr>
          <w:color w:val="000000" w:themeColor="text1"/>
        </w:rPr>
      </w:pPr>
      <w:r>
        <w:rPr>
          <w:rFonts w:hint="eastAsia"/>
          <w:color w:val="000000" w:themeColor="text1"/>
        </w:rPr>
        <w:t>2）若所设消防设施日常检查、维护不当等，在发生事故时不能及时进行扑救，造成事故扩大。</w:t>
      </w:r>
    </w:p>
    <w:p>
      <w:pPr>
        <w:ind w:firstLine="560"/>
        <w:rPr>
          <w:color w:val="000000" w:themeColor="text1"/>
        </w:rPr>
      </w:pPr>
      <w:r>
        <w:rPr>
          <w:rFonts w:hint="eastAsia"/>
          <w:color w:val="000000" w:themeColor="text1"/>
        </w:rPr>
        <w:t>3）若在各生产作业场所配备的消防设施与该场所可能发生的火灾事故类别不相配，一旦发生火灾事故，不能有效扑救火灾，造成事故扩大。</w:t>
      </w:r>
    </w:p>
    <w:p>
      <w:pPr>
        <w:ind w:firstLine="560"/>
        <w:rPr>
          <w:color w:val="000000" w:themeColor="text1"/>
        </w:rPr>
      </w:pPr>
      <w:r>
        <w:rPr>
          <w:rFonts w:hint="eastAsia"/>
          <w:color w:val="000000" w:themeColor="text1"/>
        </w:rPr>
        <w:t>4）若发生火灾等事故时，区域内的消防通道堵塞，影响消防救援，会造成事故扩大。</w:t>
      </w:r>
    </w:p>
    <w:p>
      <w:pPr>
        <w:ind w:firstLine="560"/>
        <w:rPr>
          <w:color w:val="000000" w:themeColor="text1"/>
        </w:rPr>
      </w:pPr>
      <w:r>
        <w:rPr>
          <w:rFonts w:hint="eastAsia"/>
          <w:color w:val="000000" w:themeColor="text1"/>
        </w:rPr>
        <w:t>5）当发生火灾时，不能保证提供足量的消防用水、消防设施，用于设备设施降温和灭火。会使火灾事故无法控制、扩大。</w:t>
      </w:r>
    </w:p>
    <w:p>
      <w:pPr>
        <w:pStyle w:val="6"/>
        <w:ind w:firstLine="562"/>
      </w:pPr>
      <w:r>
        <w:rPr>
          <w:rFonts w:hint="eastAsia"/>
        </w:rPr>
        <w:t>2.5.3</w:t>
      </w:r>
      <w:r>
        <w:t>.</w:t>
      </w:r>
      <w:r>
        <w:rPr>
          <w:rFonts w:hint="eastAsia"/>
        </w:rPr>
        <w:t>4 设备设施检修危险性分析</w:t>
      </w:r>
      <w:bookmarkEnd w:id="2273"/>
      <w:bookmarkEnd w:id="2274"/>
      <w:bookmarkEnd w:id="2275"/>
      <w:bookmarkEnd w:id="2276"/>
    </w:p>
    <w:p>
      <w:pPr>
        <w:topLinePunct/>
        <w:ind w:firstLine="560"/>
        <w:rPr>
          <w:rFonts w:ascii="宋体" w:hAnsi="宋体"/>
          <w:color w:val="000000" w:themeColor="text1"/>
        </w:rPr>
      </w:pPr>
      <w:r>
        <w:rPr>
          <w:rFonts w:hint="eastAsia"/>
        </w:rPr>
        <w:t>1）</w:t>
      </w:r>
      <w:r>
        <w:rPr>
          <w:rFonts w:hint="eastAsia" w:ascii="宋体" w:hAnsi="宋体"/>
          <w:color w:val="000000" w:themeColor="text1"/>
        </w:rPr>
        <w:t>出现于运转设备填料密封泄漏或管道、阀门等故障，在检修中，设备、管线内可能存在一些有毒、助燃物料，如这些危险和有害物未清洗干净，或置换不合格或不按规定进行动火分析，违章动火极可能造成火灾爆炸、中毒、触电的事故。</w:t>
      </w:r>
    </w:p>
    <w:p>
      <w:pPr>
        <w:topLinePunct/>
        <w:ind w:firstLine="560"/>
        <w:rPr>
          <w:rFonts w:ascii="宋体" w:hAnsi="宋体"/>
          <w:color w:val="000000" w:themeColor="text1"/>
        </w:rPr>
      </w:pPr>
      <w:r>
        <w:rPr>
          <w:rFonts w:hint="eastAsia"/>
        </w:rPr>
        <w:t>2）</w:t>
      </w:r>
      <w:r>
        <w:rPr>
          <w:rFonts w:hint="eastAsia" w:ascii="宋体" w:hAnsi="宋体"/>
          <w:color w:val="000000" w:themeColor="text1"/>
        </w:rPr>
        <w:t>作业过程、交叉作业多、高处作业多，且多有起重吊装作业、入塔进罐、池内作业不认真检查、动火制度坚持不严、没有严格监护措施，则易发生高空坠落，物体打击、机械伤害、着火、爆炸、中毒窒息和触电的危险。</w:t>
      </w:r>
    </w:p>
    <w:p>
      <w:pPr>
        <w:topLinePunct/>
        <w:ind w:firstLine="560"/>
        <w:rPr>
          <w:rFonts w:ascii="宋体" w:hAnsi="宋体"/>
          <w:color w:val="000000" w:themeColor="text1"/>
          <w:szCs w:val="28"/>
          <w:lang w:val="zh-CN"/>
        </w:rPr>
      </w:pPr>
      <w:r>
        <w:rPr>
          <w:rFonts w:hint="eastAsia"/>
        </w:rPr>
        <w:t>3）</w:t>
      </w:r>
      <w:r>
        <w:rPr>
          <w:rFonts w:hint="eastAsia" w:ascii="宋体" w:hAnsi="宋体"/>
          <w:color w:val="000000" w:themeColor="text1"/>
        </w:rPr>
        <w:t>检维修人员在</w:t>
      </w:r>
      <w:r>
        <w:rPr>
          <w:rFonts w:hint="eastAsia" w:ascii="宋体" w:hAnsi="宋体"/>
          <w:color w:val="000000" w:themeColor="text1"/>
          <w:szCs w:val="28"/>
          <w:lang w:val="zh-CN"/>
        </w:rPr>
        <w:t>检修过程中，若未在适当位置放置一定数量的消防器材，发生事故时不能及时扑救。</w:t>
      </w:r>
    </w:p>
    <w:p>
      <w:pPr>
        <w:topLinePunct/>
        <w:ind w:firstLine="560"/>
        <w:rPr>
          <w:rFonts w:ascii="宋体" w:hAnsi="宋体"/>
          <w:color w:val="000000" w:themeColor="text1"/>
          <w:szCs w:val="28"/>
        </w:rPr>
      </w:pPr>
      <w:r>
        <w:rPr>
          <w:rFonts w:hint="eastAsia"/>
        </w:rPr>
        <w:t>4）</w:t>
      </w:r>
      <w:r>
        <w:rPr>
          <w:rFonts w:hint="eastAsia" w:ascii="宋体" w:hAnsi="宋体"/>
          <w:color w:val="000000" w:themeColor="text1"/>
          <w:szCs w:val="28"/>
        </w:rPr>
        <w:t>设备设施检修时，生产方和检修方若未严格执行交接手续，不能确保检修安全，容易发生火灾、爆炸，甚至人员中毒。</w:t>
      </w:r>
    </w:p>
    <w:p>
      <w:pPr>
        <w:topLinePunct/>
        <w:ind w:firstLine="560"/>
        <w:rPr>
          <w:rFonts w:ascii="宋体" w:hAnsi="宋体"/>
          <w:bCs/>
          <w:color w:val="000000" w:themeColor="text1"/>
          <w:szCs w:val="28"/>
        </w:rPr>
      </w:pPr>
      <w:r>
        <w:rPr>
          <w:rFonts w:hint="eastAsia"/>
        </w:rPr>
        <w:t>5）</w:t>
      </w:r>
      <w:r>
        <w:rPr>
          <w:rFonts w:hint="eastAsia" w:ascii="宋体" w:hAnsi="宋体"/>
          <w:color w:val="000000" w:themeColor="text1"/>
          <w:szCs w:val="28"/>
        </w:rPr>
        <w:t>检修完毕后，若未对检修场所进行清扫，容易发生检修工具遗留在现场或设备内，可能造成事故。</w:t>
      </w:r>
    </w:p>
    <w:p>
      <w:pPr>
        <w:topLinePunct/>
        <w:ind w:firstLine="560"/>
        <w:rPr>
          <w:rFonts w:ascii="宋体" w:hAnsi="宋体"/>
          <w:color w:val="000000" w:themeColor="text1"/>
        </w:rPr>
      </w:pPr>
      <w:r>
        <w:rPr>
          <w:rFonts w:hint="eastAsia"/>
        </w:rPr>
        <w:t>6）</w:t>
      </w:r>
      <w:r>
        <w:rPr>
          <w:rFonts w:hint="eastAsia" w:ascii="宋体" w:hAnsi="宋体"/>
          <w:color w:val="000000" w:themeColor="text1"/>
        </w:rPr>
        <w:t>人员在进行检修作业时若无轮流监护人员，有发生中毒、高处坠落、火灾爆炸的危险。</w:t>
      </w:r>
    </w:p>
    <w:p>
      <w:pPr>
        <w:topLinePunct/>
        <w:ind w:firstLine="560"/>
        <w:rPr>
          <w:rFonts w:ascii="宋体" w:hAnsi="宋体"/>
          <w:color w:val="000000" w:themeColor="text1"/>
          <w:szCs w:val="28"/>
        </w:rPr>
      </w:pPr>
      <w:r>
        <w:rPr>
          <w:rFonts w:hint="eastAsia"/>
        </w:rPr>
        <w:t>7）</w:t>
      </w:r>
      <w:r>
        <w:rPr>
          <w:rFonts w:hint="eastAsia" w:ascii="宋体" w:hAnsi="宋体"/>
          <w:color w:val="000000" w:themeColor="text1"/>
          <w:szCs w:val="28"/>
        </w:rPr>
        <w:t>设备设施检修时，生产方和检修方若未严格执行交接手续，不能确保检修安全，容易发生事故。</w:t>
      </w:r>
    </w:p>
    <w:p>
      <w:pPr>
        <w:topLinePunct/>
        <w:ind w:firstLine="560"/>
        <w:rPr>
          <w:rFonts w:ascii="宋体" w:hAnsi="宋体"/>
          <w:color w:val="000000" w:themeColor="text1"/>
          <w:szCs w:val="28"/>
        </w:rPr>
      </w:pPr>
      <w:r>
        <w:rPr>
          <w:rFonts w:hint="eastAsia"/>
        </w:rPr>
        <w:t>8）</w:t>
      </w:r>
      <w:r>
        <w:rPr>
          <w:rFonts w:hint="eastAsia" w:ascii="宋体" w:hAnsi="宋体"/>
          <w:color w:val="000000" w:themeColor="text1"/>
          <w:szCs w:val="28"/>
        </w:rPr>
        <w:t>设备检修时，必须停机检修，设备的活动部件应固定牢固，否则，可能发生机械伤害、物体打击或其它事故。</w:t>
      </w:r>
    </w:p>
    <w:p>
      <w:pPr>
        <w:topLinePunct/>
        <w:ind w:firstLine="560"/>
        <w:rPr>
          <w:rFonts w:ascii="宋体" w:hAnsi="宋体"/>
          <w:color w:val="000000" w:themeColor="text1"/>
          <w:szCs w:val="28"/>
        </w:rPr>
      </w:pPr>
      <w:r>
        <w:rPr>
          <w:rFonts w:hint="eastAsia"/>
        </w:rPr>
        <w:t>9）</w:t>
      </w:r>
      <w:r>
        <w:rPr>
          <w:rFonts w:hint="eastAsia" w:ascii="宋体" w:hAnsi="宋体"/>
          <w:color w:val="000000" w:themeColor="text1"/>
        </w:rPr>
        <w:t>在各类池内检修时，未进行置换或置换不彻底，人员没有或未正确佩戴防护用品，以及防护用品失效，发生人员中毒窒息事故。</w:t>
      </w:r>
    </w:p>
    <w:p>
      <w:pPr>
        <w:topLinePunct/>
        <w:ind w:firstLine="560"/>
        <w:rPr>
          <w:rFonts w:ascii="宋体" w:hAnsi="宋体"/>
          <w:color w:val="000000" w:themeColor="text1"/>
          <w:szCs w:val="28"/>
        </w:rPr>
      </w:pPr>
      <w:r>
        <w:rPr>
          <w:rFonts w:hint="eastAsia"/>
        </w:rPr>
        <w:t>10）</w:t>
      </w:r>
      <w:r>
        <w:rPr>
          <w:rFonts w:hint="eastAsia" w:ascii="宋体" w:hAnsi="宋体"/>
          <w:color w:val="000000" w:themeColor="text1"/>
          <w:szCs w:val="28"/>
        </w:rPr>
        <w:t>检修过程中，若未在适当位置放置适当消防器材，一旦发生事故时不能及时扑救。</w:t>
      </w:r>
    </w:p>
    <w:p>
      <w:pPr>
        <w:topLinePunct/>
        <w:ind w:firstLine="560"/>
        <w:rPr>
          <w:rFonts w:ascii="宋体" w:hAnsi="宋体"/>
          <w:color w:val="000000" w:themeColor="text1"/>
          <w:szCs w:val="28"/>
        </w:rPr>
      </w:pPr>
      <w:r>
        <w:rPr>
          <w:rFonts w:hint="eastAsia"/>
        </w:rPr>
        <w:t>11）</w:t>
      </w:r>
      <w:r>
        <w:rPr>
          <w:rFonts w:hint="eastAsia" w:ascii="宋体" w:hAnsi="宋体"/>
          <w:color w:val="000000" w:themeColor="text1"/>
          <w:szCs w:val="28"/>
        </w:rPr>
        <w:t>检修完毕后，若未对检修场所进行清扫，容易发生检修工具遗留在现场或设备内，可能造成事故。</w:t>
      </w:r>
    </w:p>
    <w:p>
      <w:pPr>
        <w:pStyle w:val="6"/>
        <w:ind w:firstLine="562"/>
      </w:pPr>
      <w:bookmarkStart w:id="2288" w:name="_Toc128056502"/>
      <w:bookmarkStart w:id="2289" w:name="_Toc30348"/>
      <w:bookmarkStart w:id="2290" w:name="_Toc24465"/>
      <w:bookmarkStart w:id="2291" w:name="_Toc4482"/>
      <w:r>
        <w:rPr>
          <w:rFonts w:hint="eastAsia"/>
        </w:rPr>
        <w:t>2.5.3</w:t>
      </w:r>
      <w:r>
        <w:t>.</w:t>
      </w:r>
      <w:r>
        <w:rPr>
          <w:rFonts w:hint="eastAsia"/>
        </w:rPr>
        <w:t>5 电气设施检修危险性分析</w:t>
      </w:r>
      <w:bookmarkEnd w:id="2288"/>
      <w:bookmarkEnd w:id="2289"/>
      <w:bookmarkEnd w:id="2290"/>
      <w:bookmarkEnd w:id="2291"/>
    </w:p>
    <w:p>
      <w:pPr>
        <w:topLinePunct/>
        <w:ind w:firstLine="560"/>
        <w:rPr>
          <w:rFonts w:ascii="宋体" w:hAnsi="宋体"/>
          <w:color w:val="000000" w:themeColor="text1"/>
          <w:szCs w:val="28"/>
        </w:rPr>
      </w:pPr>
      <w:r>
        <w:rPr>
          <w:rFonts w:hint="eastAsia"/>
        </w:rPr>
        <w:t>1）</w:t>
      </w:r>
      <w:r>
        <w:rPr>
          <w:rFonts w:hint="eastAsia" w:ascii="宋体" w:hAnsi="宋体"/>
          <w:color w:val="000000" w:themeColor="text1"/>
          <w:szCs w:val="28"/>
        </w:rPr>
        <w:t>电气工作人员若未取得特种作业人员操作证，容易发生供电操作和触电事故，甚至发生错送错停电事故，而引起设备损坏，及电气火灾。</w:t>
      </w:r>
    </w:p>
    <w:p>
      <w:pPr>
        <w:topLinePunct/>
        <w:ind w:firstLine="560"/>
        <w:rPr>
          <w:rFonts w:ascii="宋体" w:hAnsi="宋体"/>
          <w:color w:val="000000" w:themeColor="text1"/>
          <w:szCs w:val="28"/>
        </w:rPr>
      </w:pPr>
      <w:r>
        <w:rPr>
          <w:rFonts w:hint="eastAsia"/>
        </w:rPr>
        <w:t>2）</w:t>
      </w:r>
      <w:r>
        <w:rPr>
          <w:rFonts w:hint="eastAsia" w:ascii="宋体" w:hAnsi="宋体"/>
          <w:color w:val="000000" w:themeColor="text1"/>
          <w:szCs w:val="28"/>
        </w:rPr>
        <w:t>电气工作人员若未严格执行电气安全操作规程，容易发生电器设备损坏和触电事故。</w:t>
      </w:r>
    </w:p>
    <w:p>
      <w:pPr>
        <w:topLinePunct/>
        <w:ind w:firstLine="560"/>
        <w:rPr>
          <w:rFonts w:ascii="宋体" w:hAnsi="宋体"/>
          <w:color w:val="000000" w:themeColor="text1"/>
          <w:szCs w:val="28"/>
        </w:rPr>
      </w:pPr>
      <w:r>
        <w:rPr>
          <w:rFonts w:hint="eastAsia"/>
        </w:rPr>
        <w:t>3）</w:t>
      </w:r>
      <w:r>
        <w:rPr>
          <w:rFonts w:hint="eastAsia" w:ascii="宋体" w:hAnsi="宋体"/>
          <w:color w:val="000000" w:themeColor="text1"/>
          <w:szCs w:val="28"/>
        </w:rPr>
        <w:t>电气工作人员工作时，未设置警告牌，或取下、移开和遮盖，容易发生触电事故。</w:t>
      </w:r>
    </w:p>
    <w:p>
      <w:pPr>
        <w:topLinePunct/>
        <w:ind w:firstLine="560"/>
        <w:rPr>
          <w:rFonts w:ascii="宋体" w:hAnsi="宋体"/>
          <w:color w:val="000000" w:themeColor="text1"/>
          <w:szCs w:val="28"/>
        </w:rPr>
      </w:pPr>
      <w:r>
        <w:rPr>
          <w:rFonts w:hint="eastAsia"/>
        </w:rPr>
        <w:t>4）</w:t>
      </w:r>
      <w:r>
        <w:rPr>
          <w:rFonts w:hint="eastAsia" w:ascii="宋体" w:hAnsi="宋体"/>
          <w:color w:val="000000" w:themeColor="text1"/>
          <w:szCs w:val="28"/>
        </w:rPr>
        <w:t>在进行电气操作时，若未按要求做到两人进行（一人工作一人监护），容易发生触电事故。</w:t>
      </w:r>
    </w:p>
    <w:p>
      <w:pPr>
        <w:topLinePunct/>
        <w:ind w:firstLine="560"/>
        <w:rPr>
          <w:rFonts w:ascii="宋体" w:hAnsi="宋体"/>
          <w:color w:val="000000" w:themeColor="text1"/>
          <w:szCs w:val="28"/>
        </w:rPr>
      </w:pPr>
      <w:r>
        <w:rPr>
          <w:rFonts w:hint="eastAsia"/>
        </w:rPr>
        <w:t>5）</w:t>
      </w:r>
      <w:r>
        <w:rPr>
          <w:rFonts w:hint="eastAsia" w:ascii="宋体" w:hAnsi="宋体"/>
          <w:color w:val="000000" w:themeColor="text1"/>
          <w:szCs w:val="28"/>
        </w:rPr>
        <w:t>用绝缘棒拉合各种开关，若未戴绝缘手套，容易发生触电事故。</w:t>
      </w:r>
    </w:p>
    <w:p>
      <w:pPr>
        <w:pStyle w:val="6"/>
        <w:ind w:firstLine="562"/>
      </w:pPr>
      <w:bookmarkStart w:id="2292" w:name="_Toc128056503"/>
      <w:bookmarkStart w:id="2293" w:name="_Toc30333"/>
      <w:bookmarkStart w:id="2294" w:name="_Toc17459"/>
      <w:bookmarkStart w:id="2295" w:name="_Toc5779"/>
      <w:r>
        <w:rPr>
          <w:rFonts w:hint="eastAsia"/>
        </w:rPr>
        <w:t>2.5.3</w:t>
      </w:r>
      <w:r>
        <w:t>.</w:t>
      </w:r>
      <w:r>
        <w:rPr>
          <w:rFonts w:hint="eastAsia"/>
        </w:rPr>
        <w:t>6 受限空间作业危险性分析</w:t>
      </w:r>
      <w:bookmarkEnd w:id="2292"/>
      <w:bookmarkEnd w:id="2293"/>
      <w:bookmarkEnd w:id="2294"/>
      <w:bookmarkEnd w:id="2295"/>
    </w:p>
    <w:p>
      <w:pPr>
        <w:ind w:firstLine="560"/>
        <w:rPr>
          <w:color w:val="000000" w:themeColor="text1"/>
        </w:rPr>
      </w:pPr>
      <w:bookmarkStart w:id="2296" w:name="_Toc42724722"/>
      <w:bookmarkStart w:id="2297" w:name="_Toc518768159"/>
      <w:r>
        <w:rPr>
          <w:rFonts w:hint="eastAsia"/>
          <w:color w:val="000000" w:themeColor="text1"/>
        </w:rPr>
        <w:t>检修作业过程中对产生、输送、使用毒害性物质的设备、管道进行检修时，未对与之连接的管道、设备进行封堵、阀门未切断就进入设备及管道内作业，残留及从与之相连设备、管道流入的毒害性物质可能造成作业人员中毒；在进入产生、输送、使用毒害性物质的设备、管道进行检修时，未进行吹扫或吹扫不干净、未采取通风措施或通风措施无效、未进行有害气体检测分析或分析不准确、未按规定佩戴劳动防护用品或防护用品失效、未设专人监护，残留的毒害性物质可能造成作业人员中毒死亡；在无毒害性物质的限定性空间如塔、罐内作业时未按要求采取通风措施、未派专人监护、未对限定性空间内的空气含氧量进行分析，作业人员进入限定性空间后因缺氧发生窒息甚至死亡。</w:t>
      </w:r>
    </w:p>
    <w:bookmarkEnd w:id="2296"/>
    <w:bookmarkEnd w:id="2297"/>
    <w:p>
      <w:pPr>
        <w:pStyle w:val="6"/>
        <w:ind w:firstLine="562"/>
        <w:rPr>
          <w:rFonts w:hint="eastAsia" w:eastAsia="宋体"/>
          <w:lang w:eastAsia="zh-CN"/>
        </w:rPr>
      </w:pPr>
      <w:bookmarkStart w:id="2298" w:name="_Toc14934"/>
      <w:bookmarkStart w:id="2299" w:name="_Toc10954"/>
      <w:bookmarkStart w:id="2300" w:name="_Toc42724724"/>
      <w:bookmarkStart w:id="2301" w:name="_Toc128056504"/>
      <w:bookmarkStart w:id="2302" w:name="_Toc518768161"/>
      <w:bookmarkStart w:id="2303" w:name="_Toc15962"/>
      <w:r>
        <w:rPr>
          <w:rFonts w:hint="eastAsia"/>
        </w:rPr>
        <w:t>2.5.3</w:t>
      </w:r>
      <w:r>
        <w:t>.</w:t>
      </w:r>
      <w:r>
        <w:rPr>
          <w:rFonts w:hint="eastAsia"/>
        </w:rPr>
        <w:t>7 其他</w:t>
      </w:r>
      <w:bookmarkEnd w:id="2298"/>
      <w:bookmarkEnd w:id="2299"/>
      <w:bookmarkEnd w:id="2300"/>
      <w:bookmarkEnd w:id="2301"/>
      <w:bookmarkEnd w:id="2302"/>
      <w:bookmarkEnd w:id="2303"/>
      <w:r>
        <w:rPr>
          <w:rFonts w:hint="eastAsia"/>
          <w:lang w:eastAsia="zh-CN"/>
        </w:rPr>
        <w:t>危险和有害因素</w:t>
      </w:r>
    </w:p>
    <w:p>
      <w:pPr>
        <w:ind w:firstLine="560"/>
        <w:rPr>
          <w:color w:val="000000" w:themeColor="text1"/>
        </w:rPr>
      </w:pPr>
      <w:r>
        <w:rPr>
          <w:rFonts w:hint="eastAsia"/>
          <w:color w:val="000000" w:themeColor="text1"/>
        </w:rPr>
        <w:t>氟化分公司在检修时，可能因违章检修电气设备、电气线路导致触电事故；违章检修运转或传动机械设备导致的机械伤害；在高于2m的作业平台进行作业时未采取有效的防护措施（如未系安全带或作业平台无防护栏等）导致的坠落伤害；对高温设备检修时未采取防护措施导致的高温物质烫伤；设备、厂内高处物体掉落、高处检修时的工具掉落等砸伤作业人员等。</w:t>
      </w:r>
      <w:bookmarkEnd w:id="2207"/>
      <w:bookmarkEnd w:id="2208"/>
    </w:p>
    <w:p>
      <w:pPr>
        <w:pStyle w:val="6"/>
        <w:ind w:firstLine="562"/>
      </w:pPr>
      <w:bookmarkStart w:id="2304" w:name="_Toc128056505"/>
      <w:bookmarkStart w:id="2305" w:name="_Toc25465"/>
      <w:bookmarkStart w:id="2306" w:name="_Toc31209"/>
      <w:bookmarkStart w:id="2307" w:name="_Toc13646"/>
      <w:r>
        <w:rPr>
          <w:rFonts w:hint="eastAsia"/>
        </w:rPr>
        <w:t>2.5.3.8 特殊作业过程危险有害因素分析</w:t>
      </w:r>
      <w:bookmarkEnd w:id="2304"/>
      <w:bookmarkEnd w:id="2305"/>
      <w:bookmarkEnd w:id="2306"/>
      <w:bookmarkEnd w:id="2307"/>
    </w:p>
    <w:p>
      <w:pPr>
        <w:ind w:firstLine="560"/>
        <w:rPr>
          <w:sz w:val="24"/>
          <w:szCs w:val="24"/>
        </w:rPr>
      </w:pPr>
      <w:r>
        <w:rPr>
          <w:rFonts w:hint="eastAsia"/>
          <w:color w:val="000000" w:themeColor="text1"/>
        </w:rPr>
        <w:t>若项目涉及的主要设备、设施等处出现故障需要检修、维护时，在施工、运行中有可能涉及高处作业、动火作业、临时用电等特殊作业过程，特殊作业环节事故多发主要是由于企业特殊作业管理制度执行不到位、作业前风险识别不清，作业过程中风险管控不到位以及监护人应急处置能力不足等原因。因此在进行特殊作业时必须严格执行《危险化学品企业特殊作业安全规范》（GB30871—2022）规定。</w:t>
      </w:r>
    </w:p>
    <w:p>
      <w:pPr>
        <w:pStyle w:val="89"/>
        <w:rPr>
          <w:sz w:val="24"/>
          <w:szCs w:val="24"/>
        </w:rPr>
      </w:pPr>
      <w:r>
        <w:rPr>
          <w:rFonts w:hint="eastAsia"/>
          <w:sz w:val="24"/>
          <w:szCs w:val="24"/>
        </w:rPr>
        <w:t>附表2.5-1 吊装作业危险性分析</w:t>
      </w:r>
    </w:p>
    <w:tbl>
      <w:tblPr>
        <w:tblStyle w:val="3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763"/>
        <w:gridCol w:w="2069"/>
        <w:gridCol w:w="1949"/>
        <w:gridCol w:w="3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411"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1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1049"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03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吊装作业</w:t>
            </w:r>
          </w:p>
        </w:tc>
        <w:tc>
          <w:tcPr>
            <w:tcW w:w="411"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不按规定要求办理吊装作业许可证</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03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严格办理吊装作业许可证，严禁违章作业，严格按规定执行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03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配备安全措施，安全带、安全帽，相关救生设备等，严格检查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作业人员未进行安全教育</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03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作业前进行安全教育，对现场情况进行培训，严格按照规定执行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安排责任心强有经验的人员进行监护，作业前对安全措施进行严格检查。作业过程中不得脱离岗位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消防器材不足及救援应急措施不当</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造成事故扩大。人员伤害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作业前仔细检查落实配备到位，备有消防器材和药品等急救用品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钢丝绳有断股，破损严重，安全系数不合要求</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高处坠落，人员伤害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使用前认真检查，符合要求才能使用。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作业材料、器具、设备等设施不安全</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造成事故扩大。人员伤害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使用前认真检查，严格按规定执行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作业现场不符要求，与输电设施无安全距离</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现场地面必须牢固，可靠，停放地点平坦。与输电线路有一定的安全距离。严格按规定执行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与现场联系不足，信号不明确，指挥混乱</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人员伤害，财产损失</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作业前与专人建立联系信号，统一指挥。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现场未设置安全警戒标志或警戒线</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划定警戒线，设置安全标志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非施工人员进入施工场地</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交叉施工区域设专人监护，或设置警告牌，按照规定执行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未严格执行吊装作业“十不吊”</w:t>
            </w:r>
          </w:p>
        </w:tc>
        <w:tc>
          <w:tcPr>
            <w:tcW w:w="104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严格执行规定：指挥信号不明或乱指挥不吊；超负荷或物件重量不明不吊；斜拉重物不吊；光线不足看不清重物不吊；重物下或上站人不吊；重物埋在地下不吊；重物紧固不牢，绳打结，绳不齐不吊；棱刃物件没有放垫措施不吊；安全装置失灵不吊；六级强风区不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将建筑物、构筑物作吊装锚点</w:t>
            </w:r>
          </w:p>
        </w:tc>
        <w:tc>
          <w:tcPr>
            <w:tcW w:w="104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03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严禁将建筑物、构筑物作为吊装锚点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作业过程中盲目起吊</w:t>
            </w:r>
          </w:p>
        </w:tc>
        <w:tc>
          <w:tcPr>
            <w:tcW w:w="1049"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必须先用低角度、短行程试吊，严格按照规定执行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吊起的重物在空中长时间或短时间停留</w:t>
            </w:r>
          </w:p>
        </w:tc>
        <w:tc>
          <w:tcPr>
            <w:tcW w:w="104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重物砸伤或机械倒塌</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作业前培训，严格检查，违反者，按规定进行处理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对起吊重物进行加工</w:t>
            </w:r>
          </w:p>
        </w:tc>
        <w:tc>
          <w:tcPr>
            <w:tcW w:w="104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采取有效措施，专人监护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起重设备遇机械故障或不正常现象，在作业过程中进行调整或检修</w:t>
            </w:r>
          </w:p>
        </w:tc>
        <w:tc>
          <w:tcPr>
            <w:tcW w:w="104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按照规定执行，作业前进行起重设备检查，记录归档。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出现危险品泄漏或其他异常情况</w:t>
            </w:r>
          </w:p>
        </w:tc>
        <w:tc>
          <w:tcPr>
            <w:tcW w:w="1049"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停止作业，撤离人员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涉及危险作业组合，未落实相应安全措施，办理相应许可证</w:t>
            </w:r>
          </w:p>
        </w:tc>
        <w:tc>
          <w:tcPr>
            <w:tcW w:w="1049"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按照规定执行，办理相关许可证，落实相关安全措施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104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bl>
    <w:p>
      <w:pPr>
        <w:pStyle w:val="89"/>
      </w:pPr>
    </w:p>
    <w:p>
      <w:pPr>
        <w:pStyle w:val="89"/>
        <w:rPr>
          <w:sz w:val="24"/>
          <w:szCs w:val="24"/>
        </w:rPr>
      </w:pPr>
      <w:r>
        <w:rPr>
          <w:rFonts w:hint="eastAsia"/>
          <w:sz w:val="24"/>
          <w:szCs w:val="24"/>
        </w:rPr>
        <w:t>附表2.5-2 动火作业危险性分析</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686"/>
        <w:gridCol w:w="1888"/>
        <w:gridCol w:w="2211"/>
        <w:gridCol w:w="3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369"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016"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119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028"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w:t>
            </w:r>
          </w:p>
          <w:p>
            <w:pPr>
              <w:adjustRightInd/>
              <w:spacing w:line="240" w:lineRule="auto"/>
              <w:ind w:firstLine="0" w:firstLineChars="0"/>
              <w:rPr>
                <w:color w:val="000000" w:themeColor="text1"/>
                <w:sz w:val="21"/>
                <w:szCs w:val="21"/>
              </w:rPr>
            </w:pPr>
            <w:r>
              <w:rPr>
                <w:rFonts w:hint="eastAsia"/>
                <w:color w:val="000000" w:themeColor="text1"/>
                <w:sz w:val="21"/>
                <w:szCs w:val="21"/>
              </w:rPr>
              <w:t>作业</w:t>
            </w: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不办理动火安全作业证</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02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严格办理动火安全作业证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安全措施不落实</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02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动火负责人负责安全措施的落实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没有安排监护人</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w:t>
            </w:r>
          </w:p>
        </w:tc>
        <w:tc>
          <w:tcPr>
            <w:tcW w:w="202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安排责任心强有经验的人员进行监护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拆除的设备、管线清洗置换不合格</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02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严格按照处理方案进行清洗置换，并分析合格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拆除的设备、管线不与外界隔绝</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02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安排专人进行加盲板或者拆除一段管线进行隔绝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动火作业周围下水道、井盖没封堵、易燃杂物没清理</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安排专人进行清理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监护人不到位</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消防器材不到位</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不能及时灭火，造成事故扩大</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01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作业证手续不全</w:t>
            </w:r>
          </w:p>
        </w:tc>
        <w:tc>
          <w:tcPr>
            <w:tcW w:w="119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严格按照公司有关管理规定办理作业票证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焊接把线、电焊把子漏电</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触电、人员伤害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使用前认真检测设备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不正确接电焊机或不按规定接地线</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触电、人员伤害、财产损失</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由专业人员进行接线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焊接时焊烟大、超标</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加强通风、佩戴劳动防护用品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焊渣飞溅</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焊光强烈</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气割时劳保护品穿戴不齐全</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烫伤</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焊花飞溅</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烫伤</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氧气瓶、乙炔瓶与动火点之间的距离小于10米</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爆炸、火灾、人员伤害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按要求放置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氧气瓶与乙炔瓶之间的距离小于5米</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爆炸、火灾，人员伤害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按要求放置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作业人员不穿戴劳动保护用品</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6"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01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余火没有扑灭</w:t>
            </w:r>
          </w:p>
        </w:tc>
        <w:tc>
          <w:tcPr>
            <w:tcW w:w="119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202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扑灭余火后方可离开现场</w:t>
            </w:r>
          </w:p>
        </w:tc>
      </w:tr>
    </w:tbl>
    <w:p>
      <w:pPr>
        <w:adjustRightInd/>
        <w:ind w:firstLine="562"/>
        <w:jc w:val="center"/>
        <w:rPr>
          <w:rFonts w:ascii="宋体" w:hAnsi="宋体" w:cs="宋体"/>
          <w:b/>
          <w:bCs/>
          <w:color w:val="000000" w:themeColor="text1"/>
        </w:rPr>
      </w:pPr>
    </w:p>
    <w:p>
      <w:pPr>
        <w:pStyle w:val="89"/>
        <w:rPr>
          <w:sz w:val="24"/>
          <w:szCs w:val="24"/>
        </w:rPr>
      </w:pPr>
      <w:r>
        <w:rPr>
          <w:rFonts w:hint="eastAsia"/>
          <w:sz w:val="24"/>
          <w:szCs w:val="24"/>
        </w:rPr>
        <w:t>附表2.5-3 高处作业危险性分析</w:t>
      </w: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567"/>
        <w:gridCol w:w="2086"/>
        <w:gridCol w:w="2152"/>
        <w:gridCol w:w="3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Align w:val="center"/>
          </w:tcPr>
          <w:p>
            <w:pPr>
              <w:adjustRightInd/>
              <w:spacing w:line="240" w:lineRule="auto"/>
              <w:ind w:firstLine="0" w:firstLineChars="0"/>
              <w:rPr>
                <w:b/>
                <w:bCs/>
                <w:color w:val="000000" w:themeColor="text1"/>
                <w:sz w:val="21"/>
                <w:szCs w:val="21"/>
              </w:rPr>
            </w:pPr>
            <w:r>
              <w:rPr>
                <w:rFonts w:hint="eastAsia"/>
                <w:b/>
                <w:bCs/>
                <w:color w:val="000000" w:themeColor="text1"/>
                <w:sz w:val="21"/>
                <w:szCs w:val="21"/>
              </w:rPr>
              <w:t>作业</w:t>
            </w:r>
          </w:p>
          <w:p>
            <w:pPr>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305"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22"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1158"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031"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高处</w:t>
            </w:r>
          </w:p>
          <w:p>
            <w:pPr>
              <w:spacing w:line="240" w:lineRule="auto"/>
              <w:ind w:firstLine="0" w:firstLineChars="0"/>
              <w:jc w:val="center"/>
              <w:rPr>
                <w:color w:val="000000" w:themeColor="text1"/>
                <w:sz w:val="21"/>
                <w:szCs w:val="21"/>
              </w:rPr>
            </w:pPr>
            <w:r>
              <w:rPr>
                <w:rFonts w:hint="eastAsia"/>
                <w:color w:val="000000" w:themeColor="text1"/>
                <w:sz w:val="21"/>
                <w:szCs w:val="21"/>
              </w:rPr>
              <w:t>作业</w:t>
            </w:r>
          </w:p>
        </w:tc>
        <w:tc>
          <w:tcPr>
            <w:tcW w:w="305"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作业前</w:t>
            </w: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不按规定要求办理高处作业许可证</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031"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严格办理高处作业许可证，严禁违章作业，严格按规定执行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tcPr>
          <w:p>
            <w:pPr>
              <w:spacing w:line="240" w:lineRule="auto"/>
              <w:ind w:firstLine="0" w:firstLineChars="0"/>
              <w:jc w:val="center"/>
              <w:rPr>
                <w:color w:val="000000" w:themeColor="text1"/>
                <w:sz w:val="21"/>
                <w:szCs w:val="21"/>
              </w:rPr>
            </w:pP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031" w:type="pct"/>
            <w:vAlign w:val="center"/>
          </w:tcPr>
          <w:p>
            <w:pPr>
              <w:spacing w:line="240" w:lineRule="auto"/>
              <w:ind w:firstLine="0" w:firstLineChars="0"/>
              <w:rPr>
                <w:color w:val="000000" w:themeColor="text1"/>
                <w:sz w:val="21"/>
                <w:szCs w:val="21"/>
              </w:rPr>
            </w:pPr>
            <w:r>
              <w:rPr>
                <w:rFonts w:hint="eastAsia"/>
                <w:color w:val="000000" w:themeColor="text1"/>
                <w:sz w:val="21"/>
                <w:szCs w:val="21"/>
              </w:rPr>
              <w:t>配备安全措施，安全带、安全帽，相关救生设备等，严格检查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tcPr>
          <w:p>
            <w:pPr>
              <w:spacing w:line="240" w:lineRule="auto"/>
              <w:ind w:firstLine="0" w:firstLineChars="0"/>
              <w:jc w:val="center"/>
              <w:rPr>
                <w:color w:val="000000" w:themeColor="text1"/>
                <w:sz w:val="21"/>
                <w:szCs w:val="21"/>
              </w:rPr>
            </w:pP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作业人员未进行安全教育，不清楚现场情况</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不能及时发现处理作业现场出现的问题，人员伤害</w:t>
            </w:r>
          </w:p>
        </w:tc>
        <w:tc>
          <w:tcPr>
            <w:tcW w:w="2031"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作业前进行安全教育，对现场情况进行培训，严格按照规定执行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tcPr>
          <w:p>
            <w:pPr>
              <w:spacing w:line="240" w:lineRule="auto"/>
              <w:ind w:firstLine="0" w:firstLineChars="0"/>
              <w:jc w:val="center"/>
              <w:rPr>
                <w:color w:val="000000" w:themeColor="text1"/>
                <w:sz w:val="21"/>
                <w:szCs w:val="21"/>
              </w:rPr>
            </w:pP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安排责任心强有经验的人员进行监护，作业前对安全措施进行严格检查。作业过程中不得脱离岗位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tcPr>
          <w:p>
            <w:pPr>
              <w:spacing w:line="240" w:lineRule="auto"/>
              <w:ind w:firstLine="0" w:firstLineChars="0"/>
              <w:jc w:val="center"/>
              <w:rPr>
                <w:color w:val="000000" w:themeColor="text1"/>
                <w:sz w:val="21"/>
                <w:szCs w:val="21"/>
              </w:rPr>
            </w:pP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脚手架有缺陷或者不牢固</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高处坠落，人员伤害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使用前认真检查，符合要求才能搭建。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作业中</w:t>
            </w:r>
          </w:p>
        </w:tc>
        <w:tc>
          <w:tcPr>
            <w:tcW w:w="1122"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不系安全带或安全帽，不按规定穿戴其他要求防护用品</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作业前严格检查，不采取安全措施禁止作业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工作平台或梯子湿滑，下梯子脚下踩空</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干燥后再作业，由专人监护，佩戴相应防护用品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tcPr>
          <w:p>
            <w:pPr>
              <w:spacing w:line="240" w:lineRule="auto"/>
              <w:ind w:firstLine="0" w:firstLineChars="0"/>
              <w:jc w:val="center"/>
              <w:rPr>
                <w:color w:val="000000" w:themeColor="text1"/>
                <w:sz w:val="21"/>
                <w:szCs w:val="21"/>
              </w:rPr>
            </w:pPr>
          </w:p>
        </w:tc>
        <w:tc>
          <w:tcPr>
            <w:tcW w:w="1122" w:type="pct"/>
            <w:vAlign w:val="center"/>
          </w:tcPr>
          <w:p>
            <w:pPr>
              <w:spacing w:line="240" w:lineRule="auto"/>
              <w:ind w:firstLine="0" w:firstLineChars="0"/>
              <w:rPr>
                <w:color w:val="000000" w:themeColor="text1"/>
                <w:sz w:val="21"/>
                <w:szCs w:val="21"/>
              </w:rPr>
            </w:pPr>
            <w:r>
              <w:rPr>
                <w:rFonts w:hint="eastAsia"/>
                <w:color w:val="000000" w:themeColor="text1"/>
                <w:kern w:val="0"/>
                <w:sz w:val="21"/>
                <w:szCs w:val="21"/>
              </w:rPr>
              <w:t>登高梯子有缺陷或在梯子上作业时下方没人扶</w:t>
            </w:r>
          </w:p>
        </w:tc>
        <w:tc>
          <w:tcPr>
            <w:tcW w:w="1158"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031"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作业前严格检查，由专人监护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高处带电作业，绝缘保护措施不到位</w:t>
            </w:r>
          </w:p>
        </w:tc>
        <w:tc>
          <w:tcPr>
            <w:tcW w:w="1158"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必须使用绝缘工具或防护器具，作业前认真检查，严格按规定执行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高处行走或作业中，未按规定将安全带系挂</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作业前培训，严格检查，违反者，按规定进行处理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高处切割或施焊，下方未采取相应措施</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火花飞溅，人员伤害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下方铺设保护层，配备消防器材，专人监护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易滑动、滚动的工具、材料堆放位置不正确</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平稳堆放，工具使用时要系安全绳，不用时放入工具袋，采取防坠措施。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在不坚固的结构上作业未铺设脚手板</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必须铺设牢固的脚手板，要有防滑措施。安全教育培训，专人监护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上下时手中持物，上下抛掷工具等物品</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上下时集中精神，作业前安全教育培训，由专人监护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出现危险品泄漏或其他异常情况</w:t>
            </w:r>
          </w:p>
        </w:tc>
        <w:tc>
          <w:tcPr>
            <w:tcW w:w="1158"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停止作业，撤离人员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完工后</w:t>
            </w: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381" w:type="pct"/>
            <w:vMerge w:val="continue"/>
          </w:tcPr>
          <w:p>
            <w:pPr>
              <w:spacing w:line="240" w:lineRule="auto"/>
              <w:ind w:firstLine="0" w:firstLineChars="0"/>
              <w:rPr>
                <w:color w:val="000000" w:themeColor="text1"/>
                <w:sz w:val="21"/>
                <w:szCs w:val="21"/>
              </w:rPr>
            </w:pPr>
          </w:p>
        </w:tc>
        <w:tc>
          <w:tcPr>
            <w:tcW w:w="305" w:type="pct"/>
            <w:vMerge w:val="continue"/>
            <w:vAlign w:val="center"/>
          </w:tcPr>
          <w:p>
            <w:pPr>
              <w:spacing w:line="240" w:lineRule="auto"/>
              <w:ind w:firstLine="0" w:firstLineChars="0"/>
              <w:jc w:val="center"/>
              <w:rPr>
                <w:color w:val="000000" w:themeColor="text1"/>
                <w:sz w:val="21"/>
                <w:szCs w:val="21"/>
              </w:rPr>
            </w:pPr>
          </w:p>
        </w:tc>
        <w:tc>
          <w:tcPr>
            <w:tcW w:w="1122"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上下时未沿安全通道，随意攀登</w:t>
            </w:r>
          </w:p>
        </w:tc>
        <w:tc>
          <w:tcPr>
            <w:tcW w:w="1158"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2031"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沿着安全通道或安全护栏的直梯上下，作业前安全教育，专人看护</w:t>
            </w:r>
          </w:p>
        </w:tc>
      </w:tr>
    </w:tbl>
    <w:p>
      <w:pPr>
        <w:pStyle w:val="89"/>
      </w:pPr>
    </w:p>
    <w:p>
      <w:pPr>
        <w:pStyle w:val="89"/>
        <w:rPr>
          <w:sz w:val="24"/>
          <w:szCs w:val="24"/>
        </w:rPr>
      </w:pPr>
      <w:r>
        <w:rPr>
          <w:rFonts w:hint="eastAsia"/>
          <w:sz w:val="24"/>
          <w:szCs w:val="24"/>
        </w:rPr>
        <w:t>附表2.5-4 进入受限空间作业危险性分析</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686"/>
        <w:gridCol w:w="2663"/>
        <w:gridCol w:w="2184"/>
        <w:gridCol w:w="3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作业名称</w:t>
            </w:r>
          </w:p>
        </w:tc>
        <w:tc>
          <w:tcPr>
            <w:tcW w:w="369"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433"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1175"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165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进入受限空间作业</w:t>
            </w: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不按规定要求办理受限空间作业许可证和临时用电许可证，乱接电源、私自作业。</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165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严格办理进入受限空间安全作业证及临时用电许可证，严禁违章作业，严格按规定执行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165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负责人负责安全措施的落实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作业人员未进行安全教育</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w:t>
            </w:r>
          </w:p>
        </w:tc>
        <w:tc>
          <w:tcPr>
            <w:tcW w:w="165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作业前进行安全教育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检修的设备清洗置换不合格，氧气不足</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165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严格按照处理方案进行清洗置换，并分析合格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检修的设备不与外界隔绝</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1650"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安排专人进行加盲板或者拆除一段管线进行隔绝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安排责任心强有经验的人员进行监护。进入设备前，监护人应会同作业人员检查安全措施，随时与设备内取得联系，不得脱离岗位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消防器材不足及应急措施不当</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不能及时灭火，造成事故扩大。人员伤害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作业前仔细检查落实配备到位，设备外备有空气呼吸器、消防器材和清水等相应急救用品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通风不良</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自然通风或强制通风，或者佩戴空气呼吸器等相应措施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tcPr>
          <w:p>
            <w:pPr>
              <w:adjustRightInd/>
              <w:spacing w:line="240" w:lineRule="auto"/>
              <w:ind w:firstLine="0" w:firstLineChars="0"/>
              <w:rPr>
                <w:color w:val="000000" w:themeColor="text1"/>
                <w:sz w:val="21"/>
                <w:szCs w:val="21"/>
              </w:rPr>
            </w:pPr>
          </w:p>
        </w:tc>
        <w:tc>
          <w:tcPr>
            <w:tcW w:w="1433"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照明设备触电危害</w:t>
            </w:r>
          </w:p>
        </w:tc>
        <w:tc>
          <w:tcPr>
            <w:tcW w:w="1175"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50"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设备内照明电压应小于36V，在潮湿容器、狭小容器内作业小于等于12V。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在设备内切割作业后切割物件落下，温度高</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切割作业时，要做好安全防护措施，由专人看护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未定时检测</w:t>
            </w:r>
          </w:p>
        </w:tc>
        <w:tc>
          <w:tcPr>
            <w:tcW w:w="1175"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作业中加强定点监测，情况异常立即停止作业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设备内高处作业不系安全带</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设备内焊接作业，烟雾大</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加强通风、佩戴劳动防护用品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设备内作业，扳手等工具放置不稳或者把持不牢，造成脱落</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工具放置平稳。佩戴劳动防护用品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设备内施工粉尘多</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拆除设备人孔螺栓等配件，不按规定放置，导致高空坠落</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集中放置指定地点，由专人看护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作业工程中出现危险品泄漏、或人员不适</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停止作业，撤离人员佩戴劳动防护用品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1" w:type="pct"/>
            <w:vMerge w:val="continue"/>
          </w:tcPr>
          <w:p>
            <w:pPr>
              <w:adjustRightInd/>
              <w:spacing w:line="240" w:lineRule="auto"/>
              <w:ind w:firstLine="0" w:firstLineChars="0"/>
              <w:rPr>
                <w:color w:val="000000" w:themeColor="text1"/>
                <w:sz w:val="21"/>
                <w:szCs w:val="21"/>
              </w:rPr>
            </w:pPr>
          </w:p>
        </w:tc>
        <w:tc>
          <w:tcPr>
            <w:tcW w:w="369" w:type="pct"/>
            <w:vMerge w:val="continue"/>
            <w:vAlign w:val="center"/>
          </w:tcPr>
          <w:p>
            <w:pPr>
              <w:adjustRightInd/>
              <w:spacing w:line="240" w:lineRule="auto"/>
              <w:ind w:firstLine="0" w:firstLineChars="0"/>
              <w:rPr>
                <w:color w:val="000000" w:themeColor="text1"/>
                <w:sz w:val="21"/>
                <w:szCs w:val="21"/>
              </w:rPr>
            </w:pPr>
          </w:p>
        </w:tc>
        <w:tc>
          <w:tcPr>
            <w:tcW w:w="1433"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设备内遗留异物</w:t>
            </w:r>
          </w:p>
        </w:tc>
        <w:tc>
          <w:tcPr>
            <w:tcW w:w="1175"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1650"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设备内作业结束后，认真检查设备内外，不得遗留工具等</w:t>
            </w:r>
          </w:p>
        </w:tc>
      </w:tr>
    </w:tbl>
    <w:p>
      <w:pPr>
        <w:pStyle w:val="89"/>
      </w:pPr>
    </w:p>
    <w:p>
      <w:pPr>
        <w:pStyle w:val="89"/>
        <w:rPr>
          <w:sz w:val="24"/>
          <w:szCs w:val="24"/>
        </w:rPr>
      </w:pPr>
      <w:r>
        <w:rPr>
          <w:rFonts w:hint="eastAsia"/>
          <w:sz w:val="24"/>
          <w:szCs w:val="24"/>
        </w:rPr>
        <w:t>附表2.5-5 临时用电作业危险性分析</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695"/>
        <w:gridCol w:w="2790"/>
        <w:gridCol w:w="2145"/>
        <w:gridCol w:w="2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作业名称</w:t>
            </w:r>
          </w:p>
        </w:tc>
        <w:tc>
          <w:tcPr>
            <w:tcW w:w="37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501"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115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1607"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361"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临时用电作业</w:t>
            </w:r>
          </w:p>
        </w:tc>
        <w:tc>
          <w:tcPr>
            <w:tcW w:w="374"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作业前</w:t>
            </w: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不按规定要求办理用电许可证，乱接电源</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shd w:val="clear" w:color="auto" w:fill="FFFFFF"/>
              <w:adjustRightInd/>
              <w:spacing w:line="240" w:lineRule="auto"/>
              <w:ind w:firstLine="0" w:firstLineChars="0"/>
              <w:rPr>
                <w:color w:val="000000" w:themeColor="text1"/>
                <w:sz w:val="21"/>
                <w:szCs w:val="21"/>
              </w:rPr>
            </w:pPr>
            <w:r>
              <w:rPr>
                <w:rFonts w:hint="eastAsia"/>
                <w:bCs/>
                <w:color w:val="000000" w:themeColor="text1"/>
                <w:sz w:val="21"/>
                <w:szCs w:val="21"/>
              </w:rPr>
              <w:t>严格按</w:t>
            </w:r>
            <w:r>
              <w:rPr>
                <w:rFonts w:hint="eastAsia"/>
                <w:color w:val="000000" w:themeColor="text1"/>
                <w:sz w:val="21"/>
                <w:szCs w:val="21"/>
              </w:rPr>
              <w:t>要求办理临时用电许可证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电工不掌握使用设备的性能或缺乏相应专业知识</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配备专业电工进行作业，严格执行《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作业中</w:t>
            </w: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电源线路、绝缘不符合要求，有断裂破损情况</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更换符合标准的电线，严格执行《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电工个人防护用品佩戴不齐或佩戴不当</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必须使用符合要求的防护用品绝缘工具，严格执行《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电箱安装位置不当，现场重要或危险部位，没有醒目电气安全标志</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专业电工负责进行安装，设置明显安全标志，严格执行《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kern w:val="0"/>
                <w:sz w:val="21"/>
                <w:szCs w:val="21"/>
              </w:rPr>
              <w:t>停电时未挂警示牌，带电作业现场无监护人</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悬挂警示牌，安排责任心强的监护人，</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电缆过路无保护措施</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电缆进行穿管埋地保护措施，</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搬迁或移动用电设备未切断电源、未经电工妥善处理</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专业电工负责相关事项，</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tcPr>
          <w:p>
            <w:pPr>
              <w:adjustRightInd/>
              <w:spacing w:line="240" w:lineRule="auto"/>
              <w:ind w:firstLine="0" w:firstLineChars="0"/>
              <w:jc w:val="center"/>
              <w:rPr>
                <w:color w:val="000000" w:themeColor="text1"/>
                <w:sz w:val="21"/>
                <w:szCs w:val="21"/>
              </w:rPr>
            </w:pPr>
          </w:p>
        </w:tc>
        <w:tc>
          <w:tcPr>
            <w:tcW w:w="150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施工用电设备和设施线路裸露，电线老化破皮未包</w:t>
            </w:r>
          </w:p>
        </w:tc>
        <w:tc>
          <w:tcPr>
            <w:tcW w:w="115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更换符合标准的电线，</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36V安全电压照明线路混乱和接头处未用绝缘胶布包扎</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在潮湿场所不使用安全电压</w:t>
            </w:r>
          </w:p>
        </w:tc>
        <w:tc>
          <w:tcPr>
            <w:tcW w:w="115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按照规定使用安全电压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开关箱无漏电保护器或失灵</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严格检查，更换符合标准的保护器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电箱无门锁无防雨措施</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增加门锁及防雨措施，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各种设备未作保护接零或无漏电保护器</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做好保护接零或安装漏电保护器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作业条件发生变化</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重新办理用电许可证，严格执行《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完工后</w:t>
            </w: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没有及时拆除临时用电设施</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及时拆除临时用电设施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1" w:type="pct"/>
            <w:vMerge w:val="continue"/>
          </w:tcPr>
          <w:p>
            <w:pPr>
              <w:adjustRightInd/>
              <w:spacing w:line="240" w:lineRule="auto"/>
              <w:ind w:firstLine="0" w:firstLineChars="0"/>
              <w:jc w:val="center"/>
              <w:rPr>
                <w:color w:val="000000" w:themeColor="text1"/>
                <w:sz w:val="21"/>
                <w:szCs w:val="21"/>
              </w:rPr>
            </w:pPr>
          </w:p>
        </w:tc>
        <w:tc>
          <w:tcPr>
            <w:tcW w:w="374" w:type="pct"/>
            <w:vMerge w:val="continue"/>
            <w:vAlign w:val="center"/>
          </w:tcPr>
          <w:p>
            <w:pPr>
              <w:adjustRightInd/>
              <w:spacing w:line="240" w:lineRule="auto"/>
              <w:ind w:firstLine="0" w:firstLineChars="0"/>
              <w:jc w:val="center"/>
              <w:rPr>
                <w:color w:val="000000" w:themeColor="text1"/>
                <w:sz w:val="21"/>
                <w:szCs w:val="21"/>
              </w:rPr>
            </w:pPr>
          </w:p>
        </w:tc>
        <w:tc>
          <w:tcPr>
            <w:tcW w:w="1501"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非电工人员拆除临时用电设施</w:t>
            </w:r>
          </w:p>
        </w:tc>
        <w:tc>
          <w:tcPr>
            <w:tcW w:w="115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160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严格监督，安排专业电工拆除</w:t>
            </w:r>
          </w:p>
        </w:tc>
      </w:tr>
    </w:tbl>
    <w:p>
      <w:pPr>
        <w:pStyle w:val="51"/>
        <w:rPr>
          <w:rFonts w:hint="default"/>
          <w:sz w:val="28"/>
          <w:szCs w:val="28"/>
        </w:rPr>
      </w:pPr>
    </w:p>
    <w:p>
      <w:pPr>
        <w:pStyle w:val="5"/>
        <w:ind w:firstLine="562"/>
      </w:pPr>
      <w:bookmarkStart w:id="2308" w:name="_Toc8037"/>
      <w:bookmarkStart w:id="2309" w:name="_Toc13124"/>
      <w:bookmarkStart w:id="2310" w:name="_Toc32046"/>
      <w:bookmarkStart w:id="2311" w:name="_Toc20750"/>
      <w:bookmarkStart w:id="2312" w:name="_Toc128056510"/>
      <w:bookmarkStart w:id="2313" w:name="_Toc11920"/>
      <w:bookmarkStart w:id="2314" w:name="_Toc25338"/>
      <w:bookmarkStart w:id="2315" w:name="_Toc7250"/>
      <w:bookmarkStart w:id="2316" w:name="_Toc19142"/>
      <w:bookmarkStart w:id="2317" w:name="_Toc7883"/>
      <w:bookmarkStart w:id="2318" w:name="_Toc29919"/>
      <w:bookmarkStart w:id="2319" w:name="_Toc255"/>
      <w:bookmarkStart w:id="2320" w:name="_Toc7198"/>
      <w:bookmarkStart w:id="2321" w:name="_Toc737"/>
      <w:r>
        <w:rPr>
          <w:rFonts w:hint="eastAsia"/>
        </w:rPr>
        <w:t>2.5.4 安全管理及应急救援危险性分析</w:t>
      </w:r>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p>
    <w:p>
      <w:pPr>
        <w:pStyle w:val="6"/>
        <w:ind w:firstLine="562"/>
      </w:pPr>
      <w:bookmarkStart w:id="2322" w:name="_Toc23687"/>
      <w:bookmarkStart w:id="2323" w:name="_Toc21440"/>
      <w:bookmarkStart w:id="2324" w:name="_Toc2684"/>
      <w:r>
        <w:rPr>
          <w:rFonts w:hint="eastAsia"/>
        </w:rPr>
        <w:t>2</w:t>
      </w:r>
      <w:r>
        <w:t>.</w:t>
      </w:r>
      <w:r>
        <w:rPr>
          <w:rFonts w:hint="eastAsia"/>
        </w:rPr>
        <w:t>5.4</w:t>
      </w:r>
      <w:r>
        <w:t>.1</w:t>
      </w:r>
      <w:r>
        <w:rPr>
          <w:rFonts w:hint="eastAsia"/>
        </w:rPr>
        <w:t xml:space="preserve"> 安全管理方面的危险性分析</w:t>
      </w:r>
      <w:bookmarkEnd w:id="2322"/>
      <w:bookmarkEnd w:id="2323"/>
      <w:bookmarkEnd w:id="2324"/>
    </w:p>
    <w:p>
      <w:pPr>
        <w:ind w:firstLine="560"/>
        <w:rPr>
          <w:color w:val="000000" w:themeColor="text1"/>
        </w:rPr>
      </w:pPr>
      <w:r>
        <w:rPr>
          <w:rFonts w:hint="eastAsia"/>
        </w:rPr>
        <w:t>1）</w:t>
      </w:r>
      <w:r>
        <w:rPr>
          <w:rFonts w:hint="eastAsia"/>
          <w:color w:val="000000" w:themeColor="text1"/>
        </w:rPr>
        <w:t>安全管理组织体系方面危险性分析</w:t>
      </w:r>
    </w:p>
    <w:p>
      <w:pPr>
        <w:ind w:firstLine="560"/>
        <w:rPr>
          <w:color w:val="000000" w:themeColor="text1"/>
        </w:rPr>
      </w:pPr>
      <w:r>
        <w:rPr>
          <w:rFonts w:hint="eastAsia"/>
          <w:color w:val="000000" w:themeColor="text1"/>
        </w:rPr>
        <w:t>安全管理组织体系是企业安全生产重要保障，安全生产管理的分级、协调等管理缺陷，可能因为安全管理组织体系缺陷引发事故，或事故进一步扩大。</w:t>
      </w:r>
    </w:p>
    <w:p>
      <w:pPr>
        <w:ind w:firstLine="560"/>
        <w:rPr>
          <w:color w:val="000000" w:themeColor="text1"/>
        </w:rPr>
      </w:pPr>
      <w:r>
        <w:rPr>
          <w:rFonts w:hint="eastAsia"/>
          <w:color w:val="000000" w:themeColor="text1"/>
          <w:lang w:eastAsia="zh-CN"/>
        </w:rPr>
        <w:t>（</w:t>
      </w:r>
      <w:r>
        <w:rPr>
          <w:rFonts w:hint="eastAsia"/>
          <w:color w:val="000000" w:themeColor="text1"/>
        </w:rPr>
        <w:t>1）安全管理组织机构的结构、人员组成不适应生产系统：</w:t>
      </w:r>
    </w:p>
    <w:p>
      <w:pPr>
        <w:ind w:firstLine="560"/>
        <w:rPr>
          <w:color w:val="000000" w:themeColor="text1"/>
        </w:rPr>
      </w:pPr>
      <w:r>
        <w:rPr>
          <w:rFonts w:hint="eastAsia"/>
          <w:color w:val="000000" w:themeColor="text1"/>
          <w:lang w:eastAsia="zh-CN"/>
        </w:rPr>
        <w:t>（</w:t>
      </w:r>
      <w:r>
        <w:rPr>
          <w:rFonts w:hint="eastAsia"/>
          <w:color w:val="000000" w:themeColor="text1"/>
        </w:rPr>
        <w:t>2）未按要求配备足够的管理人员，造成安全管理工作中存在衔接不当、管理空白、专业不全等；</w:t>
      </w:r>
    </w:p>
    <w:p>
      <w:pPr>
        <w:ind w:firstLine="560"/>
        <w:rPr>
          <w:color w:val="000000" w:themeColor="text1"/>
        </w:rPr>
      </w:pPr>
      <w:r>
        <w:rPr>
          <w:rFonts w:hint="eastAsia"/>
          <w:color w:val="000000" w:themeColor="text1"/>
          <w:lang w:eastAsia="zh-CN"/>
        </w:rPr>
        <w:t>（</w:t>
      </w:r>
      <w:r>
        <w:rPr>
          <w:rFonts w:hint="eastAsia"/>
          <w:color w:val="000000" w:themeColor="text1"/>
        </w:rPr>
        <w:t>3）对从业人员的安全教育培训不足，如安全生产管理人员和基层操作人员未经过培训考核或培训学时不足，不具备相应的安全生产知识和上岗能力；员工素质低下，观念落后，致使人员安全意识差、不安全行为数量增多；忽视对外协用工、外来参观、学习人员的安全教育培训等。</w:t>
      </w:r>
    </w:p>
    <w:p>
      <w:pPr>
        <w:ind w:firstLine="560"/>
        <w:rPr>
          <w:color w:val="000000" w:themeColor="text1"/>
        </w:rPr>
      </w:pPr>
      <w:r>
        <w:rPr>
          <w:rFonts w:hint="eastAsia"/>
          <w:color w:val="000000" w:themeColor="text1"/>
          <w:lang w:eastAsia="zh-CN"/>
        </w:rPr>
        <w:t>（</w:t>
      </w:r>
      <w:r>
        <w:rPr>
          <w:rFonts w:hint="eastAsia"/>
          <w:color w:val="000000" w:themeColor="text1"/>
        </w:rPr>
        <w:t>4）人员职权交叉，造成管理混乱；</w:t>
      </w:r>
    </w:p>
    <w:p>
      <w:pPr>
        <w:ind w:firstLine="560"/>
        <w:rPr>
          <w:color w:val="000000" w:themeColor="text1"/>
        </w:rPr>
      </w:pPr>
      <w:r>
        <w:rPr>
          <w:rFonts w:hint="eastAsia"/>
          <w:color w:val="000000" w:themeColor="text1"/>
          <w:lang w:eastAsia="zh-CN"/>
        </w:rPr>
        <w:t>（</w:t>
      </w:r>
      <w:r>
        <w:rPr>
          <w:rFonts w:hint="eastAsia"/>
          <w:color w:val="000000" w:themeColor="text1"/>
        </w:rPr>
        <w:t>5）在解决重大问题上由最高领导一人凭借经验作决策，没有征求大多数人的意见。</w:t>
      </w:r>
    </w:p>
    <w:p>
      <w:pPr>
        <w:ind w:firstLine="560"/>
        <w:rPr>
          <w:color w:val="000000" w:themeColor="text1"/>
        </w:rPr>
      </w:pPr>
      <w:r>
        <w:rPr>
          <w:rFonts w:hint="eastAsia"/>
        </w:rPr>
        <w:t>2）</w:t>
      </w:r>
      <w:r>
        <w:rPr>
          <w:rFonts w:hint="eastAsia"/>
          <w:color w:val="000000" w:themeColor="text1"/>
        </w:rPr>
        <w:t>安全管理制度方面危险性分析</w:t>
      </w:r>
    </w:p>
    <w:p>
      <w:pPr>
        <w:ind w:firstLine="560"/>
        <w:rPr>
          <w:color w:val="000000" w:themeColor="text1"/>
        </w:rPr>
      </w:pPr>
      <w:r>
        <w:rPr>
          <w:rFonts w:hint="eastAsia"/>
          <w:color w:val="000000" w:themeColor="text1"/>
        </w:rPr>
        <w:t>安全管理制度是为加强公司生产工作的劳动保护、改善劳动条件，保护劳动者在生产过程中的安全和健康，促进公司事业的发展，根据有关劳动保护的法令、法规等有关规定，结合公司的实际情况制订的规定：可能因为安全管理制度不健全，引发事故，其主要原因有：</w:t>
      </w:r>
    </w:p>
    <w:p>
      <w:pPr>
        <w:ind w:firstLine="560"/>
        <w:rPr>
          <w:color w:val="000000" w:themeColor="text1"/>
        </w:rPr>
      </w:pPr>
      <w:r>
        <w:rPr>
          <w:rFonts w:hint="eastAsia"/>
          <w:color w:val="000000" w:themeColor="text1"/>
          <w:lang w:eastAsia="zh-CN"/>
        </w:rPr>
        <w:t>（</w:t>
      </w:r>
      <w:r>
        <w:rPr>
          <w:rFonts w:hint="eastAsia"/>
          <w:color w:val="000000" w:themeColor="text1"/>
        </w:rPr>
        <w:t>1</w:t>
      </w:r>
      <w:r>
        <w:rPr>
          <w:rFonts w:hint="eastAsia"/>
          <w:color w:val="000000" w:themeColor="text1"/>
          <w:lang w:eastAsia="zh-CN"/>
        </w:rPr>
        <w:t>）</w:t>
      </w:r>
      <w:r>
        <w:rPr>
          <w:rFonts w:hint="eastAsia"/>
          <w:color w:val="000000" w:themeColor="text1"/>
        </w:rPr>
        <w:t>未根据自身特点制定、完善安全生产责任制、安全生产管理制度，造成工作中无章可循，生产次序混乱；</w:t>
      </w:r>
    </w:p>
    <w:p>
      <w:pPr>
        <w:ind w:firstLine="560"/>
        <w:rPr>
          <w:color w:val="000000" w:themeColor="text1"/>
        </w:rPr>
      </w:pPr>
      <w:r>
        <w:rPr>
          <w:rFonts w:hint="eastAsia"/>
          <w:color w:val="000000" w:themeColor="text1"/>
          <w:lang w:eastAsia="zh-CN"/>
        </w:rPr>
        <w:t>（</w:t>
      </w:r>
      <w:r>
        <w:rPr>
          <w:rFonts w:hint="eastAsia"/>
          <w:color w:val="000000" w:themeColor="text1"/>
        </w:rPr>
        <w:t>2</w:t>
      </w:r>
      <w:r>
        <w:rPr>
          <w:rFonts w:hint="eastAsia"/>
          <w:color w:val="000000" w:themeColor="text1"/>
          <w:lang w:eastAsia="zh-CN"/>
        </w:rPr>
        <w:t>）</w:t>
      </w:r>
      <w:r>
        <w:rPr>
          <w:rFonts w:hint="eastAsia"/>
          <w:color w:val="000000" w:themeColor="text1"/>
        </w:rPr>
        <w:t>安全生产责任制未落实到每个环节、每个岗位、每个人,各自职责不明确；</w:t>
      </w:r>
    </w:p>
    <w:p>
      <w:pPr>
        <w:ind w:firstLine="560"/>
        <w:rPr>
          <w:color w:val="000000" w:themeColor="text1"/>
        </w:rPr>
      </w:pPr>
      <w:r>
        <w:rPr>
          <w:rFonts w:hint="eastAsia"/>
          <w:color w:val="000000" w:themeColor="text1"/>
          <w:lang w:eastAsia="zh-CN"/>
        </w:rPr>
        <w:t>（</w:t>
      </w:r>
      <w:r>
        <w:rPr>
          <w:rFonts w:hint="eastAsia"/>
          <w:color w:val="000000" w:themeColor="text1"/>
        </w:rPr>
        <w:t>3</w:t>
      </w:r>
      <w:r>
        <w:rPr>
          <w:rFonts w:hint="eastAsia"/>
          <w:color w:val="000000" w:themeColor="text1"/>
          <w:lang w:eastAsia="zh-CN"/>
        </w:rPr>
        <w:t>）</w:t>
      </w:r>
      <w:r>
        <w:rPr>
          <w:rFonts w:hint="eastAsia"/>
          <w:color w:val="000000" w:themeColor="text1"/>
        </w:rPr>
        <w:t>不同的安全管理规章制度之间缺少相互配合和促进机制;</w:t>
      </w:r>
    </w:p>
    <w:p>
      <w:pPr>
        <w:ind w:firstLine="560"/>
        <w:rPr>
          <w:color w:val="000000" w:themeColor="text1"/>
        </w:rPr>
      </w:pPr>
      <w:r>
        <w:rPr>
          <w:rFonts w:hint="eastAsia"/>
          <w:color w:val="000000" w:themeColor="text1"/>
          <w:lang w:eastAsia="zh-CN"/>
        </w:rPr>
        <w:t>（</w:t>
      </w:r>
      <w:r>
        <w:rPr>
          <w:rFonts w:hint="eastAsia"/>
          <w:color w:val="000000" w:themeColor="text1"/>
        </w:rPr>
        <w:t>4</w:t>
      </w:r>
      <w:r>
        <w:rPr>
          <w:rFonts w:hint="eastAsia"/>
          <w:color w:val="000000" w:themeColor="text1"/>
          <w:lang w:eastAsia="zh-CN"/>
        </w:rPr>
        <w:t>）</w:t>
      </w:r>
      <w:r>
        <w:rPr>
          <w:rFonts w:hint="eastAsia"/>
          <w:color w:val="000000" w:themeColor="text1"/>
        </w:rPr>
        <w:t>安全管理规章制度流于形式,内容不完善、不全面;</w:t>
      </w:r>
    </w:p>
    <w:p>
      <w:pPr>
        <w:ind w:firstLine="560"/>
        <w:rPr>
          <w:color w:val="000000" w:themeColor="text1"/>
        </w:rPr>
      </w:pPr>
      <w:r>
        <w:rPr>
          <w:rFonts w:hint="eastAsia"/>
          <w:color w:val="000000" w:themeColor="text1"/>
          <w:lang w:eastAsia="zh-CN"/>
        </w:rPr>
        <w:t>（</w:t>
      </w:r>
      <w:r>
        <w:rPr>
          <w:rFonts w:hint="eastAsia"/>
          <w:color w:val="000000" w:themeColor="text1"/>
        </w:rPr>
        <w:t>5</w:t>
      </w:r>
      <w:r>
        <w:rPr>
          <w:rFonts w:hint="eastAsia"/>
          <w:color w:val="000000" w:themeColor="text1"/>
          <w:lang w:eastAsia="zh-CN"/>
        </w:rPr>
        <w:t>）</w:t>
      </w:r>
      <w:r>
        <w:rPr>
          <w:rFonts w:hint="eastAsia"/>
          <w:color w:val="000000" w:themeColor="text1"/>
        </w:rPr>
        <w:t>安全管理规章制度要求与实际工作脱节等。</w:t>
      </w:r>
    </w:p>
    <w:p>
      <w:pPr>
        <w:pStyle w:val="6"/>
        <w:ind w:firstLine="562"/>
      </w:pPr>
      <w:bookmarkStart w:id="2325" w:name="_Toc31341"/>
      <w:bookmarkStart w:id="2326" w:name="_Toc7829"/>
      <w:bookmarkStart w:id="2327" w:name="_Toc22559"/>
      <w:r>
        <w:rPr>
          <w:rFonts w:hint="eastAsia"/>
        </w:rPr>
        <w:t>2</w:t>
      </w:r>
      <w:r>
        <w:t>.</w:t>
      </w:r>
      <w:r>
        <w:rPr>
          <w:rFonts w:hint="eastAsia"/>
        </w:rPr>
        <w:t>5.4</w:t>
      </w:r>
      <w:r>
        <w:t>.2</w:t>
      </w:r>
      <w:r>
        <w:rPr>
          <w:rFonts w:hint="eastAsia"/>
        </w:rPr>
        <w:t xml:space="preserve"> 应急救援方面危险性分析</w:t>
      </w:r>
      <w:bookmarkEnd w:id="2325"/>
      <w:bookmarkEnd w:id="2326"/>
      <w:bookmarkEnd w:id="2327"/>
    </w:p>
    <w:p>
      <w:pPr>
        <w:ind w:firstLine="560"/>
        <w:rPr>
          <w:color w:val="000000" w:themeColor="text1"/>
        </w:rPr>
      </w:pPr>
      <w:r>
        <w:rPr>
          <w:rFonts w:hint="eastAsia"/>
          <w:color w:val="000000" w:themeColor="text1"/>
        </w:rPr>
        <w:t>应急救援是针对可能发生的重大事故,为保证迅速、有效、有序地开展应急救援行动,以便预防、降低事故及可能因为事故应急措施不当等引发的事故,其主要原因有；</w:t>
      </w:r>
    </w:p>
    <w:p>
      <w:pPr>
        <w:ind w:firstLine="560"/>
        <w:rPr>
          <w:color w:val="000000" w:themeColor="text1"/>
        </w:rPr>
      </w:pPr>
      <w:r>
        <w:rPr>
          <w:rFonts w:hint="eastAsia"/>
          <w:color w:val="000000" w:themeColor="text1"/>
          <w:lang w:val="en-US" w:eastAsia="zh-CN"/>
        </w:rPr>
        <w:t>1）</w:t>
      </w:r>
      <w:r>
        <w:rPr>
          <w:rFonts w:hint="eastAsia"/>
          <w:color w:val="000000" w:themeColor="text1"/>
        </w:rPr>
        <w:t>公司未按照《生产经营单位生产安全事故应急预案编制导则》（G</w:t>
      </w:r>
      <w:r>
        <w:rPr>
          <w:color w:val="000000" w:themeColor="text1"/>
        </w:rPr>
        <w:t>B/T29639-2020</w:t>
      </w:r>
      <w:r>
        <w:rPr>
          <w:rFonts w:hint="eastAsia"/>
          <w:color w:val="000000" w:themeColor="text1"/>
        </w:rPr>
        <w:t>）要求编制事故应急预案;</w:t>
      </w:r>
    </w:p>
    <w:p>
      <w:pPr>
        <w:ind w:firstLine="560"/>
        <w:rPr>
          <w:color w:val="000000" w:themeColor="text1"/>
        </w:rPr>
      </w:pPr>
      <w:r>
        <w:rPr>
          <w:rFonts w:hint="eastAsia"/>
          <w:color w:val="000000" w:themeColor="text1"/>
          <w:lang w:val="en-US" w:eastAsia="zh-CN"/>
        </w:rPr>
        <w:t>2）</w:t>
      </w:r>
      <w:r>
        <w:rPr>
          <w:rFonts w:hint="eastAsia"/>
          <w:color w:val="000000" w:themeColor="text1"/>
        </w:rPr>
        <w:t>应急救援时未按照事故应急原则进行处置;</w:t>
      </w:r>
    </w:p>
    <w:p>
      <w:pPr>
        <w:ind w:firstLine="560"/>
        <w:rPr>
          <w:color w:val="000000" w:themeColor="text1"/>
        </w:rPr>
      </w:pPr>
      <w:r>
        <w:rPr>
          <w:rFonts w:hint="eastAsia"/>
          <w:color w:val="000000" w:themeColor="text1"/>
          <w:lang w:val="en-US" w:eastAsia="zh-CN"/>
        </w:rPr>
        <w:t>3）</w:t>
      </w:r>
      <w:r>
        <w:rPr>
          <w:rFonts w:hint="eastAsia"/>
          <w:color w:val="000000" w:themeColor="text1"/>
        </w:rPr>
        <w:t>救援人员不服从指挥;</w:t>
      </w:r>
    </w:p>
    <w:p>
      <w:pPr>
        <w:ind w:firstLine="560"/>
        <w:rPr>
          <w:color w:val="000000" w:themeColor="text1"/>
        </w:rPr>
      </w:pPr>
      <w:r>
        <w:rPr>
          <w:rFonts w:hint="eastAsia"/>
          <w:color w:val="000000" w:themeColor="text1"/>
          <w:lang w:val="en-US" w:eastAsia="zh-CN"/>
        </w:rPr>
        <w:t>4）</w:t>
      </w:r>
      <w:r>
        <w:rPr>
          <w:rFonts w:hint="eastAsia"/>
          <w:color w:val="000000" w:themeColor="text1"/>
        </w:rPr>
        <w:t>事故判断不准确,导致采取的应急救援行动和战术决策不准确;</w:t>
      </w:r>
    </w:p>
    <w:p>
      <w:pPr>
        <w:ind w:firstLine="560"/>
        <w:rPr>
          <w:rFonts w:hint="eastAsia"/>
          <w:color w:val="000000" w:themeColor="text1"/>
        </w:rPr>
      </w:pPr>
      <w:r>
        <w:rPr>
          <w:rFonts w:hint="eastAsia"/>
          <w:color w:val="000000" w:themeColor="text1"/>
          <w:lang w:val="en-US" w:eastAsia="zh-CN"/>
        </w:rPr>
        <w:t>5）</w:t>
      </w:r>
      <w:r>
        <w:rPr>
          <w:rFonts w:hint="eastAsia"/>
          <w:color w:val="000000" w:themeColor="text1"/>
        </w:rPr>
        <w:t>公司事故应急预案未按照应急部门要求评审、备案等。</w:t>
      </w:r>
      <w:bookmarkStart w:id="2328" w:name="_Toc28220"/>
      <w:bookmarkStart w:id="2329" w:name="_Toc9757"/>
      <w:bookmarkStart w:id="2330" w:name="_Toc14408"/>
    </w:p>
    <w:p>
      <w:pPr>
        <w:keepNext w:val="0"/>
        <w:keepLines w:val="0"/>
        <w:pageBreakBefore w:val="0"/>
        <w:widowControl w:val="0"/>
        <w:kinsoku/>
        <w:wordWrap/>
        <w:overflowPunct/>
        <w:topLinePunct w:val="0"/>
        <w:autoSpaceDE/>
        <w:autoSpaceDN/>
        <w:bidi w:val="0"/>
        <w:adjustRightInd w:val="0"/>
        <w:snapToGrid w:val="0"/>
        <w:ind w:firstLine="560"/>
        <w:textAlignment w:val="auto"/>
        <w:outlineLvl w:val="1"/>
        <w:rPr>
          <w:rFonts w:hint="eastAsia" w:ascii="宋体" w:hAnsi="宋体" w:eastAsia="宋体" w:cs="宋体"/>
          <w:b/>
          <w:bCs/>
        </w:rPr>
      </w:pPr>
      <w:bookmarkStart w:id="2331" w:name="_Toc14073"/>
      <w:bookmarkStart w:id="2332" w:name="_Toc4183"/>
      <w:bookmarkStart w:id="2333" w:name="_Toc11225"/>
      <w:bookmarkStart w:id="2334" w:name="_Toc9704"/>
      <w:r>
        <w:rPr>
          <w:rFonts w:hint="eastAsia" w:ascii="宋体" w:hAnsi="宋体" w:eastAsia="宋体" w:cs="宋体"/>
          <w:b/>
          <w:bCs/>
        </w:rPr>
        <w:t>2.</w:t>
      </w:r>
      <w:r>
        <w:rPr>
          <w:rFonts w:hint="eastAsia" w:ascii="宋体" w:hAnsi="宋体" w:eastAsia="宋体" w:cs="宋体"/>
          <w:b/>
          <w:bCs/>
          <w:lang w:val="en-US" w:eastAsia="zh-CN"/>
        </w:rPr>
        <w:t>6</w:t>
      </w:r>
      <w:r>
        <w:rPr>
          <w:rFonts w:hint="eastAsia" w:ascii="宋体" w:hAnsi="宋体" w:eastAsia="宋体" w:cs="宋体"/>
          <w:b/>
          <w:bCs/>
        </w:rPr>
        <w:t xml:space="preserve"> 事故案例分析</w:t>
      </w:r>
      <w:bookmarkEnd w:id="2328"/>
      <w:bookmarkEnd w:id="2329"/>
      <w:bookmarkEnd w:id="2330"/>
      <w:bookmarkEnd w:id="2331"/>
      <w:bookmarkEnd w:id="2332"/>
      <w:bookmarkEnd w:id="2333"/>
      <w:bookmarkEnd w:id="2334"/>
      <w:bookmarkStart w:id="2335" w:name="_Toc20818"/>
      <w:bookmarkStart w:id="2336" w:name="_Toc27294"/>
      <w:bookmarkStart w:id="2337" w:name="_Toc2058"/>
      <w:bookmarkStart w:id="2338" w:name="_Toc31563"/>
      <w:bookmarkStart w:id="2339" w:name="_Toc1196"/>
      <w:bookmarkStart w:id="2340" w:name="_Toc10671"/>
      <w:bookmarkStart w:id="2341" w:name="_Toc11675"/>
      <w:bookmarkStart w:id="2342" w:name="_Toc31772"/>
      <w:bookmarkStart w:id="2343" w:name="_Toc62740970"/>
      <w:bookmarkStart w:id="2344" w:name="_Toc6812"/>
      <w:bookmarkStart w:id="2345" w:name="_Toc2729"/>
      <w:bookmarkStart w:id="2346" w:name="_Toc17070"/>
      <w:bookmarkStart w:id="2347" w:name="_Toc10312"/>
      <w:bookmarkStart w:id="2348" w:name="_Toc1908"/>
      <w:bookmarkStart w:id="2349" w:name="_Toc19598"/>
      <w:bookmarkStart w:id="2350" w:name="_Toc128056513"/>
      <w:bookmarkStart w:id="2351" w:name="_Toc24806"/>
      <w:bookmarkStart w:id="2352" w:name="_Toc27194"/>
      <w:bookmarkStart w:id="2353" w:name="_Toc1752"/>
      <w:bookmarkStart w:id="2354" w:name="_Toc13442"/>
      <w:bookmarkStart w:id="2355" w:name="_Toc7076"/>
    </w:p>
    <w:p>
      <w:pPr>
        <w:ind w:firstLine="560"/>
        <w:rPr>
          <w:rFonts w:hint="eastAsia" w:ascii="宋体" w:hAnsi="宋体" w:eastAsia="宋体" w:cs="宋体"/>
          <w:b/>
          <w:bCs/>
          <w:color w:val="000000" w:themeColor="text1"/>
          <w:lang w:val="en-US" w:eastAsia="zh-CN"/>
        </w:rPr>
      </w:pPr>
      <w:r>
        <w:rPr>
          <w:rFonts w:hint="eastAsia"/>
          <w:b/>
          <w:bCs/>
          <w:color w:val="000000" w:themeColor="text1"/>
          <w:lang w:val="en-US" w:eastAsia="zh-CN"/>
        </w:rPr>
        <w:t xml:space="preserve">案例1 </w:t>
      </w:r>
      <w:r>
        <w:rPr>
          <w:rFonts w:hint="eastAsia" w:ascii="宋体" w:hAnsi="宋体" w:eastAsia="宋体" w:cs="宋体"/>
          <w:b/>
          <w:bCs/>
          <w:color w:val="000000" w:themeColor="text1"/>
          <w:lang w:val="en-US" w:eastAsia="zh-CN"/>
        </w:rPr>
        <w:t>江西石磊氟化工有限责任公司“1·5” 中毒事故</w:t>
      </w:r>
    </w:p>
    <w:p>
      <w:pPr>
        <w:ind w:firstLine="56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2020年1月5日上午9时15分左右，江西石磊氟化工有限责任公司进行检修作业中，发生一起氢氟酸中毒事故，造成1人死亡、1人受伤。依据《安全生产法》《生产安全事故报告和调查处理条例》和《危险化学品安全管理条例》等有关法律法规规定，1月7日县人民政府成立了由县应急管理局牵头，县监察委、公安局、工信局、生态环境局、总工会、九二基地办等单位组成的江西石磊氟化工有限责任公司“1·5” 中毒事故调查组。事故调查组按照“四不放过”的原则，通过现场勘验、检测鉴定、调查取证、调阅资料、人员问询、专家论证等，查明了事故经过、原因、人员伤亡情况和直接经济损失，认定了事故性质并提出了对有关事故责任人和责任单位的处理意见，并针对事故暴露出的问题，总结分析了事故主要教训，提出了防范整改的措施建议。现将事故调查情况报告如下：</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一、</w:t>
      </w:r>
      <w:r>
        <w:rPr>
          <w:rFonts w:hint="eastAsia" w:ascii="宋体" w:hAnsi="宋体" w:eastAsia="宋体" w:cs="宋体"/>
          <w:b w:val="0"/>
          <w:bCs w:val="0"/>
          <w:color w:val="000000" w:themeColor="text1"/>
          <w:lang w:val="en-US" w:eastAsia="zh-CN"/>
        </w:rPr>
        <w:t>事故单位基本情况</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江西石磊氟化工有限责任公司成立于2011年10月24日，法定代表人杨赋斌，主要负责人易学军,注册资本壹亿元整。该公司年产50000吨无水氟化氢项目于2010年12月16日由赣州市发展改革委员会（赣市发改产业字[2010]1218号）审批立项，2011年10月取得营业执照(证号：073310026215)。2017年11月取得安全生产许可证，2019年9月新增二氯甲烷等甲烷项目换证，（证号：（赣）WH安许证字［2017］0959号）。该项目主产品为无水氟化氢，生产规模为50000t/a，副产氟石膏191500t/a、副产氟硅酸13800t/a。</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二、</w:t>
      </w:r>
      <w:r>
        <w:rPr>
          <w:rFonts w:hint="eastAsia" w:ascii="宋体" w:hAnsi="宋体" w:eastAsia="宋体" w:cs="宋体"/>
          <w:b w:val="0"/>
          <w:bCs w:val="0"/>
          <w:color w:val="000000" w:themeColor="text1"/>
          <w:lang w:val="en-US" w:eastAsia="zh-CN"/>
        </w:rPr>
        <w:t>事故发生和报告、抢救情况</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（一）事故经过</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2020年1月2日,该公司无水氟化氢厂粗冷凝器内部管道腐蚀穿孔，停产检修，更换了粗冷凝器并检修整条粗冷循环系统。1月5日上午7时40分，技术部主任严延平发现一线粗冷循环系统两台水泵无法启动，机修班班长刘华、设备技术员胡湘宁确认循环水泵出现故障，严延平指令机修班班长刘华安排人员对该设备进行检修。</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2020年1月5日8时20分左右，机修班班长刘华安排机修工汪志文、刘正兴二人到一线粗冷循环系统水泵（B泵）进行检修作业。设备技术主管胡湘宁在机修工汪志文、刘正兴两人还未到现场的情况下先行到达作业现场，胡湘宁在未确认故障水泵（B泵）进出水管阀门关闭到位的情况下开始维修作业。8时30，汪志文、刘正兴两人到达了作业现场一同作业。在作业前未将池外两台循环水泵管路内的氢氟酸同时清理或置换，胡湘宁、汪志文、刘正兴均未按要求穿戴劳动防护用品。9时12分，公司无水氟化氢厂副总经理文兵斌到达现场察看检维修作业，文兵斌未穿戴任何劳动防护用品并违章进入作业区域近距离察看。9时13分，胡湘宁和汪志文两人将故障水泵（B泵）泵盖撬开时，连接处喷出大量含有氢氟酸的循环水，并直接喷射到近距离察看且未穿戴任何防护用品的文兵斌脸部及嘴上、少量溅到汪志文脚上，文兵斌、刘正兴、胡湘宁、汪志文等人迅速逃离现场。</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（二）</w:t>
      </w:r>
      <w:r>
        <w:rPr>
          <w:rFonts w:hint="eastAsia" w:ascii="宋体" w:hAnsi="宋体" w:eastAsia="宋体" w:cs="宋体"/>
          <w:b w:val="0"/>
          <w:bCs w:val="0"/>
          <w:color w:val="000000" w:themeColor="text1"/>
          <w:lang w:val="en-US" w:eastAsia="zh-CN"/>
        </w:rPr>
        <w:t>事故救援情况</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文兵斌逃出现场后，立即到附近的卫生间用大量清水冲洗全身，9点15分文兵斌跑至安环部办公室使用药品去氟灵紧急处理；在服用牛奶后乘皮卡车至筠门岭卫生院进行紧急救治；9点56分乘坐会昌县人民医院救护车转送至会昌县人民医院接受治疗；12点30分左右经抢救无效死亡。</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（三）</w:t>
      </w:r>
      <w:r>
        <w:rPr>
          <w:rFonts w:hint="eastAsia" w:ascii="宋体" w:hAnsi="宋体" w:eastAsia="宋体" w:cs="宋体"/>
          <w:b w:val="0"/>
          <w:bCs w:val="0"/>
          <w:color w:val="000000" w:themeColor="text1"/>
          <w:lang w:val="en-US" w:eastAsia="zh-CN"/>
        </w:rPr>
        <w:t>事故伤亡人员情况</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1．文兵斌，男，46岁，会昌县人。江西石磊氟化工有限责任公司无水氟化氢厂副总经理，负责生产、安全和环保管理工作。1月5日12点30分左右经抢救无效死亡。</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2．汪志文，男，43岁，会昌县人，江西石磊氟化工有限责任公司无水氟化氢厂机修工，负责生产设备的检维修工作，在事故中右脚灼伤（轻伤），现已出院。</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（四）事故直接经济损失</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事故造成直接经济损失约170万元。</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三、</w:t>
      </w:r>
      <w:r>
        <w:rPr>
          <w:rFonts w:hint="eastAsia" w:ascii="宋体" w:hAnsi="宋体" w:eastAsia="宋体" w:cs="宋体"/>
          <w:b w:val="0"/>
          <w:bCs w:val="0"/>
          <w:color w:val="000000" w:themeColor="text1"/>
          <w:lang w:val="en-US" w:eastAsia="zh-CN"/>
        </w:rPr>
        <w:t>事故原因及性质</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（一）事故直接原因</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事故调查组通过深入调查和综合分析认定，检维修作业中，未按要求关闭循环水泵阀门，未佩戴劳动防护用品，违章冒险作业，导致大量含有氢氟酸的循环水直接喷射到正在察看的文兵斌的脸部及嘴上并溅到汪志文脚面，是事故发生的直接原因。</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（二）</w:t>
      </w:r>
      <w:r>
        <w:rPr>
          <w:rFonts w:hint="eastAsia" w:ascii="宋体" w:hAnsi="宋体" w:eastAsia="宋体" w:cs="宋体"/>
          <w:b w:val="0"/>
          <w:bCs w:val="0"/>
          <w:color w:val="000000" w:themeColor="text1"/>
          <w:lang w:val="en-US" w:eastAsia="zh-CN"/>
        </w:rPr>
        <w:t>事故间接原因</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1. 企业主体责任履职不到位。江西石磊氟化工有限责任公司落实安全生产责任制不力，公司领导、相关管理部门及作业人员未有效履行安全责任制；员工未严格遵守安全生产法律法规、本单位的安全生产规章制度、安全操作规程，检修现场管理混乱，未制定有效的安全防范措施和应急处置方案。</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 检维修作业制度执行不到位。未制定检维修方案，未明确安全措施和应急处置预案，未执行作业审批制度。</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3. 安全风险识别不到位。在检修作业前未开展有效的安全风险辨识，对循环水泵管路内存在氢氟酸产生的后果认识不足，未对检修作业现场采取切实有效的安全防范措施；未监督、教育检修人员按照使用规则佩戴、使用劳动防护用品。</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4. 安全意识淡薄。企业安全管理人及作业人员安全意识淡薄，在未确认安全条件下及未按要求穿戴劳动防护用品情况下违章冒险检维修作业。</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（三）事故性质</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根据事故调查组认定，江西石磊氟化工有限责任公司无水氟化氢厂“15”中毒事故是一起生产安全责任事故。</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四、</w:t>
      </w:r>
      <w:r>
        <w:rPr>
          <w:rFonts w:hint="eastAsia" w:ascii="宋体" w:hAnsi="宋体" w:eastAsia="宋体" w:cs="宋体"/>
          <w:b w:val="0"/>
          <w:bCs w:val="0"/>
          <w:color w:val="000000" w:themeColor="text1"/>
          <w:lang w:val="en-US" w:eastAsia="zh-CN"/>
        </w:rPr>
        <w:t>事故责任认定及处理建议</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根据事故调查原因和事故责任认定，依据有关法律、法规，对事故有关责任单位和责任人员提出处理意见。</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（一）</w:t>
      </w:r>
      <w:r>
        <w:rPr>
          <w:rFonts w:hint="eastAsia" w:ascii="宋体" w:hAnsi="宋体" w:eastAsia="宋体" w:cs="宋体"/>
          <w:b w:val="0"/>
          <w:bCs w:val="0"/>
          <w:color w:val="000000" w:themeColor="text1"/>
          <w:lang w:val="en-US" w:eastAsia="zh-CN"/>
        </w:rPr>
        <w:t>事故责任单位</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江西石磊氟化工有限责任公司对事故隐患排查治理不力，在实施有较大危险因素的场所检修作业中，落实检修作业安全管理制度和安全责任制不力；未有效督促从业人员严格执行安全生产法律法规、公司安全规章制度和安全操作规程；检维修作业未制定检修工作方案；未组织开展安全风险辨识；未对检修作业现场采取切实有效的安全防范措施；未监督、教育检修人员按照使用规则佩戴、使用劳动防护用品，现场安全管理混乱，导致发生生产安全责任事故，违反了《安全生产法》第三十二条、第三十八条、第四十一条、第四十二条等有关规定。建议由县应急管理局按照《安全生产法》第一百零九条规定，对该公司处以50万元的罚款。</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（二）</w:t>
      </w:r>
      <w:r>
        <w:rPr>
          <w:rFonts w:hint="eastAsia" w:ascii="宋体" w:hAnsi="宋体" w:eastAsia="宋体" w:cs="宋体"/>
          <w:b w:val="0"/>
          <w:bCs w:val="0"/>
          <w:color w:val="000000" w:themeColor="text1"/>
          <w:lang w:val="en-US" w:eastAsia="zh-CN"/>
        </w:rPr>
        <w:t>事故相关责任人员</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1. 文兵斌（死者），系公司分管生产、安全和环保的负责人，落实本单位安全生产规章制度、操作规程和安全生产责任制不到位。未有效履行分管安全负责人的安全生产工作职责，在这次检维修作业中，对分管部门及下属未制定和报批检修方案，未进行检修风险辨识，未明确安全措施和应急处置预案，对检修作业人员未佩戴和使用劳动防护用品，在未确认安全条件下进行违章冒险检修作业等违章行为不但没有予以制止、听之任之。且本人未佩戴劳动防护用品擅自进入检修作业现场察看检修情况，安全意识淡薄、思想麻痹大意、工作失职。违反了《安全生产法》第十八条第（五）款、第三十八条第（一）款、第四十二条规定和《危险化学品安全管理条例》第四条等有关规定。对事故负有直接领导责任和主要责任。鉴于文兵斌在事故中死亡，建议不予追究其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2. 杨赋斌，系公司法人代表，未认真履行企业法人安全生产职责，落实企业安全生产主体责任不力，安全管理混乱，对未制定检修工作方案；未组织开展安全风险辨识；未对检修作业现场采取切实有效的安全防范措施；未监督、教育检修人员按照使用规则佩戴、使用劳动防护用品等情况失察。其行为违反了《安全生产法》第五条、第十八条第（五）款、第三十八条第（一）款、第四十一条、第四十二条和《危险化学品安全管理条例》第四条等有关规定，对事故负有主要领导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建议由县应急管理局按照《安全生产法》第九十二条第（一）款规定，对杨赋斌给予10.8万元的罚款。责令其在企业职工大会上作出深刻检讨。</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3.</w:t>
      </w:r>
      <w:r>
        <w:rPr>
          <w:rFonts w:hint="eastAsia" w:ascii="宋体" w:hAnsi="宋体" w:eastAsia="宋体" w:cs="宋体"/>
          <w:b w:val="0"/>
          <w:bCs w:val="0"/>
          <w:color w:val="000000" w:themeColor="text1"/>
          <w:lang w:val="en-US" w:eastAsia="zh-CN"/>
        </w:rPr>
        <w:t>易学军，系公司主要负责人，落实本单位安全生产责任制不到位，未有效履行企业主要负责人对本单位安全生产工作职责，组织排查安全隐患不力，对安全管理人员和从业人员执行安全生产法律法规、本单位的安全生产规章制度和安全操作规程以及监督、教育检修人员按照使用规则佩戴、使用劳动防护用品等情况失察。其行为违反了《安全生产法》第五条、第十八条第（五）款、第三十八条、第四十一条、第四十二条和《危险化学品安全管理条例》第四条等有关规定，对事故负有重要领导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建议由县应急管理局按照《安全生产法》第九十二条第（一）款规定，对易学军给予7.2万元的罚款。责令其在企业职工大会上作出深刻检讨。</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4.</w:t>
      </w:r>
      <w:r>
        <w:rPr>
          <w:rFonts w:hint="eastAsia" w:ascii="宋体" w:hAnsi="宋体" w:eastAsia="宋体" w:cs="宋体"/>
          <w:b w:val="0"/>
          <w:bCs w:val="0"/>
          <w:color w:val="000000" w:themeColor="text1"/>
          <w:lang w:val="en-US" w:eastAsia="zh-CN"/>
        </w:rPr>
        <w:t>肖伟，系化工安环部主任，未认真履行企业安全管理人员的职责，执行公司安全管理制度不到位。对检维修作业未制定检维修工作方案、未组织开展风险辨识、未明确安全措施和应急处置预案以及在检维修作业中未佩戴和使用劳动防护用品等问题失察，其行为违反了《安全生产法》第二十二条第（5）（6）（7）款规定。对“15”中毒事故负有管理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建议由县应急管理局按照《安全生产法》第九十三条规定，责令企业停止其安全生产管理的执业资格，向公司作出深刻的书面检查。</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5.</w:t>
      </w:r>
      <w:r>
        <w:rPr>
          <w:rFonts w:hint="eastAsia" w:ascii="宋体" w:hAnsi="宋体" w:eastAsia="宋体" w:cs="宋体"/>
          <w:b w:val="0"/>
          <w:bCs w:val="0"/>
          <w:color w:val="000000" w:themeColor="text1"/>
          <w:lang w:val="en-US" w:eastAsia="zh-CN"/>
        </w:rPr>
        <w:t>严延平，系石磊氟化工生产技术部主任，未有效履行安全管理职责，在组织安排检修作业前，未制定报批检修作业方案，未进行检修风险辨识，未明确检修安全措施和应急处置预案，在检修作业中未督促检修人员佩戴、使用劳动防护用品和在未确认安全条件下指挥机修工进行违章冒险检修作业。同时对整个检修存在的安全风险隐患摸排不力，未向从业人员如实告知作业场所和工作岗位存在的危险因素、防范措施以及事故应急措施。其行为违反了《安全生产法》第三十八条、第四十一条、第四十二条等规定，对“15”中毒事故负有主要责任和领导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建议由县应急管理局按照《安全生产法》第九十四条规定，对严延平给予1万元的罚款，责令公司免除其技术部主任职务。</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6.</w:t>
      </w:r>
      <w:r>
        <w:rPr>
          <w:rFonts w:hint="eastAsia" w:ascii="宋体" w:hAnsi="宋体" w:eastAsia="宋体" w:cs="宋体"/>
          <w:b w:val="0"/>
          <w:bCs w:val="0"/>
          <w:color w:val="000000" w:themeColor="text1"/>
          <w:lang w:val="en-US" w:eastAsia="zh-CN"/>
        </w:rPr>
        <w:t>胡湘宁，系江西石磊氟化工责任有限公司无水氟化氢厂设备技术主管，安全意识淡薄，履行安全生产职责不到位。在检修作业前，未制定和报批检修方案，未进行检修风险辨识，未明确安全措施和应急处置预案，未佩戴和使用劳动防护用品和在未确认安全条件下带领机修班工人进行违章冒险检修作业。其行为违反了《安全生产法》第三十八条、第四十一条、第四十二条的规定，对事故负有直接责任。</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建议由县应急管理局依据《安全生产违法行为行政处罚办法》第四十五条规定，对胡湘宁给予处5千元的罚款，责令公司予以辞退处理。</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kern w:val="2"/>
          <w:sz w:val="28"/>
          <w:szCs w:val="24"/>
          <w:lang w:val="en-US" w:eastAsia="zh-CN" w:bidi="ar-SA"/>
        </w:rPr>
        <w:t>7.</w:t>
      </w:r>
      <w:r>
        <w:rPr>
          <w:rFonts w:hint="eastAsia" w:ascii="宋体" w:hAnsi="宋体" w:eastAsia="宋体" w:cs="宋体"/>
          <w:b w:val="0"/>
          <w:bCs w:val="0"/>
          <w:color w:val="000000" w:themeColor="text1"/>
          <w:lang w:val="en-US" w:eastAsia="zh-CN"/>
        </w:rPr>
        <w:t>刘华、刘正兴、汪志文，系石磊氟化工机修工，安全意识淡薄，未认真履行从业人员的安全生产权利和义务。在没有看到检修方案及检修作业审批表的情况下违章冒险作业，同时在检修作业中未佩戴和使用劳动防护用品。其行为违反了《安全生产法》第五十条、第五十一条、第五十四条等规定，对事故负有次要责任。责令公司对其按照企业有关规章制度给予处理。</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五、防范措施和整改建议</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一）江西石磊氟化工有限责任公司要严格执行检维修作业安全管理制度，深刻吸取本次事故教训，举一反三，严格执行国家有关安全生产法律法规和标准规范要求，完善并严格执行检修管理制度、安全作业管理制度、教育培训制度，明确设备装置(系统)停车检修的范围和时间要求，制定检修计划和方案，建立完善检维修记录、档案，特别是检维修方案中要充分考虑长期处于备用、停用状态设备的安全性、可靠性，按照规章制度做好备用、停用状态设备的安全应急处置工作。</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二）江西石磊氟化工有限责任公司要强化检修作业前风险辨识工作，严格执行检维修过程安全风险自查制度，强化关键环节作业安全管理，严格作业安全许可。认真开展作业前的风险辨识，检查确认作业安全条件，对进入受限空间、动火等特殊作业和长期备用、停用设备，要实施升级管理，分管负责人及安全管理人员必须亲自组织现场作业安全条件确认，采取坚决措施，降低、消除事故发生的可能性。要加强检修作业现场管理，特别是高危作业现场的安全控制，严格控制检修作业现场人员数量，同时检修作业人员、监护人员应选择安全的工作位置，做好撤离、疏散、救护等应急准备工作。</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三）江西石磊氟化工有限责任公司要强化对员工的安全教育培训，组织开展经常性反“三违”活动，强化企业三级安全培训教育，提高全员安全风险意识。要强化企业安全生产执行力，强化生产作业过程中各级各类管理人员和从业人员安全生产责任制、安全生产规章制度和操作规程等安全生产执行力，督促本公司从业人员强化自我防护意识，杜绝违章指挥和冒险作业。同时要强化对从业人员应急救援知识培训，完善各类应急预案，定期组织演练。</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四）江西石磊氟化工有限责任公司要加强设备设施的管理，加强设备设施的管理，坚决杜绝设备带病运行，强化事故隐患排查治理，定期对生产装置、储存设备、工艺管道及连接件巡回检查，发现泄漏和异常情况要及时处理，对于失灵或失效部件要立即维修或更换。</w:t>
      </w:r>
    </w:p>
    <w:p>
      <w:pPr>
        <w:numPr>
          <w:ilvl w:val="0"/>
          <w:numId w:val="0"/>
        </w:numPr>
        <w:ind w:firstLine="560" w:firstLineChars="200"/>
        <w:rPr>
          <w:rFonts w:hint="eastAsia" w:ascii="宋体" w:hAnsi="宋体" w:eastAsia="宋体" w:cs="宋体"/>
          <w:b w:val="0"/>
          <w:bCs w:val="0"/>
          <w:color w:val="000000" w:themeColor="text1"/>
          <w:lang w:val="en-US" w:eastAsia="zh-CN"/>
        </w:rPr>
      </w:pPr>
      <w:r>
        <w:rPr>
          <w:rFonts w:hint="eastAsia" w:ascii="宋体" w:hAnsi="宋体" w:eastAsia="宋体" w:cs="宋体"/>
          <w:b w:val="0"/>
          <w:bCs w:val="0"/>
          <w:color w:val="000000" w:themeColor="text1"/>
          <w:lang w:val="en-US" w:eastAsia="zh-CN"/>
        </w:rPr>
        <w:t>（五）江西石磊氟化工有限责任公司要严格执行安全生产法律法规有关安全生产培训教育规定，强化生产经营单位的主要负责人、安全管理人员和特种作业人员等“三类”的培训教育，取得安全生产资格证，做到持证上岗。</w:t>
      </w:r>
    </w:p>
    <w:p>
      <w:pPr>
        <w:numPr>
          <w:ilvl w:val="0"/>
          <w:numId w:val="0"/>
        </w:numPr>
        <w:ind w:firstLine="562" w:firstLineChars="200"/>
        <w:rPr>
          <w:rFonts w:hint="eastAsia"/>
          <w:b/>
          <w:bCs/>
          <w:color w:val="000000" w:themeColor="text1"/>
        </w:rPr>
      </w:pPr>
      <w:r>
        <w:rPr>
          <w:rFonts w:hint="eastAsia"/>
          <w:b/>
          <w:bCs/>
          <w:color w:val="000000" w:themeColor="text1"/>
          <w:lang w:val="en-US" w:eastAsia="zh-CN"/>
        </w:rPr>
        <w:t xml:space="preserve">案例2 </w:t>
      </w:r>
      <w:r>
        <w:rPr>
          <w:rFonts w:hint="eastAsia"/>
          <w:b/>
          <w:bCs/>
          <w:color w:val="000000" w:themeColor="text1"/>
        </w:rPr>
        <w:t>氟硅酸贮槽事故分析</w:t>
      </w:r>
    </w:p>
    <w:p>
      <w:pPr>
        <w:numPr>
          <w:ilvl w:val="0"/>
          <w:numId w:val="0"/>
        </w:numPr>
        <w:ind w:firstLine="560" w:firstLineChars="200"/>
        <w:rPr>
          <w:rFonts w:hint="eastAsia"/>
          <w:color w:val="000000" w:themeColor="text1"/>
          <w:lang w:eastAsia="zh-CN"/>
        </w:rPr>
      </w:pPr>
      <w:r>
        <w:rPr>
          <w:rFonts w:hint="eastAsia"/>
          <w:color w:val="000000" w:themeColor="text1"/>
        </w:rPr>
        <w:t>事件概述</w:t>
      </w:r>
      <w:r>
        <w:rPr>
          <w:rFonts w:hint="eastAsia"/>
          <w:color w:val="000000" w:themeColor="text1"/>
          <w:lang w:eastAsia="zh-CN"/>
        </w:rPr>
        <w:t>：</w:t>
      </w:r>
      <w:r>
        <w:rPr>
          <w:rFonts w:hint="eastAsia"/>
          <w:color w:val="000000" w:themeColor="text1"/>
        </w:rPr>
        <w:t>2018年12月，中国宜兴一家橡胶化工厂发生氟硅酸贮槽事故，造成7人死亡、5人受伤。事故原因是贮槽内氟硅酸泄漏，导致槽内压力增大，最终发生爆炸</w:t>
      </w:r>
      <w:r>
        <w:rPr>
          <w:rFonts w:hint="eastAsia"/>
          <w:color w:val="000000" w:themeColor="text1"/>
          <w:lang w:eastAsia="zh-CN"/>
        </w:rPr>
        <w:t>。</w:t>
      </w:r>
    </w:p>
    <w:p>
      <w:pPr>
        <w:numPr>
          <w:ilvl w:val="0"/>
          <w:numId w:val="0"/>
        </w:numPr>
        <w:ind w:firstLine="560" w:firstLineChars="200"/>
        <w:rPr>
          <w:rFonts w:hint="eastAsia"/>
          <w:color w:val="000000" w:themeColor="text1"/>
          <w:lang w:eastAsia="zh-CN"/>
        </w:rPr>
      </w:pPr>
      <w:r>
        <w:rPr>
          <w:rFonts w:hint="eastAsia"/>
          <w:color w:val="000000" w:themeColor="text1"/>
        </w:rPr>
        <w:t>原因分析</w:t>
      </w:r>
      <w:r>
        <w:rPr>
          <w:rFonts w:hint="eastAsia"/>
          <w:color w:val="000000" w:themeColor="text1"/>
          <w:lang w:eastAsia="zh-CN"/>
        </w:rPr>
        <w:t>：</w:t>
      </w:r>
    </w:p>
    <w:p>
      <w:pPr>
        <w:numPr>
          <w:ilvl w:val="0"/>
          <w:numId w:val="2"/>
        </w:numPr>
        <w:ind w:firstLine="560" w:firstLineChars="200"/>
        <w:rPr>
          <w:rFonts w:hint="eastAsia"/>
          <w:color w:val="000000" w:themeColor="text1"/>
        </w:rPr>
      </w:pPr>
      <w:r>
        <w:rPr>
          <w:rFonts w:hint="eastAsia"/>
          <w:color w:val="000000" w:themeColor="text1"/>
        </w:rPr>
        <w:t>设计缺陷</w:t>
      </w:r>
    </w:p>
    <w:p>
      <w:pPr>
        <w:numPr>
          <w:ilvl w:val="0"/>
          <w:numId w:val="2"/>
        </w:numPr>
        <w:ind w:firstLine="560" w:firstLineChars="200"/>
        <w:rPr>
          <w:rFonts w:hint="eastAsia"/>
          <w:color w:val="000000" w:themeColor="text1"/>
        </w:rPr>
      </w:pPr>
      <w:r>
        <w:rPr>
          <w:rFonts w:hint="eastAsia"/>
          <w:color w:val="000000" w:themeColor="text1"/>
        </w:rPr>
        <w:t>氟硅酸是一种高剧毒、腐蚀性危险品，其贮槽必须采用特殊防护措施。然而，在该案件中，贮槽并未考虑到氟硅酸的腐蚀性，导致贮槽内腐蚀严重，厚度不足，容易破损。</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lang w:val="en-US" w:eastAsia="zh-CN"/>
        </w:rPr>
        <w:t>2）</w:t>
      </w:r>
      <w:r>
        <w:rPr>
          <w:rFonts w:hint="eastAsia"/>
          <w:color w:val="000000" w:themeColor="text1"/>
        </w:rPr>
        <w:t>检修不到位</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rPr>
        <w:t>贮槽的安全因素与检修无疑是息息相关的。然而，据了解，该厂均未对贮槽进行定期检查和维护。如在检修中发现容器内腐蚀现象，就应该及时进行修补或更换，以确保设备的完好性。</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lang w:val="en-US" w:eastAsia="zh-CN"/>
        </w:rPr>
        <w:t>3）</w:t>
      </w:r>
      <w:r>
        <w:rPr>
          <w:rFonts w:hint="eastAsia"/>
          <w:color w:val="000000" w:themeColor="text1"/>
        </w:rPr>
        <w:t>违规操作</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rPr>
        <w:t>在事故发生前，几名工人涉嫌违规操作贮槽，在未经允许的情况下拆除压力表等设备，导致泄漏无法及时发现和控制。同时，涉事工人在现场大量吸烟、打火机等行为也是对生产安全的极大威胁。</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lang w:val="en-US" w:eastAsia="zh-CN"/>
        </w:rPr>
        <w:t>4）</w:t>
      </w:r>
      <w:r>
        <w:rPr>
          <w:rFonts w:hint="eastAsia"/>
          <w:color w:val="000000" w:themeColor="text1"/>
        </w:rPr>
        <w:t>设备维护</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rPr>
        <w:t>企业应该根据设备的运行条件和环境因素，制定相应的保养和维修管理计划，并加强设备的监控和检查力度，保证设备的安全运行。</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lang w:val="en-US" w:eastAsia="zh-CN"/>
        </w:rPr>
        <w:t>5）</w:t>
      </w:r>
      <w:r>
        <w:rPr>
          <w:rFonts w:hint="eastAsia"/>
          <w:color w:val="000000" w:themeColor="text1"/>
        </w:rPr>
        <w:t>培训与教育</w:t>
      </w:r>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rPr>
      </w:pPr>
      <w:r>
        <w:rPr>
          <w:rFonts w:hint="eastAsia"/>
          <w:color w:val="000000" w:themeColor="text1"/>
        </w:rPr>
        <w:t>企业应该加强人员的安全培训和教育，定期召开生产安全教育培训和演练活动，提高员工的安全意识和应急处置能力。</w:t>
      </w:r>
    </w:p>
    <w:p>
      <w:pPr>
        <w:pStyle w:val="2"/>
        <w:rPr>
          <w:rFonts w:hint="eastAsia"/>
        </w:rPr>
      </w:pPr>
      <w:r>
        <w:rPr>
          <w:rFonts w:hint="eastAsia"/>
          <w:lang w:val="en-US" w:eastAsia="zh-CN"/>
        </w:rPr>
        <w:t>6）</w:t>
      </w:r>
      <w:r>
        <w:rPr>
          <w:rFonts w:hint="eastAsia"/>
        </w:rPr>
        <w:t>规范操作</w:t>
      </w:r>
    </w:p>
    <w:p>
      <w:pPr>
        <w:pStyle w:val="2"/>
        <w:rPr>
          <w:rFonts w:hint="eastAsia"/>
        </w:rPr>
      </w:pPr>
      <w:r>
        <w:rPr>
          <w:rFonts w:hint="eastAsia"/>
        </w:rPr>
        <w:t>企业应该建立和完善工作操作规程，并对员工进行严格的操作技能培训和考核，确保员工能够正确操作和使用设备，减少操作人员错操作的可能性。</w:t>
      </w:r>
    </w:p>
    <w:p>
      <w:pPr>
        <w:pStyle w:val="2"/>
        <w:rPr>
          <w:rFonts w:hint="eastAsia"/>
        </w:rPr>
      </w:pPr>
      <w:r>
        <w:rPr>
          <w:rFonts w:hint="eastAsia"/>
        </w:rPr>
        <w:t>结论</w:t>
      </w:r>
    </w:p>
    <w:p>
      <w:pPr>
        <w:pStyle w:val="2"/>
        <w:rPr>
          <w:rFonts w:hint="eastAsia"/>
        </w:rPr>
      </w:pPr>
      <w:r>
        <w:rPr>
          <w:rFonts w:hint="eastAsia"/>
        </w:rPr>
        <w:t>氟硅酸贮槽事故的发生，一方面是设备设计、检修和维护等方面的缺陷所致，另一方面也与操作人员在生产过程中的违规行为有关。企业应该从源头控制风险，加强安全管理，从而降低生产安全事故的发生率。</w:t>
      </w:r>
    </w:p>
    <w:p>
      <w:pPr>
        <w:pStyle w:val="4"/>
        <w:ind w:firstLine="562"/>
        <w:rPr>
          <w:color w:val="000000" w:themeColor="text1"/>
        </w:rPr>
      </w:pPr>
      <w:bookmarkStart w:id="2356" w:name="_Toc31290"/>
      <w:bookmarkStart w:id="2357" w:name="_Toc5964"/>
      <w:bookmarkStart w:id="2358" w:name="_Toc27393"/>
      <w:bookmarkStart w:id="2359" w:name="_Toc20302"/>
      <w:r>
        <w:rPr>
          <w:rFonts w:hint="eastAsia"/>
        </w:rPr>
        <w:t>2.</w:t>
      </w:r>
      <w:r>
        <w:rPr>
          <w:rFonts w:hint="eastAsia"/>
          <w:lang w:val="en-US" w:eastAsia="zh-CN"/>
        </w:rPr>
        <w:t>7</w:t>
      </w:r>
      <w:r>
        <w:rPr>
          <w:rFonts w:hint="eastAsia"/>
        </w:rPr>
        <w:t xml:space="preserve"> </w:t>
      </w:r>
      <w:r>
        <w:rPr>
          <w:rFonts w:hint="eastAsia"/>
          <w:color w:val="000000" w:themeColor="text1"/>
        </w:rPr>
        <w:t>危险化学品重大危险源辨识</w:t>
      </w:r>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p>
    <w:p>
      <w:pPr>
        <w:adjustRightInd/>
        <w:ind w:firstLine="560"/>
        <w:rPr>
          <w:rFonts w:ascii="宋体" w:hAnsi="宋体" w:cs="宋体"/>
          <w:bCs/>
          <w:color w:val="000000" w:themeColor="text1"/>
          <w:szCs w:val="28"/>
        </w:rPr>
      </w:pPr>
      <w:r>
        <w:rPr>
          <w:rFonts w:hint="eastAsia" w:ascii="宋体" w:hAnsi="宋体" w:cs="宋体"/>
          <w:bCs/>
          <w:color w:val="000000" w:themeColor="text1"/>
          <w:szCs w:val="28"/>
        </w:rPr>
        <w:t>根据《危险化学品重大危险源辨识》（GB18218-2018）辨识。</w:t>
      </w:r>
    </w:p>
    <w:p>
      <w:pPr>
        <w:adjustRightInd/>
        <w:ind w:firstLine="562"/>
        <w:rPr>
          <w:rFonts w:ascii="宋体" w:hAnsi="宋体" w:cs="宋体"/>
          <w:b/>
          <w:bCs/>
          <w:color w:val="000000" w:themeColor="text1"/>
          <w:szCs w:val="28"/>
        </w:rPr>
      </w:pPr>
      <w:r>
        <w:rPr>
          <w:rFonts w:ascii="宋体" w:hAnsi="宋体" w:cs="宋体"/>
          <w:b/>
          <w:bCs/>
          <w:color w:val="000000" w:themeColor="text1"/>
          <w:szCs w:val="28"/>
        </w:rPr>
        <w:t>1）辨识的依据、方法</w:t>
      </w:r>
    </w:p>
    <w:p>
      <w:pPr>
        <w:adjustRightInd/>
        <w:ind w:firstLine="560"/>
        <w:rPr>
          <w:rFonts w:ascii="宋体" w:hAnsi="宋体" w:cs="宋体"/>
          <w:color w:val="000000" w:themeColor="text1"/>
          <w:szCs w:val="28"/>
        </w:rPr>
      </w:pPr>
      <w:r>
        <w:rPr>
          <w:rFonts w:ascii="宋体" w:hAnsi="宋体" w:cs="宋体"/>
          <w:color w:val="000000" w:themeColor="text1"/>
          <w:szCs w:val="28"/>
        </w:rPr>
        <w:t>根据《危险化学品重大危险源辨识》（GB18218-20</w:t>
      </w:r>
      <w:r>
        <w:rPr>
          <w:rFonts w:hint="eastAsia" w:ascii="宋体" w:hAnsi="宋体" w:cs="宋体"/>
          <w:color w:val="000000" w:themeColor="text1"/>
          <w:szCs w:val="28"/>
        </w:rPr>
        <w:t>18</w:t>
      </w:r>
      <w:r>
        <w:rPr>
          <w:rFonts w:ascii="宋体" w:hAnsi="宋体" w:cs="宋体"/>
          <w:color w:val="000000" w:themeColor="text1"/>
          <w:szCs w:val="28"/>
        </w:rPr>
        <w:t>），</w:t>
      </w:r>
      <w:r>
        <w:rPr>
          <w:rFonts w:hint="eastAsia" w:ascii="宋体" w:hAnsi="宋体" w:cs="宋体"/>
          <w:color w:val="000000" w:themeColor="text1"/>
          <w:szCs w:val="28"/>
        </w:rPr>
        <w:t>有如下定义，危险化学品：具有毒害、腐蚀、爆炸、燃烧、助燃等性质，对人体、设施、环境具有危害的剧毒化学品和其他化学品；单元：涉及危险化学品的生产、储存装置、设施或场所，分为生产单元和储存单元；临界量：某种或某类危险化学品构成重大危险源所规定的最小数量；危险化学品重大危险源：长期或临时地生产、储存、使用和经营危险化学品，且危险化学品的数量等于或超过临界量的单元；生产单元：危险化学品的生产、加工及使用等的装置及设施，当装置及设施之间有切断阀时，以切断阀作为分隔界限划分为独立的单元；储存单元：用于储存危险化学品的储罐或仓库组成的相对独立的区域，贮存区以罐区防火堤为界限划分为独立单元，仓库以独立库房（独立建筑物）为界限划分为独立单元；混合物：两种或者多种物质组成的混合体或者溶液。</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规范性引用文件</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GB30000.2，化学品分类和标签规范，第2部分：爆炸物；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GB30000.3，化学品分类和标签规范，第3部分：易燃气体；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GB30000.4，化学品分类和标签规范，第4部分：气溶胶；</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GB30000.5，化学品分类和标签规范，第5部分：氧化性气体；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GB30000.7，化学品分类和标签规范，第7部分：易燃液体；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GB30000.8，化学品分类和标签规范，第8部分：易燃固体；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GB30000.9，化学品分类和标签规范，第9部分：自反应物质和混合物；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GB30000.10，化学品分类和标签规范，第10部分：自然液体；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GB30000.11，化学品分类和标签规范，第11部分：自然固体；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GB30000.12，化学品分类和标签规范，第12部分：自热物质和混合物；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GB30000.13，化学品分类和标签规范，第13部分：遇水放出易燃气体的物质和混合物；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GB30000.14，化学品分类和标签规范，第14部分：氧化性液体；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GB30000.15，化学品分类和标签规范，第15部分：氧化性固体；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GB30000.16，化学品分类和标签规范，第16部分：有机过氧化物；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GB30000.18，化学品分类和标签规范，第18部分：急性毒性。</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危险化学品应依据其危险特性及其数量进行重大危险源辨识，具体见表1和表2。危险化学品的纯物质及其混合物应按规范性引用文件的规定进行分类。危险化学品重大危险源可分为生产单元危险化学品重大危险源和储存单元危险化学品重大危险源。</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生产单元、储存单元内存在的危险化学品的数量等于或超过表1、表2规定的临界量，即被定义为重大危险源。单元内存在的危险化学品的数量根据危险化学品种类的多少区分为以下两种情况</w:t>
      </w:r>
      <w:r>
        <w:rPr>
          <w:rFonts w:ascii="宋体" w:hAnsi="宋体" w:cs="宋体"/>
          <w:color w:val="000000" w:themeColor="text1"/>
          <w:szCs w:val="28"/>
        </w:rPr>
        <w:t>：</w:t>
      </w:r>
    </w:p>
    <w:p>
      <w:pPr>
        <w:adjustRightInd/>
        <w:ind w:firstLine="560"/>
        <w:rPr>
          <w:rFonts w:ascii="宋体" w:hAnsi="宋体" w:cs="宋体"/>
          <w:color w:val="000000" w:themeColor="text1"/>
          <w:szCs w:val="28"/>
        </w:rPr>
      </w:pPr>
      <w:r>
        <w:rPr>
          <w:rFonts w:hint="eastAsia" w:ascii="宋体" w:hAnsi="宋体" w:cs="宋体"/>
          <w:color w:val="000000" w:themeColor="text1"/>
          <w:szCs w:val="28"/>
          <w:lang w:eastAsia="zh-CN"/>
        </w:rPr>
        <w:t>（</w:t>
      </w:r>
      <w:r>
        <w:rPr>
          <w:rFonts w:hint="eastAsia" w:ascii="宋体" w:hAnsi="宋体" w:cs="宋体"/>
          <w:color w:val="000000" w:themeColor="text1"/>
          <w:szCs w:val="28"/>
          <w:lang w:val="en-US" w:eastAsia="zh-CN"/>
        </w:rPr>
        <w:t>1）</w:t>
      </w:r>
      <w:r>
        <w:rPr>
          <w:rFonts w:hint="eastAsia" w:ascii="宋体" w:hAnsi="宋体" w:cs="宋体"/>
          <w:color w:val="000000" w:themeColor="text1"/>
          <w:szCs w:val="28"/>
        </w:rPr>
        <w:t>生产单元、储存单元内存在的危险化学品为单一品种时，该危险化学品的数量即为单元内危险化学品的总量，若等于或超过相应的临界量，则定义为重大危险源。</w:t>
      </w:r>
    </w:p>
    <w:p>
      <w:pPr>
        <w:adjustRightInd/>
        <w:ind w:firstLine="560"/>
        <w:rPr>
          <w:rFonts w:ascii="宋体" w:hAnsi="宋体" w:cs="宋体"/>
          <w:color w:val="000000" w:themeColor="text1"/>
          <w:szCs w:val="28"/>
        </w:rPr>
      </w:pPr>
      <w:r>
        <w:rPr>
          <w:rFonts w:hint="eastAsia" w:ascii="宋体" w:hAnsi="宋体" w:cs="宋体"/>
          <w:color w:val="000000" w:themeColor="text1"/>
          <w:szCs w:val="28"/>
          <w:lang w:eastAsia="zh-CN"/>
        </w:rPr>
        <w:t>（</w:t>
      </w:r>
      <w:r>
        <w:rPr>
          <w:rFonts w:hint="eastAsia" w:ascii="宋体" w:hAnsi="宋体" w:cs="宋体"/>
          <w:color w:val="000000" w:themeColor="text1"/>
          <w:szCs w:val="28"/>
          <w:lang w:val="en-US" w:eastAsia="zh-CN"/>
        </w:rPr>
        <w:t>2</w:t>
      </w:r>
      <w:r>
        <w:rPr>
          <w:rFonts w:hint="eastAsia" w:ascii="宋体" w:hAnsi="宋体" w:cs="宋体"/>
          <w:color w:val="000000" w:themeColor="text1"/>
          <w:szCs w:val="28"/>
          <w:lang w:eastAsia="zh-CN"/>
        </w:rPr>
        <w:t>）</w:t>
      </w:r>
      <w:r>
        <w:rPr>
          <w:rFonts w:hint="eastAsia" w:ascii="宋体" w:hAnsi="宋体" w:cs="宋体"/>
          <w:color w:val="000000" w:themeColor="text1"/>
          <w:szCs w:val="28"/>
        </w:rPr>
        <w:t>生产单元、储存单元内存在的危险化学品为多品种时，按下式进行计算，若满足公式，则定义为重大危险源</w:t>
      </w:r>
      <w:r>
        <w:rPr>
          <w:rFonts w:ascii="宋体" w:hAnsi="宋体" w:cs="宋体"/>
          <w:color w:val="000000" w:themeColor="text1"/>
          <w:szCs w:val="28"/>
        </w:rPr>
        <w:t>：</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S=</w:t>
      </w: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≥1</w:t>
      </w:r>
    </w:p>
    <w:p>
      <w:pPr>
        <w:adjustRightInd/>
        <w:ind w:firstLine="560"/>
        <w:rPr>
          <w:rFonts w:ascii="宋体" w:hAnsi="宋体" w:cs="宋体"/>
          <w:color w:val="000000" w:themeColor="text1"/>
          <w:szCs w:val="28"/>
        </w:rPr>
      </w:pPr>
      <w:r>
        <w:rPr>
          <w:rFonts w:ascii="宋体" w:hAnsi="宋体" w:cs="宋体"/>
          <w:color w:val="000000" w:themeColor="text1"/>
          <w:szCs w:val="28"/>
        </w:rPr>
        <w:t>式中：</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S</w:t>
      </w:r>
      <w:r>
        <w:rPr>
          <w:rFonts w:ascii="宋体" w:hAnsi="宋体" w:cs="宋体"/>
          <w:color w:val="000000" w:themeColor="text1"/>
          <w:szCs w:val="28"/>
        </w:rPr>
        <w:t>———————</w:t>
      </w:r>
      <w:r>
        <w:rPr>
          <w:rFonts w:hint="eastAsia" w:ascii="宋体" w:hAnsi="宋体" w:cs="宋体"/>
          <w:color w:val="000000" w:themeColor="text1"/>
          <w:szCs w:val="28"/>
        </w:rPr>
        <w:t>辨识指标；</w:t>
      </w:r>
    </w:p>
    <w:p>
      <w:pPr>
        <w:adjustRightInd/>
        <w:ind w:firstLine="560"/>
        <w:rPr>
          <w:rFonts w:ascii="宋体" w:hAnsi="宋体" w:cs="宋体"/>
          <w:color w:val="000000" w:themeColor="text1"/>
          <w:szCs w:val="28"/>
        </w:rPr>
      </w:pP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————每种危险化学品实际存在量，单位为吨（t）；</w:t>
      </w:r>
    </w:p>
    <w:p>
      <w:pPr>
        <w:adjustRightInd/>
        <w:ind w:firstLine="560"/>
        <w:rPr>
          <w:rFonts w:ascii="宋体" w:hAnsi="宋体" w:cs="宋体"/>
          <w:color w:val="000000" w:themeColor="text1"/>
          <w:szCs w:val="28"/>
        </w:rPr>
      </w:pP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————与各危险化学品相对应的临界量，单位为吨（t）。</w:t>
      </w:r>
    </w:p>
    <w:p>
      <w:pPr>
        <w:adjustRightInd/>
        <w:ind w:firstLine="562"/>
        <w:rPr>
          <w:rFonts w:ascii="宋体" w:hAnsi="宋体" w:cs="宋体"/>
          <w:b/>
          <w:bCs/>
          <w:color w:val="000000" w:themeColor="text1"/>
          <w:szCs w:val="28"/>
        </w:rPr>
      </w:pPr>
      <w:r>
        <w:rPr>
          <w:rFonts w:ascii="宋体" w:hAnsi="宋体" w:cs="宋体"/>
          <w:b/>
          <w:bCs/>
          <w:color w:val="000000" w:themeColor="text1"/>
          <w:szCs w:val="28"/>
        </w:rPr>
        <w:t>2）辨识过程</w:t>
      </w:r>
    </w:p>
    <w:p>
      <w:pPr>
        <w:topLinePunct/>
        <w:ind w:firstLine="560"/>
        <w:rPr>
          <w:rFonts w:ascii="宋体" w:hAnsi="宋体"/>
          <w:color w:val="auto"/>
          <w:szCs w:val="28"/>
        </w:rPr>
      </w:pPr>
      <w:bookmarkStart w:id="2360" w:name="_Toc10742"/>
      <w:bookmarkStart w:id="2361" w:name="_Toc18876"/>
      <w:bookmarkStart w:id="2362" w:name="_Toc117866091"/>
      <w:bookmarkStart w:id="2363" w:name="_Toc8670"/>
      <w:bookmarkStart w:id="2364" w:name="_Toc9477"/>
      <w:bookmarkStart w:id="2365" w:name="_Toc29597"/>
      <w:bookmarkStart w:id="2366" w:name="_Toc14660"/>
      <w:bookmarkStart w:id="2367" w:name="_Toc16567"/>
      <w:bookmarkStart w:id="2368" w:name="_Toc118131144"/>
      <w:bookmarkStart w:id="2369" w:name="_Toc1174"/>
      <w:bookmarkStart w:id="2370" w:name="_Toc4985"/>
      <w:bookmarkStart w:id="2371" w:name="_Toc30932"/>
      <w:bookmarkStart w:id="2372" w:name="_Toc31549"/>
      <w:bookmarkStart w:id="2373" w:name="_Toc17601"/>
      <w:bookmarkStart w:id="2374" w:name="_Toc25104"/>
      <w:bookmarkStart w:id="2375" w:name="_Toc13126"/>
      <w:bookmarkStart w:id="2376" w:name="_Toc118298002"/>
      <w:bookmarkStart w:id="2377" w:name="_Toc27470"/>
      <w:bookmarkStart w:id="2378" w:name="_Toc14833"/>
      <w:bookmarkStart w:id="2379" w:name="_Toc7638"/>
      <w:bookmarkStart w:id="2380" w:name="_Toc799"/>
      <w:bookmarkStart w:id="2381" w:name="_Toc128056514"/>
      <w:bookmarkStart w:id="2382" w:name="_Toc62740971"/>
      <w:bookmarkStart w:id="2383" w:name="_Toc32004"/>
      <w:bookmarkStart w:id="2384" w:name="_Toc5482"/>
      <w:r>
        <w:rPr>
          <w:rFonts w:hint="eastAsia" w:ascii="宋体" w:hAnsi="宋体" w:cs="宋体"/>
          <w:color w:val="auto"/>
          <w:szCs w:val="28"/>
        </w:rPr>
        <w:t>项目生产过程</w:t>
      </w:r>
      <w:r>
        <w:rPr>
          <w:rFonts w:ascii="宋体" w:hAnsi="宋体" w:cs="宋体"/>
          <w:color w:val="auto"/>
          <w:szCs w:val="28"/>
        </w:rPr>
        <w:t>列入《</w:t>
      </w:r>
      <w:r>
        <w:rPr>
          <w:rFonts w:hint="eastAsia" w:ascii="宋体" w:hAnsi="宋体" w:cs="宋体"/>
          <w:color w:val="auto"/>
          <w:szCs w:val="28"/>
        </w:rPr>
        <w:t>危险化学品</w:t>
      </w:r>
      <w:r>
        <w:rPr>
          <w:rFonts w:ascii="宋体" w:hAnsi="宋体" w:cs="宋体"/>
          <w:color w:val="auto"/>
          <w:szCs w:val="28"/>
        </w:rPr>
        <w:t>重大危险源辨识》（GB18218-20</w:t>
      </w:r>
      <w:r>
        <w:rPr>
          <w:rFonts w:hint="eastAsia" w:ascii="宋体" w:hAnsi="宋体" w:cs="宋体"/>
          <w:color w:val="auto"/>
          <w:szCs w:val="28"/>
        </w:rPr>
        <w:t>18</w:t>
      </w:r>
      <w:r>
        <w:rPr>
          <w:rFonts w:ascii="宋体" w:hAnsi="宋体" w:cs="宋体"/>
          <w:color w:val="auto"/>
          <w:szCs w:val="28"/>
        </w:rPr>
        <w:t>）标准的危险物质</w:t>
      </w:r>
      <w:r>
        <w:rPr>
          <w:rFonts w:hint="eastAsia" w:ascii="宋体" w:hAnsi="宋体" w:cs="宋体"/>
          <w:color w:val="auto"/>
          <w:szCs w:val="28"/>
        </w:rPr>
        <w:t>有</w:t>
      </w:r>
      <w:r>
        <w:rPr>
          <w:rFonts w:hint="eastAsia"/>
          <w:color w:val="auto"/>
          <w:kern w:val="0"/>
          <w:szCs w:val="28"/>
        </w:rPr>
        <w:t>氟化氢</w:t>
      </w:r>
      <w:r>
        <w:rPr>
          <w:rFonts w:hint="eastAsia" w:ascii="宋体" w:hAnsi="宋体" w:cs="宋体"/>
          <w:color w:val="auto"/>
          <w:szCs w:val="28"/>
        </w:rPr>
        <w:t>，</w:t>
      </w:r>
      <w:r>
        <w:rPr>
          <w:rFonts w:hint="eastAsia" w:ascii="宋体" w:hAnsi="宋体"/>
          <w:color w:val="auto"/>
          <w:szCs w:val="28"/>
        </w:rPr>
        <w:t>临界量为1t，密度为0.7kg/m</w:t>
      </w:r>
      <w:r>
        <w:rPr>
          <w:rFonts w:hint="eastAsia" w:ascii="宋体" w:hAnsi="宋体"/>
          <w:color w:val="auto"/>
          <w:szCs w:val="28"/>
          <w:vertAlign w:val="superscript"/>
        </w:rPr>
        <w:t>3</w:t>
      </w:r>
      <w:r>
        <w:rPr>
          <w:rFonts w:hint="eastAsia" w:ascii="宋体" w:hAnsi="宋体"/>
          <w:color w:val="auto"/>
          <w:szCs w:val="28"/>
        </w:rPr>
        <w:t>。</w:t>
      </w:r>
      <w:r>
        <w:rPr>
          <w:rFonts w:hint="eastAsia"/>
          <w:color w:val="auto"/>
          <w:kern w:val="0"/>
          <w:szCs w:val="28"/>
        </w:rPr>
        <w:t>氟化氢在实际生产中为</w:t>
      </w:r>
      <w:r>
        <w:rPr>
          <w:rFonts w:hint="eastAsia" w:ascii="宋体" w:hAnsi="宋体"/>
          <w:color w:val="auto"/>
          <w:szCs w:val="28"/>
        </w:rPr>
        <w:t>非原料、产品、中间产品形态，在浓缩过程中会产生少量氟化氢气体。按系统内部空间总容积100m</w:t>
      </w:r>
      <w:r>
        <w:rPr>
          <w:rFonts w:hint="eastAsia" w:ascii="宋体" w:hAnsi="宋体"/>
          <w:color w:val="auto"/>
          <w:szCs w:val="28"/>
          <w:vertAlign w:val="superscript"/>
        </w:rPr>
        <w:t>3</w:t>
      </w:r>
      <w:r>
        <w:rPr>
          <w:rFonts w:hint="eastAsia" w:ascii="宋体" w:hAnsi="宋体"/>
          <w:color w:val="auto"/>
          <w:szCs w:val="28"/>
        </w:rPr>
        <w:t>，全部成分为氟化氢。</w:t>
      </w:r>
    </w:p>
    <w:p>
      <w:pPr>
        <w:topLinePunct/>
        <w:ind w:firstLine="560"/>
        <w:rPr>
          <w:rFonts w:ascii="宋体" w:hAnsi="宋体"/>
          <w:color w:val="auto"/>
          <w:szCs w:val="28"/>
        </w:rPr>
      </w:pPr>
      <w:r>
        <w:rPr>
          <w:rFonts w:hint="eastAsia" w:ascii="宋体" w:hAnsi="宋体"/>
          <w:color w:val="auto"/>
          <w:szCs w:val="28"/>
        </w:rPr>
        <w:t>则系统保有量为100m</w:t>
      </w:r>
      <w:r>
        <w:rPr>
          <w:rFonts w:hint="eastAsia" w:ascii="宋体" w:hAnsi="宋体"/>
          <w:color w:val="auto"/>
          <w:szCs w:val="28"/>
          <w:vertAlign w:val="superscript"/>
        </w:rPr>
        <w:t>3</w:t>
      </w:r>
      <w:r>
        <w:rPr>
          <w:rFonts w:hint="eastAsia" w:ascii="宋体" w:hAnsi="宋体"/>
          <w:color w:val="auto"/>
          <w:szCs w:val="28"/>
        </w:rPr>
        <w:t>×0.7kg/m</w:t>
      </w:r>
      <w:r>
        <w:rPr>
          <w:rFonts w:hint="eastAsia" w:ascii="宋体" w:hAnsi="宋体"/>
          <w:color w:val="auto"/>
          <w:szCs w:val="28"/>
          <w:vertAlign w:val="superscript"/>
        </w:rPr>
        <w:t>3</w:t>
      </w:r>
      <w:r>
        <w:rPr>
          <w:rFonts w:hint="eastAsia" w:ascii="宋体" w:hAnsi="宋体"/>
          <w:color w:val="auto"/>
          <w:szCs w:val="28"/>
        </w:rPr>
        <w:t>=70kg=0.07t</w:t>
      </w:r>
    </w:p>
    <w:p>
      <w:pPr>
        <w:topLinePunct/>
        <w:ind w:firstLine="560"/>
        <w:rPr>
          <w:rFonts w:ascii="宋体" w:hAnsi="宋体"/>
          <w:color w:val="auto"/>
          <w:szCs w:val="28"/>
        </w:rPr>
      </w:pPr>
      <w:r>
        <w:rPr>
          <w:rFonts w:hint="eastAsia" w:ascii="宋体" w:hAnsi="宋体" w:cs="宋体"/>
          <w:color w:val="auto"/>
          <w:szCs w:val="28"/>
        </w:rPr>
        <w:t>S=</w:t>
      </w:r>
      <w:r>
        <w:rPr>
          <w:rFonts w:ascii="宋体" w:hAnsi="宋体" w:cs="宋体"/>
          <w:color w:val="auto"/>
          <w:szCs w:val="28"/>
        </w:rPr>
        <w:t>q</w:t>
      </w:r>
      <w:r>
        <w:rPr>
          <w:rFonts w:ascii="宋体" w:hAnsi="宋体" w:cs="宋体"/>
          <w:color w:val="auto"/>
          <w:szCs w:val="28"/>
          <w:vertAlign w:val="subscript"/>
        </w:rPr>
        <w:t>1</w:t>
      </w:r>
      <w:r>
        <w:rPr>
          <w:rFonts w:ascii="宋体" w:hAnsi="宋体" w:cs="宋体"/>
          <w:color w:val="auto"/>
          <w:szCs w:val="28"/>
        </w:rPr>
        <w:t>/Q</w:t>
      </w:r>
      <w:r>
        <w:rPr>
          <w:rFonts w:ascii="宋体" w:hAnsi="宋体" w:cs="宋体"/>
          <w:color w:val="auto"/>
          <w:szCs w:val="28"/>
          <w:vertAlign w:val="subscript"/>
        </w:rPr>
        <w:t>1</w:t>
      </w:r>
      <w:r>
        <w:rPr>
          <w:rFonts w:hint="eastAsia" w:ascii="宋体" w:hAnsi="宋体" w:cs="宋体"/>
          <w:color w:val="auto"/>
          <w:szCs w:val="28"/>
        </w:rPr>
        <w:t>=0.07/1=0.07＜1</w:t>
      </w:r>
    </w:p>
    <w:p>
      <w:pPr>
        <w:topLinePunct/>
        <w:ind w:firstLine="560"/>
        <w:rPr>
          <w:rFonts w:ascii="宋体" w:hAnsi="宋体"/>
          <w:b/>
          <w:color w:val="auto"/>
          <w:szCs w:val="28"/>
        </w:rPr>
      </w:pPr>
      <w:r>
        <w:rPr>
          <w:rFonts w:hint="eastAsia"/>
          <w:b/>
          <w:bCs/>
        </w:rPr>
        <w:t>辨识结果：根据上述辨识及计算，</w:t>
      </w:r>
      <w:r>
        <w:rPr>
          <w:rFonts w:hint="eastAsia" w:ascii="宋体" w:hAnsi="宋体" w:cs="宋体"/>
          <w:b/>
          <w:bCs/>
          <w:lang w:eastAsia="zh-CN"/>
        </w:rPr>
        <w:t>昆明合起工贸有限公司澄江氟化分公司</w:t>
      </w:r>
      <w:r>
        <w:rPr>
          <w:rFonts w:hint="eastAsia" w:ascii="宋体" w:hAnsi="宋体"/>
          <w:b/>
          <w:color w:val="auto"/>
          <w:szCs w:val="28"/>
        </w:rPr>
        <w:t>不构成危险化学品重大危险源</w:t>
      </w:r>
      <w:r>
        <w:rPr>
          <w:rFonts w:hint="eastAsia" w:ascii="宋体" w:hAnsi="宋体"/>
          <w:color w:val="auto"/>
          <w:szCs w:val="28"/>
        </w:rPr>
        <w:t>。</w:t>
      </w:r>
    </w:p>
    <w:p>
      <w:pPr>
        <w:pStyle w:val="4"/>
        <w:ind w:firstLine="562"/>
      </w:pPr>
      <w:bookmarkStart w:id="2385" w:name="_Toc10003"/>
      <w:bookmarkStart w:id="2386" w:name="_Toc18765"/>
      <w:bookmarkStart w:id="2387" w:name="_Toc8533"/>
      <w:bookmarkStart w:id="2388" w:name="_Toc23970"/>
      <w:r>
        <w:rPr>
          <w:rFonts w:hint="eastAsia"/>
        </w:rPr>
        <w:t>2.</w:t>
      </w:r>
      <w:r>
        <w:rPr>
          <w:rFonts w:hint="eastAsia"/>
          <w:lang w:val="en-US" w:eastAsia="zh-CN"/>
        </w:rPr>
        <w:t>8</w:t>
      </w:r>
      <w:r>
        <w:rPr>
          <w:rFonts w:hint="eastAsia"/>
        </w:rPr>
        <w:t xml:space="preserve"> 剧毒品、易制毒化学品、易制爆化学品辨识</w:t>
      </w:r>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bookmarkEnd w:id="2385"/>
      <w:bookmarkEnd w:id="2386"/>
      <w:bookmarkEnd w:id="2387"/>
      <w:bookmarkEnd w:id="2388"/>
    </w:p>
    <w:p>
      <w:pPr>
        <w:ind w:firstLine="560"/>
      </w:pPr>
      <w:r>
        <w:rPr>
          <w:rFonts w:hint="eastAsia"/>
          <w:lang w:val="en-US" w:eastAsia="zh-CN"/>
        </w:rPr>
        <w:t>根据</w:t>
      </w:r>
      <w:r>
        <w:rPr>
          <w:rFonts w:ascii="宋体" w:hAnsi="宋体"/>
          <w:color w:val="000000" w:themeColor="text1"/>
          <w:szCs w:val="28"/>
        </w:rPr>
        <w:t>《危险</w:t>
      </w:r>
      <w:r>
        <w:rPr>
          <w:rFonts w:hint="eastAsia" w:ascii="宋体" w:hAnsi="宋体"/>
          <w:color w:val="000000" w:themeColor="text1"/>
          <w:szCs w:val="28"/>
        </w:rPr>
        <w:t>化学品目录（2022版）</w:t>
      </w:r>
      <w:r>
        <w:rPr>
          <w:rFonts w:ascii="宋体" w:hAnsi="宋体"/>
          <w:color w:val="000000" w:themeColor="text1"/>
          <w:szCs w:val="28"/>
        </w:rPr>
        <w:t>》</w:t>
      </w:r>
      <w:r>
        <w:rPr>
          <w:rFonts w:hint="eastAsia"/>
        </w:rPr>
        <w:t>，氟化分公司涉及的</w:t>
      </w:r>
      <w:r>
        <w:rPr>
          <w:rFonts w:hint="eastAsia"/>
          <w:color w:val="000000" w:themeColor="text1"/>
        </w:rPr>
        <w:t>危险化学品</w:t>
      </w:r>
      <w:r>
        <w:rPr>
          <w:rFonts w:hint="eastAsia" w:ascii="宋体" w:hAnsi="宋体"/>
          <w:color w:val="auto"/>
          <w:szCs w:val="28"/>
        </w:rPr>
        <w:t>氟硅酸、氟硅酸镁、氟化氢、四氟化硅</w:t>
      </w:r>
      <w:r>
        <w:rPr>
          <w:rFonts w:hint="eastAsia"/>
        </w:rPr>
        <w:t>均不属于剧毒品。</w:t>
      </w:r>
    </w:p>
    <w:p>
      <w:pPr>
        <w:ind w:firstLine="560"/>
      </w:pPr>
      <w:r>
        <w:rPr>
          <w:rFonts w:hint="eastAsia"/>
          <w:lang w:val="en-US" w:eastAsia="zh-CN"/>
        </w:rPr>
        <w:t>根据</w:t>
      </w:r>
      <w:r>
        <w:rPr>
          <w:rFonts w:hint="eastAsia"/>
        </w:rPr>
        <w:t>《易制毒化学品管理条例》（国务院令第445号，2018年9月18日公布的国务院令第703号修正），氟化分公司涉及的</w:t>
      </w:r>
      <w:r>
        <w:rPr>
          <w:rFonts w:hint="eastAsia"/>
          <w:color w:val="000000" w:themeColor="text1"/>
        </w:rPr>
        <w:t>危险化学品</w:t>
      </w:r>
      <w:r>
        <w:rPr>
          <w:rFonts w:hint="eastAsia" w:ascii="宋体" w:hAnsi="宋体"/>
          <w:color w:val="auto"/>
          <w:szCs w:val="28"/>
        </w:rPr>
        <w:t>氟硅酸、氟硅酸镁、氟化氢、四氟化硅</w:t>
      </w:r>
      <w:r>
        <w:rPr>
          <w:rFonts w:hint="eastAsia"/>
        </w:rPr>
        <w:t>均不在《易制毒化学品管理条例》附表所列的38种易制毒化学品中，均不属于易制毒化学品。</w:t>
      </w:r>
    </w:p>
    <w:p>
      <w:pPr>
        <w:pStyle w:val="4"/>
        <w:ind w:firstLine="562"/>
      </w:pPr>
      <w:bookmarkStart w:id="2389" w:name="_Toc17440"/>
      <w:bookmarkStart w:id="2390" w:name="_Toc8719"/>
      <w:bookmarkStart w:id="2391" w:name="_Toc19002"/>
      <w:bookmarkStart w:id="2392" w:name="_Toc17266"/>
      <w:bookmarkStart w:id="2393" w:name="_Toc32146"/>
      <w:bookmarkStart w:id="2394" w:name="_Toc1247"/>
      <w:bookmarkStart w:id="2395" w:name="_Toc11404"/>
      <w:bookmarkStart w:id="2396" w:name="_Toc17865"/>
      <w:bookmarkStart w:id="2397" w:name="_Toc117866092"/>
      <w:bookmarkStart w:id="2398" w:name="_Toc6672"/>
      <w:bookmarkStart w:id="2399" w:name="_Toc25094"/>
      <w:bookmarkStart w:id="2400" w:name="_Toc32175"/>
      <w:bookmarkStart w:id="2401" w:name="_Toc14613"/>
      <w:bookmarkStart w:id="2402" w:name="_Toc19073"/>
      <w:bookmarkStart w:id="2403" w:name="_Toc23848"/>
      <w:bookmarkStart w:id="2404" w:name="_Toc118131145"/>
      <w:bookmarkStart w:id="2405" w:name="_Toc3993"/>
      <w:bookmarkStart w:id="2406" w:name="_Toc19762"/>
      <w:bookmarkStart w:id="2407" w:name="_Toc9583"/>
      <w:bookmarkStart w:id="2408" w:name="_Toc24906"/>
      <w:bookmarkStart w:id="2409" w:name="_Toc118298003"/>
      <w:bookmarkStart w:id="2410" w:name="_Toc22864"/>
      <w:bookmarkStart w:id="2411" w:name="_Toc7949"/>
      <w:bookmarkStart w:id="2412" w:name="_Toc18448"/>
      <w:r>
        <w:rPr>
          <w:rFonts w:hint="eastAsia"/>
        </w:rPr>
        <w:t>2.</w:t>
      </w:r>
      <w:r>
        <w:rPr>
          <w:rFonts w:hint="eastAsia"/>
          <w:lang w:val="en-US" w:eastAsia="zh-CN"/>
        </w:rPr>
        <w:t>9</w:t>
      </w:r>
      <w:r>
        <w:rPr>
          <w:rFonts w:hint="eastAsia"/>
        </w:rPr>
        <w:t xml:space="preserve"> 重点监管的危险化学品辨识</w:t>
      </w:r>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p>
    <w:p>
      <w:pPr>
        <w:pStyle w:val="58"/>
        <w:topLinePunct/>
        <w:ind w:firstLine="560"/>
      </w:pPr>
      <w:r>
        <w:rPr>
          <w:rFonts w:hint="eastAsia"/>
          <w:lang w:val="en-US" w:eastAsia="zh-CN"/>
        </w:rPr>
        <w:t>根据</w:t>
      </w:r>
      <w:r>
        <w:rPr>
          <w:rFonts w:hint="eastAsia"/>
        </w:rPr>
        <w:t>《首批重点监管的危险化学品名录》，氟化分公司涉及的</w:t>
      </w:r>
      <w:r>
        <w:rPr>
          <w:rFonts w:hint="eastAsia"/>
          <w:color w:val="000000" w:themeColor="text1"/>
        </w:rPr>
        <w:t>危险化学品</w:t>
      </w:r>
      <w:r>
        <w:rPr>
          <w:rFonts w:hint="eastAsia" w:ascii="宋体" w:hAnsi="宋体"/>
          <w:color w:val="auto"/>
          <w:szCs w:val="28"/>
        </w:rPr>
        <w:t>氟化氢为首批重点监管的危险化学品，但氟化氢为生产过程中产生的废气量小，企业设有废气处理装置</w:t>
      </w:r>
      <w:r>
        <w:rPr>
          <w:rFonts w:hint="eastAsia"/>
        </w:rPr>
        <w:t>。根据《国家安全监管总局关于公布第二批重点监管危险化学品名录的通知》（安监总管三〔2013〕12号），氟化分公司涉及的</w:t>
      </w:r>
      <w:r>
        <w:rPr>
          <w:rFonts w:hint="eastAsia"/>
          <w:color w:val="000000" w:themeColor="text1"/>
        </w:rPr>
        <w:t>危险化学品</w:t>
      </w:r>
      <w:r>
        <w:rPr>
          <w:rFonts w:hint="eastAsia" w:ascii="宋体" w:hAnsi="宋体"/>
          <w:color w:val="auto"/>
          <w:szCs w:val="28"/>
        </w:rPr>
        <w:t>氟硅酸、氟硅酸镁、氟化氢、四氟化硅</w:t>
      </w:r>
      <w:r>
        <w:rPr>
          <w:rFonts w:hint="eastAsia"/>
        </w:rPr>
        <w:t>未列入目录中，不涉及第二批重点监管的危险化学品。</w:t>
      </w:r>
    </w:p>
    <w:p>
      <w:pPr>
        <w:pStyle w:val="4"/>
        <w:ind w:firstLine="562"/>
      </w:pPr>
      <w:bookmarkStart w:id="2413" w:name="_Toc331"/>
      <w:bookmarkStart w:id="2414" w:name="_Toc6470"/>
      <w:bookmarkStart w:id="2415" w:name="_Toc5449"/>
      <w:bookmarkStart w:id="2416" w:name="_Toc26240"/>
      <w:bookmarkStart w:id="2417" w:name="_Toc23668"/>
      <w:bookmarkStart w:id="2418" w:name="_Toc20937"/>
      <w:bookmarkStart w:id="2419" w:name="_Toc9684"/>
      <w:bookmarkStart w:id="2420" w:name="_Toc118131146"/>
      <w:bookmarkStart w:id="2421" w:name="_Toc6797"/>
      <w:bookmarkStart w:id="2422" w:name="_Toc5468"/>
      <w:bookmarkStart w:id="2423" w:name="_Toc6986"/>
      <w:bookmarkStart w:id="2424" w:name="_Toc9610"/>
      <w:bookmarkStart w:id="2425" w:name="_Toc117866093"/>
      <w:bookmarkStart w:id="2426" w:name="_Toc4385"/>
      <w:bookmarkStart w:id="2427" w:name="_Toc26648"/>
      <w:bookmarkStart w:id="2428" w:name="_Toc998"/>
      <w:bookmarkStart w:id="2429" w:name="_Toc26480"/>
      <w:bookmarkStart w:id="2430" w:name="_Toc3081"/>
      <w:bookmarkStart w:id="2431" w:name="_Toc14640"/>
      <w:bookmarkStart w:id="2432" w:name="_Toc25517"/>
      <w:bookmarkStart w:id="2433" w:name="_Toc1891"/>
      <w:bookmarkStart w:id="2434" w:name="_Toc22877"/>
      <w:bookmarkStart w:id="2435" w:name="_Toc118298004"/>
      <w:bookmarkStart w:id="2436" w:name="_Toc6168"/>
      <w:r>
        <w:rPr>
          <w:rFonts w:hint="eastAsia"/>
        </w:rPr>
        <w:t>2.10 重点监管的危险化工工艺辨识</w:t>
      </w:r>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p>
    <w:p>
      <w:pPr>
        <w:ind w:firstLine="560"/>
      </w:pPr>
      <w:r>
        <w:rPr>
          <w:rFonts w:hint="eastAsia"/>
        </w:rPr>
        <w:t>根据《国家安全监管总局关于公布首批重点监管的危险化工工艺目录的通知》（安监总管三〔2009〕116号）及《国家安全监管总局关于公布第二批重点监管危险化工工艺目录和调整首批重点监管危险化工工艺中部分典型工艺的通知》（安监总管三〔2013〕3号），氟化分公司所采用的生产工艺不属于首批重点监管的危险化工工艺。</w:t>
      </w:r>
    </w:p>
    <w:p>
      <w:pPr>
        <w:pStyle w:val="4"/>
        <w:ind w:firstLine="562"/>
      </w:pPr>
      <w:bookmarkStart w:id="2437" w:name="_Toc17631"/>
      <w:bookmarkStart w:id="2438" w:name="_Toc12993"/>
      <w:bookmarkStart w:id="2439" w:name="_Toc869"/>
      <w:bookmarkStart w:id="2440" w:name="_Toc30546"/>
      <w:r>
        <w:rPr>
          <w:rFonts w:hint="eastAsia"/>
          <w:color w:val="000000" w:themeColor="text1"/>
          <w:lang w:val="en-US" w:eastAsia="zh-CN"/>
        </w:rPr>
        <w:t>2</w:t>
      </w:r>
      <w:r>
        <w:rPr>
          <w:rFonts w:hint="eastAsia"/>
          <w:color w:val="000000" w:themeColor="text1"/>
        </w:rPr>
        <w:t>.</w:t>
      </w:r>
      <w:r>
        <w:rPr>
          <w:rFonts w:hint="eastAsia"/>
          <w:color w:val="000000" w:themeColor="text1"/>
          <w:lang w:val="en-US" w:eastAsia="zh-CN"/>
        </w:rPr>
        <w:t>11</w:t>
      </w:r>
      <w:r>
        <w:rPr>
          <w:rFonts w:hint="eastAsia"/>
          <w:color w:val="000000" w:themeColor="text1"/>
        </w:rPr>
        <w:t xml:space="preserve"> 高毒物品</w:t>
      </w:r>
      <w:r>
        <w:rPr>
          <w:rFonts w:hint="eastAsia"/>
        </w:rPr>
        <w:t>辨识结果</w:t>
      </w:r>
      <w:bookmarkEnd w:id="2437"/>
      <w:bookmarkEnd w:id="2438"/>
      <w:bookmarkEnd w:id="2439"/>
      <w:bookmarkEnd w:id="2440"/>
    </w:p>
    <w:p>
      <w:pPr>
        <w:pStyle w:val="58"/>
        <w:topLinePunct/>
        <w:ind w:firstLine="560"/>
        <w:rPr>
          <w:rFonts w:ascii="宋体" w:hAnsi="宋体"/>
          <w:color w:val="auto"/>
          <w:szCs w:val="28"/>
        </w:rPr>
      </w:pPr>
      <w:r>
        <w:rPr>
          <w:rFonts w:hint="eastAsia" w:ascii="宋体" w:hAnsi="宋体"/>
          <w:color w:val="auto"/>
          <w:szCs w:val="28"/>
        </w:rPr>
        <w:t>根据《高毒物品目录》（2003年版）有关规定，氟化分公司生产经营过程涉及的危险化学品中，</w:t>
      </w:r>
      <w:r>
        <w:rPr>
          <w:rFonts w:hint="eastAsia"/>
          <w:color w:val="auto"/>
          <w:kern w:val="0"/>
          <w:szCs w:val="28"/>
        </w:rPr>
        <w:t>氟硅酸、</w:t>
      </w:r>
      <w:r>
        <w:rPr>
          <w:color w:val="auto"/>
          <w:kern w:val="0"/>
          <w:szCs w:val="28"/>
        </w:rPr>
        <w:t>氟硅酸镁</w:t>
      </w:r>
      <w:r>
        <w:rPr>
          <w:rFonts w:hint="eastAsia"/>
          <w:color w:val="auto"/>
          <w:kern w:val="0"/>
          <w:szCs w:val="28"/>
        </w:rPr>
        <w:t>、</w:t>
      </w:r>
      <w:r>
        <w:rPr>
          <w:color w:val="auto"/>
          <w:kern w:val="0"/>
          <w:szCs w:val="28"/>
        </w:rPr>
        <w:t>氟化氢</w:t>
      </w:r>
      <w:r>
        <w:rPr>
          <w:rFonts w:hint="eastAsia"/>
          <w:color w:val="auto"/>
          <w:kern w:val="0"/>
          <w:szCs w:val="28"/>
        </w:rPr>
        <w:t>、</w:t>
      </w:r>
      <w:r>
        <w:rPr>
          <w:color w:val="auto"/>
          <w:kern w:val="0"/>
          <w:szCs w:val="28"/>
        </w:rPr>
        <w:t>四氟化硅均为</w:t>
      </w:r>
      <w:r>
        <w:rPr>
          <w:rFonts w:hint="eastAsia" w:ascii="宋体" w:hAnsi="宋体"/>
          <w:color w:val="auto"/>
          <w:szCs w:val="28"/>
        </w:rPr>
        <w:t>高毒物品。</w:t>
      </w:r>
    </w:p>
    <w:p>
      <w:pPr>
        <w:pStyle w:val="58"/>
        <w:topLinePunct/>
        <w:ind w:firstLine="562"/>
        <w:outlineLvl w:val="1"/>
        <w:rPr>
          <w:rFonts w:ascii="宋体" w:hAnsi="宋体"/>
          <w:b/>
          <w:bCs/>
          <w:color w:val="auto"/>
          <w:szCs w:val="28"/>
        </w:rPr>
      </w:pPr>
      <w:bookmarkStart w:id="2441" w:name="_Toc7830"/>
      <w:bookmarkStart w:id="2442" w:name="_Toc22132"/>
      <w:bookmarkStart w:id="2443" w:name="_Toc9081"/>
      <w:bookmarkStart w:id="2444" w:name="_Toc23944"/>
      <w:r>
        <w:rPr>
          <w:rFonts w:hint="eastAsia" w:ascii="宋体" w:hAnsi="宋体"/>
          <w:b/>
          <w:bCs/>
          <w:color w:val="auto"/>
          <w:szCs w:val="28"/>
          <w:lang w:val="en-US" w:eastAsia="zh-CN"/>
        </w:rPr>
        <w:t>2</w:t>
      </w:r>
      <w:r>
        <w:rPr>
          <w:rFonts w:hint="eastAsia" w:ascii="宋体" w:hAnsi="宋体"/>
          <w:b/>
          <w:bCs/>
          <w:color w:val="auto"/>
          <w:szCs w:val="28"/>
        </w:rPr>
        <w:t>.</w:t>
      </w:r>
      <w:r>
        <w:rPr>
          <w:rFonts w:hint="eastAsia" w:ascii="宋体" w:hAnsi="宋体"/>
          <w:b/>
          <w:bCs/>
          <w:color w:val="auto"/>
          <w:szCs w:val="28"/>
          <w:lang w:val="en-US" w:eastAsia="zh-CN"/>
        </w:rPr>
        <w:t>12</w:t>
      </w:r>
      <w:r>
        <w:rPr>
          <w:rFonts w:hint="eastAsia" w:ascii="宋体" w:hAnsi="宋体"/>
          <w:b/>
          <w:bCs/>
          <w:color w:val="auto"/>
          <w:szCs w:val="28"/>
        </w:rPr>
        <w:t>特别管控危险化学品</w:t>
      </w:r>
      <w:r>
        <w:rPr>
          <w:rFonts w:hint="eastAsia"/>
          <w:b/>
          <w:bCs/>
        </w:rPr>
        <w:t>辨识结果</w:t>
      </w:r>
      <w:bookmarkEnd w:id="2441"/>
      <w:bookmarkEnd w:id="2442"/>
      <w:bookmarkEnd w:id="2443"/>
      <w:bookmarkEnd w:id="2444"/>
    </w:p>
    <w:p>
      <w:pPr>
        <w:pStyle w:val="58"/>
        <w:topLinePunct/>
        <w:ind w:firstLine="560"/>
        <w:rPr>
          <w:rFonts w:ascii="宋体" w:hAnsi="宋体"/>
          <w:color w:val="auto"/>
          <w:szCs w:val="28"/>
        </w:rPr>
      </w:pPr>
      <w:r>
        <w:rPr>
          <w:rFonts w:hint="eastAsia" w:ascii="宋体" w:hAnsi="宋体"/>
          <w:color w:val="auto"/>
          <w:szCs w:val="28"/>
        </w:rPr>
        <w:t>根据《特别管控危险化学品目录》</w:t>
      </w:r>
      <w:r>
        <w:rPr>
          <w:rFonts w:ascii="宋体" w:hAnsi="宋体"/>
          <w:color w:val="auto"/>
          <w:szCs w:val="28"/>
        </w:rPr>
        <w:t>（2020年第1号）</w:t>
      </w:r>
      <w:r>
        <w:rPr>
          <w:rFonts w:hint="eastAsia" w:ascii="宋体" w:hAnsi="宋体"/>
          <w:color w:val="auto"/>
          <w:szCs w:val="28"/>
        </w:rPr>
        <w:t>有关规定，氟化分公司生产经营过程涉及的危险化学品中不涉及特别管控的危险化学品。</w:t>
      </w:r>
    </w:p>
    <w:p>
      <w:pPr>
        <w:ind w:firstLine="560"/>
      </w:pPr>
      <w:r>
        <w:rPr>
          <w:rFonts w:hint="eastAsia"/>
        </w:rPr>
        <w:br w:type="page"/>
      </w:r>
    </w:p>
    <w:bookmarkEnd w:id="2380"/>
    <w:bookmarkEnd w:id="2381"/>
    <w:bookmarkEnd w:id="2382"/>
    <w:bookmarkEnd w:id="2383"/>
    <w:bookmarkEnd w:id="2384"/>
    <w:p>
      <w:pPr>
        <w:pStyle w:val="3"/>
        <w:rPr>
          <w:rFonts w:ascii="宋体" w:hAnsi="宋体" w:eastAsia="宋体" w:cs="宋体"/>
          <w:b/>
          <w:bCs w:val="0"/>
          <w:color w:val="000000" w:themeColor="text1"/>
          <w:sz w:val="32"/>
          <w:szCs w:val="32"/>
        </w:rPr>
      </w:pPr>
      <w:bookmarkStart w:id="2445" w:name="_Toc17241"/>
      <w:bookmarkStart w:id="2446" w:name="_Toc62740972"/>
      <w:bookmarkStart w:id="2447" w:name="_Toc4775"/>
      <w:bookmarkStart w:id="2448" w:name="_Toc3229"/>
      <w:bookmarkStart w:id="2449" w:name="_Toc10125"/>
      <w:bookmarkStart w:id="2450" w:name="_Toc29158"/>
      <w:bookmarkStart w:id="2451" w:name="_Toc26435"/>
      <w:bookmarkStart w:id="2452" w:name="_Toc15052"/>
      <w:bookmarkStart w:id="2453" w:name="_Toc7825"/>
      <w:bookmarkStart w:id="2454" w:name="_Toc24361"/>
      <w:bookmarkStart w:id="2455" w:name="_Toc19489"/>
      <w:bookmarkStart w:id="2456" w:name="_Toc29191"/>
      <w:bookmarkStart w:id="2457" w:name="_Toc128056516"/>
      <w:bookmarkStart w:id="2458" w:name="_Toc14863"/>
      <w:bookmarkStart w:id="2459" w:name="_Toc2740"/>
      <w:bookmarkStart w:id="2460" w:name="_Toc11374"/>
      <w:bookmarkStart w:id="2461" w:name="_Toc6800"/>
      <w:bookmarkStart w:id="2462" w:name="_Toc16839"/>
      <w:bookmarkStart w:id="2463" w:name="_Toc31212"/>
      <w:bookmarkStart w:id="2464" w:name="_Toc25268"/>
      <w:bookmarkStart w:id="2465" w:name="_Toc25763"/>
      <w:bookmarkStart w:id="2466" w:name="_Toc45"/>
      <w:bookmarkStart w:id="2467" w:name="_Toc27297"/>
      <w:bookmarkStart w:id="2468" w:name="_Toc14326"/>
      <w:bookmarkStart w:id="2469" w:name="_Toc21247"/>
      <w:r>
        <w:rPr>
          <w:rFonts w:hint="eastAsia" w:ascii="宋体" w:hAnsi="宋体" w:eastAsia="宋体" w:cs="宋体"/>
          <w:b/>
          <w:bCs w:val="0"/>
          <w:color w:val="000000" w:themeColor="text1"/>
          <w:sz w:val="32"/>
          <w:szCs w:val="32"/>
        </w:rPr>
        <w:t>附件3  安全评价方法简介</w:t>
      </w:r>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p>
    <w:p>
      <w:pPr>
        <w:pStyle w:val="2"/>
        <w:ind w:firstLine="560"/>
        <w:rPr>
          <w:sz w:val="32"/>
          <w:szCs w:val="32"/>
        </w:rPr>
      </w:pPr>
      <w:bookmarkStart w:id="2470" w:name="_Toc62740973"/>
      <w:bookmarkStart w:id="2471" w:name="_Toc6513"/>
      <w:bookmarkStart w:id="2472" w:name="_Toc3645"/>
      <w:bookmarkStart w:id="2473" w:name="_Toc27387"/>
      <w:bookmarkStart w:id="2474" w:name="_Toc4785"/>
      <w:bookmarkStart w:id="2475" w:name="_Toc128056517"/>
      <w:bookmarkStart w:id="2476" w:name="_Toc28436"/>
      <w:bookmarkStart w:id="2477" w:name="_Toc16524"/>
      <w:bookmarkStart w:id="2478" w:name="_Toc9291"/>
      <w:bookmarkStart w:id="2479" w:name="_Toc22986"/>
      <w:bookmarkStart w:id="2480" w:name="_Toc20067"/>
      <w:bookmarkStart w:id="2481" w:name="_Toc13155"/>
    </w:p>
    <w:p>
      <w:pPr>
        <w:pStyle w:val="4"/>
        <w:ind w:firstLine="562"/>
        <w:rPr>
          <w:color w:val="000000" w:themeColor="text1"/>
        </w:rPr>
      </w:pPr>
      <w:bookmarkStart w:id="2482" w:name="_Toc22171"/>
      <w:bookmarkStart w:id="2483" w:name="_Toc22041"/>
      <w:bookmarkStart w:id="2484" w:name="_Toc11221"/>
      <w:bookmarkStart w:id="2485" w:name="_Toc25319"/>
      <w:bookmarkStart w:id="2486" w:name="_Toc3293"/>
      <w:bookmarkStart w:id="2487" w:name="_Toc24651"/>
      <w:bookmarkStart w:id="2488" w:name="_Toc31267"/>
      <w:bookmarkStart w:id="2489" w:name="_Toc25814"/>
      <w:bookmarkStart w:id="2490" w:name="_Toc25284"/>
      <w:bookmarkStart w:id="2491" w:name="_Toc14760"/>
      <w:bookmarkStart w:id="2492" w:name="_Toc11986"/>
      <w:bookmarkStart w:id="2493" w:name="_Toc21267"/>
      <w:bookmarkStart w:id="2494" w:name="_Toc23877"/>
      <w:r>
        <w:rPr>
          <w:rFonts w:hint="eastAsia"/>
          <w:color w:val="000000" w:themeColor="text1"/>
        </w:rPr>
        <w:t>3.1 安全检查表法</w:t>
      </w:r>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p>
    <w:p>
      <w:pPr>
        <w:ind w:firstLine="560"/>
        <w:rPr>
          <w:color w:val="000000" w:themeColor="text1"/>
        </w:rPr>
      </w:pPr>
      <w:r>
        <w:rPr>
          <w:rFonts w:hint="eastAsia"/>
          <w:color w:val="000000" w:themeColor="text1"/>
        </w:rPr>
        <w:t>安全检查表评价法（SafetyCheckList，简称SCL），是安全评价的常规方法，具有简便、实用、有效的特点，常常用于对安全生产管理，对熟知的工艺设计、物料、设备或操作规程进行分析，也可用于新开发工艺过程的早期阶段，识别和消除在类似系统的多年操作中所发现的危险。这种方法主要是依据国家、地区、行业等相关的标准、法规编制检查表，针对检查内容判断是否、有无，从而找出系统中存在的缺陷、疏漏、隐患、问题，并提出在工程设计、建设或运行过程中应注意的问题。</w:t>
      </w:r>
    </w:p>
    <w:p>
      <w:pPr>
        <w:pStyle w:val="4"/>
        <w:ind w:firstLine="562"/>
        <w:rPr>
          <w:color w:val="000000" w:themeColor="text1"/>
        </w:rPr>
      </w:pPr>
      <w:bookmarkStart w:id="2495" w:name="_Toc12432"/>
      <w:bookmarkStart w:id="2496" w:name="_Toc19849"/>
      <w:bookmarkStart w:id="2497" w:name="_Toc31476"/>
      <w:bookmarkStart w:id="2498" w:name="_Toc31760"/>
      <w:bookmarkStart w:id="2499" w:name="_Toc6860"/>
      <w:bookmarkStart w:id="2500" w:name="_Toc20259"/>
      <w:bookmarkStart w:id="2501" w:name="_Toc5670"/>
      <w:bookmarkStart w:id="2502" w:name="_Toc11436"/>
      <w:bookmarkStart w:id="2503" w:name="_Toc128056518"/>
      <w:bookmarkStart w:id="2504" w:name="_Toc7936"/>
      <w:bookmarkStart w:id="2505" w:name="_Toc62740974"/>
      <w:bookmarkStart w:id="2506" w:name="_Toc9563"/>
      <w:bookmarkStart w:id="2507" w:name="_Toc26820"/>
      <w:bookmarkStart w:id="2508" w:name="_Toc15248"/>
      <w:bookmarkStart w:id="2509" w:name="_Toc30034"/>
      <w:bookmarkStart w:id="2510" w:name="_Toc10986"/>
      <w:bookmarkStart w:id="2511" w:name="_Toc14529"/>
      <w:bookmarkStart w:id="2512" w:name="_Toc17611"/>
      <w:bookmarkStart w:id="2513" w:name="_Toc20656"/>
      <w:bookmarkStart w:id="2514" w:name="_Toc29281"/>
      <w:bookmarkStart w:id="2515" w:name="_Toc21539"/>
      <w:bookmarkStart w:id="2516" w:name="_Toc8467"/>
      <w:bookmarkStart w:id="2517" w:name="_Toc18543"/>
      <w:bookmarkStart w:id="2518" w:name="_Toc11604"/>
      <w:bookmarkStart w:id="2519" w:name="_Toc19206"/>
      <w:r>
        <w:rPr>
          <w:rFonts w:hint="eastAsia"/>
          <w:color w:val="000000" w:themeColor="text1"/>
        </w:rPr>
        <w:t xml:space="preserve">3.2 </w:t>
      </w:r>
      <w:r>
        <w:rPr>
          <w:color w:val="000000" w:themeColor="text1"/>
        </w:rPr>
        <w:t>作业条件危险性评价法</w:t>
      </w:r>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p>
    <w:p>
      <w:pPr>
        <w:ind w:firstLine="560"/>
        <w:rPr>
          <w:color w:val="000000" w:themeColor="text1"/>
        </w:rPr>
      </w:pPr>
      <w:r>
        <w:rPr>
          <w:rFonts w:hint="eastAsia"/>
          <w:color w:val="000000" w:themeColor="text1"/>
        </w:rPr>
        <w:t>作业条件危险性评价法</w:t>
      </w:r>
      <w:r>
        <w:rPr>
          <w:color w:val="000000" w:themeColor="text1"/>
        </w:rPr>
        <w:t>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pPr>
        <w:ind w:firstLine="560"/>
        <w:rPr>
          <w:color w:val="000000" w:themeColor="text1"/>
        </w:rPr>
      </w:pPr>
      <w:r>
        <w:rPr>
          <w:color w:val="000000" w:themeColor="text1"/>
        </w:rPr>
        <w:t>本评价</w:t>
      </w:r>
      <w:r>
        <w:rPr>
          <w:rFonts w:hint="eastAsia"/>
          <w:color w:val="000000" w:themeColor="text1"/>
        </w:rPr>
        <w:t>项目</w:t>
      </w:r>
      <w:r>
        <w:rPr>
          <w:color w:val="000000" w:themeColor="text1"/>
        </w:rPr>
        <w:t>中采用格雷厄姆法来对</w:t>
      </w:r>
      <w:r>
        <w:rPr>
          <w:rFonts w:hint="eastAsia"/>
          <w:color w:val="000000" w:themeColor="text1"/>
        </w:rPr>
        <w:t>项目</w:t>
      </w:r>
      <w:r>
        <w:rPr>
          <w:color w:val="000000" w:themeColor="text1"/>
        </w:rPr>
        <w:t>生产过程及公用工程及辅助设施的危险性进行评价。</w:t>
      </w:r>
    </w:p>
    <w:p>
      <w:pPr>
        <w:ind w:firstLine="560"/>
        <w:rPr>
          <w:color w:val="000000" w:themeColor="text1"/>
        </w:rPr>
      </w:pPr>
      <w:r>
        <w:rPr>
          <w:color w:val="000000" w:themeColor="text1"/>
        </w:rPr>
        <w:t>格雷厄姆和金尼认为影响危险性的主要因素有三个：</w:t>
      </w:r>
    </w:p>
    <w:p>
      <w:pPr>
        <w:ind w:firstLine="560"/>
        <w:rPr>
          <w:color w:val="000000" w:themeColor="text1"/>
        </w:rPr>
      </w:pPr>
      <w:r>
        <w:rPr>
          <w:rFonts w:hint="eastAsia"/>
        </w:rPr>
        <w:t>1）</w:t>
      </w:r>
      <w:r>
        <w:rPr>
          <w:color w:val="000000" w:themeColor="text1"/>
        </w:rPr>
        <w:t>发生事故或危险事件的可能性；</w:t>
      </w:r>
    </w:p>
    <w:p>
      <w:pPr>
        <w:ind w:firstLine="560"/>
        <w:rPr>
          <w:color w:val="000000" w:themeColor="text1"/>
        </w:rPr>
      </w:pPr>
      <w:r>
        <w:rPr>
          <w:rFonts w:hint="eastAsia"/>
        </w:rPr>
        <w:t>2）</w:t>
      </w:r>
      <w:r>
        <w:rPr>
          <w:color w:val="000000" w:themeColor="text1"/>
        </w:rPr>
        <w:t>暴露于这种危险环境的频率；</w:t>
      </w:r>
    </w:p>
    <w:p>
      <w:pPr>
        <w:ind w:firstLine="560"/>
        <w:rPr>
          <w:color w:val="000000" w:themeColor="text1"/>
        </w:rPr>
      </w:pPr>
      <w:r>
        <w:rPr>
          <w:rFonts w:hint="eastAsia"/>
        </w:rPr>
        <w:t>3）</w:t>
      </w:r>
      <w:r>
        <w:rPr>
          <w:color w:val="000000" w:themeColor="text1"/>
        </w:rPr>
        <w:t>事故一旦发生时可能产生的后果。</w:t>
      </w:r>
    </w:p>
    <w:p>
      <w:pPr>
        <w:ind w:firstLine="560"/>
        <w:rPr>
          <w:color w:val="000000" w:themeColor="text1"/>
        </w:rPr>
      </w:pPr>
      <w:r>
        <w:rPr>
          <w:color w:val="000000" w:themeColor="text1"/>
        </w:rPr>
        <w:t>前两者可以看作是危险概率，后者则相当于危险严重度。这样，危险性可以下式来表达：</w:t>
      </w:r>
    </w:p>
    <w:p>
      <w:pPr>
        <w:ind w:firstLine="560"/>
        <w:rPr>
          <w:color w:val="000000" w:themeColor="text1"/>
        </w:rPr>
      </w:pPr>
      <w:r>
        <w:rPr>
          <w:color w:val="000000" w:themeColor="text1"/>
        </w:rPr>
        <w:t>危险性（D）＝L×E×C</w:t>
      </w:r>
    </w:p>
    <w:p>
      <w:pPr>
        <w:ind w:firstLine="560"/>
        <w:rPr>
          <w:color w:val="000000" w:themeColor="text1"/>
        </w:rPr>
      </w:pPr>
      <w:r>
        <w:rPr>
          <w:color w:val="000000" w:themeColor="text1"/>
        </w:rPr>
        <w:t>式中：L―事故或危险事件发生的可能性；</w:t>
      </w:r>
    </w:p>
    <w:p>
      <w:pPr>
        <w:ind w:firstLine="1400" w:firstLineChars="500"/>
        <w:rPr>
          <w:color w:val="000000" w:themeColor="text1"/>
        </w:rPr>
      </w:pPr>
      <w:r>
        <w:rPr>
          <w:color w:val="000000" w:themeColor="text1"/>
        </w:rPr>
        <w:t>E―暴露于危险环境的频率；</w:t>
      </w:r>
    </w:p>
    <w:p>
      <w:pPr>
        <w:ind w:firstLine="1400" w:firstLineChars="500"/>
        <w:rPr>
          <w:color w:val="000000" w:themeColor="text1"/>
        </w:rPr>
      </w:pPr>
      <w:r>
        <w:rPr>
          <w:color w:val="000000" w:themeColor="text1"/>
        </w:rPr>
        <w:t>C―危险严重度。</w:t>
      </w:r>
    </w:p>
    <w:p>
      <w:pPr>
        <w:ind w:firstLine="560"/>
        <w:rPr>
          <w:color w:val="000000" w:themeColor="text1"/>
        </w:rPr>
      </w:pPr>
      <w:r>
        <w:rPr>
          <w:rFonts w:hint="eastAsia"/>
          <w:color w:val="000000" w:themeColor="text1"/>
        </w:rPr>
        <w:t>（1）</w:t>
      </w:r>
      <w:r>
        <w:rPr>
          <w:color w:val="000000" w:themeColor="text1"/>
        </w:rPr>
        <w:t>可能性因素L</w:t>
      </w:r>
    </w:p>
    <w:p>
      <w:pPr>
        <w:ind w:firstLine="560"/>
        <w:rPr>
          <w:color w:val="000000" w:themeColor="text1"/>
          <w:sz w:val="24"/>
        </w:rPr>
      </w:pPr>
      <w:r>
        <w:rPr>
          <w:color w:val="000000" w:themeColor="text1"/>
        </w:rPr>
        <w:t>事故或危险事件发生的可能性是与它们实际的数学概率相关联的。绝对不可能发生的事件的概率为0，而必然发生的事件的概率则为1。但在实际情况中，</w:t>
      </w:r>
      <w:r>
        <w:rPr>
          <w:color w:val="000000" w:themeColor="text1"/>
          <w:szCs w:val="28"/>
        </w:rPr>
        <w:t>绝对不可能发生的事故是不存在的，只能说可能性极小，概率趋于0。所以，可能性因素L的分数值取值范围为1～10具体见附表</w:t>
      </w:r>
      <w:r>
        <w:rPr>
          <w:rFonts w:hint="eastAsia"/>
          <w:color w:val="000000" w:themeColor="text1"/>
          <w:szCs w:val="28"/>
        </w:rPr>
        <w:t>图3.2</w:t>
      </w:r>
      <w:r>
        <w:rPr>
          <w:color w:val="000000" w:themeColor="text1"/>
          <w:szCs w:val="28"/>
        </w:rPr>
        <w:t>-</w:t>
      </w:r>
      <w:r>
        <w:rPr>
          <w:rFonts w:hint="eastAsia"/>
          <w:color w:val="000000" w:themeColor="text1"/>
          <w:szCs w:val="28"/>
        </w:rPr>
        <w:t>1</w:t>
      </w:r>
      <w:r>
        <w:rPr>
          <w:color w:val="000000" w:themeColor="text1"/>
          <w:szCs w:val="28"/>
        </w:rPr>
        <w:t>。</w:t>
      </w:r>
    </w:p>
    <w:p>
      <w:pPr>
        <w:pStyle w:val="89"/>
        <w:rPr>
          <w:sz w:val="24"/>
          <w:szCs w:val="24"/>
        </w:rPr>
      </w:pPr>
      <w:r>
        <w:rPr>
          <w:sz w:val="24"/>
          <w:szCs w:val="24"/>
        </w:rPr>
        <w:t>附表</w:t>
      </w:r>
      <w:r>
        <w:rPr>
          <w:rFonts w:hint="eastAsia"/>
          <w:sz w:val="24"/>
          <w:szCs w:val="24"/>
        </w:rPr>
        <w:t xml:space="preserve">3.2-1 </w:t>
      </w:r>
      <w:r>
        <w:rPr>
          <w:sz w:val="24"/>
          <w:szCs w:val="24"/>
        </w:rPr>
        <w:t>事故或危险事件发生的可能性L的分数值表</w:t>
      </w:r>
    </w:p>
    <w:tbl>
      <w:tblPr>
        <w:tblStyle w:val="36"/>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527"/>
        <w:gridCol w:w="6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6544"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事</w:t>
            </w:r>
            <w:r>
              <w:rPr>
                <w:rFonts w:hint="eastAsia"/>
                <w:b/>
                <w:snapToGrid w:val="0"/>
                <w:color w:val="000000" w:themeColor="text1"/>
                <w:kern w:val="0"/>
                <w:sz w:val="21"/>
                <w:szCs w:val="21"/>
              </w:rPr>
              <w:t xml:space="preserve"> </w:t>
            </w:r>
            <w:r>
              <w:rPr>
                <w:b/>
                <w:snapToGrid w:val="0"/>
                <w:color w:val="000000" w:themeColor="text1"/>
                <w:kern w:val="0"/>
                <w:sz w:val="21"/>
                <w:szCs w:val="21"/>
              </w:rPr>
              <w:t>故</w:t>
            </w:r>
            <w:r>
              <w:rPr>
                <w:rFonts w:hint="eastAsia"/>
                <w:b/>
                <w:snapToGrid w:val="0"/>
                <w:color w:val="000000" w:themeColor="text1"/>
                <w:kern w:val="0"/>
                <w:sz w:val="21"/>
                <w:szCs w:val="21"/>
              </w:rPr>
              <w:t xml:space="preserve"> </w:t>
            </w:r>
            <w:r>
              <w:rPr>
                <w:b/>
                <w:snapToGrid w:val="0"/>
                <w:color w:val="000000" w:themeColor="text1"/>
                <w:kern w:val="0"/>
                <w:sz w:val="21"/>
                <w:szCs w:val="21"/>
              </w:rPr>
              <w:t>或</w:t>
            </w:r>
            <w:r>
              <w:rPr>
                <w:rFonts w:hint="eastAsia"/>
                <w:b/>
                <w:snapToGrid w:val="0"/>
                <w:color w:val="000000" w:themeColor="text1"/>
                <w:kern w:val="0"/>
                <w:sz w:val="21"/>
                <w:szCs w:val="21"/>
              </w:rPr>
              <w:t xml:space="preserve"> </w:t>
            </w: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事</w:t>
            </w:r>
            <w:r>
              <w:rPr>
                <w:rFonts w:hint="eastAsia"/>
                <w:b/>
                <w:snapToGrid w:val="0"/>
                <w:color w:val="000000" w:themeColor="text1"/>
                <w:kern w:val="0"/>
                <w:sz w:val="21"/>
                <w:szCs w:val="21"/>
              </w:rPr>
              <w:t xml:space="preserve"> </w:t>
            </w:r>
            <w:r>
              <w:rPr>
                <w:b/>
                <w:snapToGrid w:val="0"/>
                <w:color w:val="000000" w:themeColor="text1"/>
                <w:kern w:val="0"/>
                <w:sz w:val="21"/>
                <w:szCs w:val="21"/>
              </w:rPr>
              <w:t>件</w:t>
            </w:r>
            <w:r>
              <w:rPr>
                <w:rFonts w:hint="eastAsia"/>
                <w:b/>
                <w:snapToGrid w:val="0"/>
                <w:color w:val="000000" w:themeColor="text1"/>
                <w:kern w:val="0"/>
                <w:sz w:val="21"/>
                <w:szCs w:val="21"/>
              </w:rPr>
              <w:t xml:space="preserve"> </w:t>
            </w:r>
            <w:r>
              <w:rPr>
                <w:b/>
                <w:snapToGrid w:val="0"/>
                <w:color w:val="000000" w:themeColor="text1"/>
                <w:kern w:val="0"/>
                <w:sz w:val="21"/>
                <w:szCs w:val="21"/>
              </w:rPr>
              <w:t>发</w:t>
            </w:r>
            <w:r>
              <w:rPr>
                <w:rFonts w:hint="eastAsia"/>
                <w:b/>
                <w:snapToGrid w:val="0"/>
                <w:color w:val="000000" w:themeColor="text1"/>
                <w:kern w:val="0"/>
                <w:sz w:val="21"/>
                <w:szCs w:val="21"/>
              </w:rPr>
              <w:t xml:space="preserve"> </w:t>
            </w:r>
            <w:r>
              <w:rPr>
                <w:b/>
                <w:snapToGrid w:val="0"/>
                <w:color w:val="000000" w:themeColor="text1"/>
                <w:kern w:val="0"/>
                <w:sz w:val="21"/>
                <w:szCs w:val="21"/>
              </w:rPr>
              <w:t>生</w:t>
            </w:r>
            <w:r>
              <w:rPr>
                <w:rFonts w:hint="eastAsia"/>
                <w:b/>
                <w:snapToGrid w:val="0"/>
                <w:color w:val="000000" w:themeColor="text1"/>
                <w:kern w:val="0"/>
                <w:sz w:val="21"/>
                <w:szCs w:val="21"/>
              </w:rPr>
              <w:t xml:space="preserve"> </w:t>
            </w:r>
            <w:r>
              <w:rPr>
                <w:b/>
                <w:snapToGrid w:val="0"/>
                <w:color w:val="000000" w:themeColor="text1"/>
                <w:kern w:val="0"/>
                <w:sz w:val="21"/>
                <w:szCs w:val="21"/>
              </w:rPr>
              <w:t>的</w:t>
            </w:r>
            <w:r>
              <w:rPr>
                <w:rFonts w:hint="eastAsia"/>
                <w:b/>
                <w:snapToGrid w:val="0"/>
                <w:color w:val="000000" w:themeColor="text1"/>
                <w:kern w:val="0"/>
                <w:sz w:val="21"/>
                <w:szCs w:val="21"/>
              </w:rPr>
              <w:t xml:space="preserve"> </w:t>
            </w:r>
            <w:r>
              <w:rPr>
                <w:b/>
                <w:snapToGrid w:val="0"/>
                <w:color w:val="000000" w:themeColor="text1"/>
                <w:kern w:val="0"/>
                <w:sz w:val="21"/>
                <w:szCs w:val="21"/>
              </w:rPr>
              <w:t>可</w:t>
            </w:r>
            <w:r>
              <w:rPr>
                <w:rFonts w:hint="eastAsia"/>
                <w:b/>
                <w:snapToGrid w:val="0"/>
                <w:color w:val="000000" w:themeColor="text1"/>
                <w:kern w:val="0"/>
                <w:sz w:val="21"/>
                <w:szCs w:val="21"/>
              </w:rPr>
              <w:t xml:space="preserve"> </w:t>
            </w:r>
            <w:r>
              <w:rPr>
                <w:b/>
                <w:snapToGrid w:val="0"/>
                <w:color w:val="000000" w:themeColor="text1"/>
                <w:kern w:val="0"/>
                <w:sz w:val="21"/>
                <w:szCs w:val="21"/>
              </w:rPr>
              <w:t>能</w:t>
            </w:r>
            <w:r>
              <w:rPr>
                <w:rFonts w:hint="eastAsia"/>
                <w:b/>
                <w:snapToGrid w:val="0"/>
                <w:color w:val="000000" w:themeColor="text1"/>
                <w:kern w:val="0"/>
                <w:sz w:val="21"/>
                <w:szCs w:val="21"/>
              </w:rPr>
              <w:t xml:space="preserve"> </w:t>
            </w:r>
            <w:r>
              <w:rPr>
                <w:b/>
                <w:snapToGrid w:val="0"/>
                <w:color w:val="000000" w:themeColor="text1"/>
                <w:kern w:val="0"/>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完全会被预料到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6</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相当可能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不经常，但可能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完全意外，极少可能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0.5</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可以设想，但高度不可能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0.2</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极不可能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0.1</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实际上不可能</w:t>
            </w:r>
          </w:p>
        </w:tc>
      </w:tr>
    </w:tbl>
    <w:p>
      <w:pPr>
        <w:ind w:firstLine="560"/>
        <w:rPr>
          <w:color w:val="000000" w:themeColor="text1"/>
        </w:rPr>
      </w:pPr>
    </w:p>
    <w:p>
      <w:pPr>
        <w:ind w:firstLine="560"/>
        <w:rPr>
          <w:color w:val="000000" w:themeColor="text1"/>
        </w:rPr>
      </w:pPr>
      <w:r>
        <w:rPr>
          <w:rFonts w:hint="eastAsia"/>
          <w:color w:val="000000" w:themeColor="text1"/>
        </w:rPr>
        <w:t>（2）</w:t>
      </w:r>
      <w:r>
        <w:rPr>
          <w:color w:val="000000" w:themeColor="text1"/>
        </w:rPr>
        <w:t>暴露于危险环境的频率E</w:t>
      </w:r>
    </w:p>
    <w:p>
      <w:pPr>
        <w:ind w:firstLine="560"/>
        <w:rPr>
          <w:color w:val="000000" w:themeColor="text1"/>
        </w:rPr>
      </w:pPr>
      <w:r>
        <w:rPr>
          <w:color w:val="000000" w:themeColor="text1"/>
        </w:rPr>
        <w:t>操作人员出现在危险环境中的时间越多，受到伤害的可能性就越大，相应的危险性也就越大。连续出现在危险环境的情况其频率分为10，非常罕见地暴露于危险环境则为0.5。具体分数值见附表</w:t>
      </w:r>
      <w:r>
        <w:rPr>
          <w:rFonts w:hint="eastAsia"/>
          <w:color w:val="000000" w:themeColor="text1"/>
        </w:rPr>
        <w:t>3.2-2</w:t>
      </w:r>
      <w:r>
        <w:rPr>
          <w:color w:val="000000" w:themeColor="text1"/>
        </w:rPr>
        <w:t>。</w:t>
      </w:r>
    </w:p>
    <w:p>
      <w:pPr>
        <w:pStyle w:val="89"/>
        <w:rPr>
          <w:sz w:val="24"/>
          <w:szCs w:val="24"/>
        </w:rPr>
      </w:pPr>
      <w:r>
        <w:rPr>
          <w:sz w:val="24"/>
          <w:szCs w:val="24"/>
        </w:rPr>
        <w:t>附表</w:t>
      </w:r>
      <w:r>
        <w:rPr>
          <w:rFonts w:hint="eastAsia"/>
          <w:sz w:val="24"/>
          <w:szCs w:val="24"/>
        </w:rPr>
        <w:t xml:space="preserve">3.2-2 </w:t>
      </w:r>
      <w:r>
        <w:rPr>
          <w:sz w:val="24"/>
          <w:szCs w:val="24"/>
        </w:rPr>
        <w:t>暴露于潜在危险环境频率E的分数值</w:t>
      </w:r>
    </w:p>
    <w:tbl>
      <w:tblPr>
        <w:tblStyle w:val="36"/>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暴</w:t>
            </w:r>
            <w:r>
              <w:rPr>
                <w:rFonts w:hint="eastAsia"/>
                <w:b/>
                <w:snapToGrid w:val="0"/>
                <w:color w:val="000000" w:themeColor="text1"/>
                <w:kern w:val="0"/>
                <w:sz w:val="21"/>
                <w:szCs w:val="21"/>
              </w:rPr>
              <w:t xml:space="preserve"> </w:t>
            </w:r>
            <w:r>
              <w:rPr>
                <w:b/>
                <w:snapToGrid w:val="0"/>
                <w:color w:val="000000" w:themeColor="text1"/>
                <w:kern w:val="0"/>
                <w:sz w:val="21"/>
                <w:szCs w:val="21"/>
              </w:rPr>
              <w:t>露</w:t>
            </w:r>
            <w:r>
              <w:rPr>
                <w:rFonts w:hint="eastAsia"/>
                <w:b/>
                <w:snapToGrid w:val="0"/>
                <w:color w:val="000000" w:themeColor="text1"/>
                <w:kern w:val="0"/>
                <w:sz w:val="21"/>
                <w:szCs w:val="21"/>
              </w:rPr>
              <w:t xml:space="preserve"> </w:t>
            </w:r>
            <w:r>
              <w:rPr>
                <w:b/>
                <w:snapToGrid w:val="0"/>
                <w:color w:val="000000" w:themeColor="text1"/>
                <w:kern w:val="0"/>
                <w:sz w:val="21"/>
                <w:szCs w:val="21"/>
              </w:rPr>
              <w:t>于</w:t>
            </w:r>
            <w:r>
              <w:rPr>
                <w:rFonts w:hint="eastAsia"/>
                <w:b/>
                <w:snapToGrid w:val="0"/>
                <w:color w:val="000000" w:themeColor="text1"/>
                <w:kern w:val="0"/>
                <w:sz w:val="21"/>
                <w:szCs w:val="21"/>
              </w:rPr>
              <w:t xml:space="preserve"> </w:t>
            </w: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环</w:t>
            </w:r>
            <w:r>
              <w:rPr>
                <w:rFonts w:hint="eastAsia"/>
                <w:b/>
                <w:snapToGrid w:val="0"/>
                <w:color w:val="000000" w:themeColor="text1"/>
                <w:kern w:val="0"/>
                <w:sz w:val="21"/>
                <w:szCs w:val="21"/>
              </w:rPr>
              <w:t xml:space="preserve"> </w:t>
            </w:r>
            <w:r>
              <w:rPr>
                <w:b/>
                <w:snapToGrid w:val="0"/>
                <w:color w:val="000000" w:themeColor="text1"/>
                <w:kern w:val="0"/>
                <w:sz w:val="21"/>
                <w:szCs w:val="21"/>
              </w:rPr>
              <w:t>境</w:t>
            </w:r>
            <w:r>
              <w:rPr>
                <w:rFonts w:hint="eastAsia"/>
                <w:b/>
                <w:snapToGrid w:val="0"/>
                <w:color w:val="000000" w:themeColor="text1"/>
                <w:kern w:val="0"/>
                <w:sz w:val="21"/>
                <w:szCs w:val="21"/>
              </w:rPr>
              <w:t xml:space="preserve"> </w:t>
            </w:r>
            <w:r>
              <w:rPr>
                <w:b/>
                <w:snapToGrid w:val="0"/>
                <w:color w:val="000000" w:themeColor="text1"/>
                <w:kern w:val="0"/>
                <w:sz w:val="21"/>
                <w:szCs w:val="21"/>
              </w:rPr>
              <w:t>的</w:t>
            </w:r>
            <w:r>
              <w:rPr>
                <w:rFonts w:hint="eastAsia"/>
                <w:b/>
                <w:snapToGrid w:val="0"/>
                <w:color w:val="000000" w:themeColor="text1"/>
                <w:kern w:val="0"/>
                <w:sz w:val="21"/>
                <w:szCs w:val="21"/>
              </w:rPr>
              <w:t xml:space="preserve"> </w:t>
            </w:r>
            <w:r>
              <w:rPr>
                <w:b/>
                <w:snapToGrid w:val="0"/>
                <w:color w:val="000000" w:themeColor="text1"/>
                <w:kern w:val="0"/>
                <w:sz w:val="21"/>
                <w:szCs w:val="21"/>
              </w:rPr>
              <w:t>频</w:t>
            </w:r>
            <w:r>
              <w:rPr>
                <w:rFonts w:hint="eastAsia"/>
                <w:b/>
                <w:snapToGrid w:val="0"/>
                <w:color w:val="000000" w:themeColor="text1"/>
                <w:kern w:val="0"/>
                <w:sz w:val="21"/>
                <w:szCs w:val="21"/>
              </w:rPr>
              <w:t xml:space="preserve"> </w:t>
            </w:r>
            <w:r>
              <w:rPr>
                <w:b/>
                <w:snapToGrid w:val="0"/>
                <w:color w:val="000000" w:themeColor="text1"/>
                <w:kern w:val="0"/>
                <w:sz w:val="21"/>
                <w:szCs w:val="21"/>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连续暴露于潜在危险环境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6</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逐日在工作时间内暴露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每周一次或偶然暴露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2</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每月暴露一次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每年几次出现在危险环境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0.5</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非常罕见地暴露于危险环境</w:t>
            </w:r>
          </w:p>
        </w:tc>
      </w:tr>
    </w:tbl>
    <w:p>
      <w:pPr>
        <w:ind w:firstLine="560"/>
        <w:rPr>
          <w:color w:val="000000" w:themeColor="text1"/>
        </w:rPr>
      </w:pPr>
      <w:r>
        <w:rPr>
          <w:rFonts w:hint="eastAsia"/>
          <w:color w:val="000000" w:themeColor="text1"/>
        </w:rPr>
        <w:t>（3）</w:t>
      </w:r>
      <w:r>
        <w:rPr>
          <w:color w:val="000000" w:themeColor="text1"/>
        </w:rPr>
        <w:t>事故或危险事件的危险严重度C</w:t>
      </w:r>
    </w:p>
    <w:p>
      <w:pPr>
        <w:ind w:firstLine="560"/>
        <w:rPr>
          <w:color w:val="000000" w:themeColor="text1"/>
        </w:rPr>
      </w:pPr>
      <w:r>
        <w:rPr>
          <w:color w:val="000000" w:themeColor="text1"/>
        </w:rPr>
        <w:t>事故或危险事件对人身伤害的严重程度变化范围很大，可以从伤害直至死亡事故，规定分数值1~100。具体分数值见附表</w:t>
      </w:r>
      <w:r>
        <w:rPr>
          <w:rFonts w:hint="eastAsia"/>
          <w:color w:val="000000" w:themeColor="text1"/>
        </w:rPr>
        <w:t>3.2</w:t>
      </w:r>
      <w:r>
        <w:rPr>
          <w:color w:val="000000" w:themeColor="text1"/>
        </w:rPr>
        <w:t>-</w:t>
      </w:r>
      <w:r>
        <w:rPr>
          <w:rFonts w:hint="eastAsia"/>
          <w:color w:val="000000" w:themeColor="text1"/>
        </w:rPr>
        <w:t>3</w:t>
      </w:r>
      <w:r>
        <w:rPr>
          <w:color w:val="000000" w:themeColor="text1"/>
        </w:rPr>
        <w:t>。</w:t>
      </w:r>
    </w:p>
    <w:p>
      <w:pPr>
        <w:pStyle w:val="89"/>
        <w:rPr>
          <w:sz w:val="24"/>
          <w:szCs w:val="24"/>
        </w:rPr>
      </w:pPr>
      <w:r>
        <w:rPr>
          <w:sz w:val="24"/>
          <w:szCs w:val="24"/>
        </w:rPr>
        <w:t>附表</w:t>
      </w:r>
      <w:r>
        <w:rPr>
          <w:rFonts w:hint="eastAsia"/>
          <w:sz w:val="24"/>
          <w:szCs w:val="24"/>
        </w:rPr>
        <w:t>3.2</w:t>
      </w:r>
      <w:r>
        <w:rPr>
          <w:sz w:val="24"/>
          <w:szCs w:val="24"/>
        </w:rPr>
        <w:t>-</w:t>
      </w:r>
      <w:r>
        <w:rPr>
          <w:rFonts w:hint="eastAsia"/>
          <w:sz w:val="24"/>
          <w:szCs w:val="24"/>
        </w:rPr>
        <w:t xml:space="preserve">3 </w:t>
      </w:r>
      <w:r>
        <w:rPr>
          <w:sz w:val="24"/>
          <w:szCs w:val="24"/>
        </w:rPr>
        <w:t>事故或危险事件的危险严重度C的分数值</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可</w:t>
            </w:r>
            <w:r>
              <w:rPr>
                <w:rFonts w:hint="eastAsia"/>
                <w:b/>
                <w:snapToGrid w:val="0"/>
                <w:color w:val="000000" w:themeColor="text1"/>
                <w:kern w:val="0"/>
                <w:sz w:val="21"/>
                <w:szCs w:val="21"/>
              </w:rPr>
              <w:t xml:space="preserve">  </w:t>
            </w:r>
            <w:r>
              <w:rPr>
                <w:b/>
                <w:snapToGrid w:val="0"/>
                <w:color w:val="000000" w:themeColor="text1"/>
                <w:kern w:val="0"/>
                <w:sz w:val="21"/>
                <w:szCs w:val="21"/>
              </w:rPr>
              <w:t>能</w:t>
            </w:r>
            <w:r>
              <w:rPr>
                <w:rFonts w:hint="eastAsia"/>
                <w:b/>
                <w:snapToGrid w:val="0"/>
                <w:color w:val="000000" w:themeColor="text1"/>
                <w:kern w:val="0"/>
                <w:sz w:val="21"/>
                <w:szCs w:val="21"/>
              </w:rPr>
              <w:t xml:space="preserve">  </w:t>
            </w:r>
            <w:r>
              <w:rPr>
                <w:b/>
                <w:snapToGrid w:val="0"/>
                <w:color w:val="000000" w:themeColor="text1"/>
                <w:kern w:val="0"/>
                <w:sz w:val="21"/>
                <w:szCs w:val="21"/>
              </w:rPr>
              <w:t>结</w:t>
            </w:r>
            <w:r>
              <w:rPr>
                <w:rFonts w:hint="eastAsia"/>
                <w:b/>
                <w:snapToGrid w:val="0"/>
                <w:color w:val="000000" w:themeColor="text1"/>
                <w:kern w:val="0"/>
                <w:sz w:val="21"/>
                <w:szCs w:val="21"/>
              </w:rPr>
              <w:t xml:space="preserve">  </w:t>
            </w:r>
            <w:r>
              <w:rPr>
                <w:b/>
                <w:snapToGrid w:val="0"/>
                <w:color w:val="000000" w:themeColor="text1"/>
                <w:kern w:val="0"/>
                <w:sz w:val="21"/>
                <w:szCs w:val="21"/>
              </w:rPr>
              <w:t>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大空难，许多人死亡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40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空难，数人死亡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15</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非常严重，一人死亡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7</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严重，严重伤害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重大，致残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引人注目，需要救护</w:t>
            </w:r>
          </w:p>
        </w:tc>
      </w:tr>
    </w:tbl>
    <w:p>
      <w:pPr>
        <w:ind w:firstLine="560"/>
        <w:rPr>
          <w:color w:val="000000" w:themeColor="text1"/>
        </w:rPr>
      </w:pPr>
    </w:p>
    <w:p>
      <w:pPr>
        <w:ind w:firstLine="560"/>
        <w:rPr>
          <w:color w:val="000000" w:themeColor="text1"/>
        </w:rPr>
      </w:pPr>
      <w:r>
        <w:rPr>
          <w:rFonts w:hint="eastAsia"/>
          <w:color w:val="000000" w:themeColor="text1"/>
        </w:rPr>
        <w:t>（4）</w:t>
      </w:r>
      <w:r>
        <w:rPr>
          <w:color w:val="000000" w:themeColor="text1"/>
        </w:rPr>
        <w:t>危险性程度分级</w:t>
      </w:r>
    </w:p>
    <w:p>
      <w:pPr>
        <w:ind w:firstLine="560"/>
        <w:rPr>
          <w:snapToGrid w:val="0"/>
          <w:color w:val="000000" w:themeColor="text1"/>
          <w:kern w:val="0"/>
          <w:szCs w:val="28"/>
        </w:rPr>
      </w:pPr>
      <w:r>
        <w:rPr>
          <w:color w:val="000000" w:themeColor="text1"/>
        </w:rPr>
        <w:t>在确定了上述三个因素的分数值后，其三者的乘积即为总的危险性分数值D。根据相关资料，将危险性程度分级的相应分数值列入附表</w:t>
      </w:r>
      <w:r>
        <w:rPr>
          <w:rFonts w:hint="eastAsia"/>
          <w:color w:val="000000" w:themeColor="text1"/>
        </w:rPr>
        <w:t>3.2-4</w:t>
      </w:r>
      <w:r>
        <w:rPr>
          <w:color w:val="000000" w:themeColor="text1"/>
        </w:rPr>
        <w:t>。</w:t>
      </w:r>
    </w:p>
    <w:p>
      <w:pPr>
        <w:pStyle w:val="89"/>
        <w:rPr>
          <w:sz w:val="24"/>
          <w:szCs w:val="24"/>
        </w:rPr>
      </w:pPr>
      <w:r>
        <w:rPr>
          <w:sz w:val="24"/>
          <w:szCs w:val="24"/>
        </w:rPr>
        <w:t>附表</w:t>
      </w:r>
      <w:r>
        <w:rPr>
          <w:rFonts w:hint="eastAsia"/>
          <w:sz w:val="24"/>
          <w:szCs w:val="24"/>
        </w:rPr>
        <w:t>3.2-4</w:t>
      </w:r>
      <w:r>
        <w:rPr>
          <w:sz w:val="24"/>
          <w:szCs w:val="24"/>
        </w:rPr>
        <w:t>危险性程度分级的分数值</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性</w:t>
            </w:r>
            <w:r>
              <w:rPr>
                <w:rFonts w:hint="eastAsia"/>
                <w:b/>
                <w:snapToGrid w:val="0"/>
                <w:color w:val="000000" w:themeColor="text1"/>
                <w:kern w:val="0"/>
                <w:sz w:val="21"/>
                <w:szCs w:val="21"/>
              </w:rPr>
              <w:t xml:space="preserve">  </w:t>
            </w:r>
            <w:r>
              <w:rPr>
                <w:b/>
                <w:snapToGrid w:val="0"/>
                <w:color w:val="000000" w:themeColor="text1"/>
                <w:kern w:val="0"/>
                <w:sz w:val="21"/>
                <w:szCs w:val="21"/>
              </w:rPr>
              <w:t>程</w:t>
            </w:r>
            <w:r>
              <w:rPr>
                <w:rFonts w:hint="eastAsia"/>
                <w:b/>
                <w:snapToGrid w:val="0"/>
                <w:color w:val="000000" w:themeColor="text1"/>
                <w:kern w:val="0"/>
                <w:sz w:val="21"/>
                <w:szCs w:val="21"/>
              </w:rPr>
              <w:t xml:space="preserve">  </w:t>
            </w:r>
            <w:r>
              <w:rPr>
                <w:b/>
                <w:snapToGrid w:val="0"/>
                <w:color w:val="000000" w:themeColor="text1"/>
                <w:kern w:val="0"/>
                <w:sz w:val="21"/>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&gt;320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160~320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高度危险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70~160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20~70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&lt;20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稍有危险</w:t>
            </w:r>
          </w:p>
        </w:tc>
      </w:tr>
    </w:tbl>
    <w:p>
      <w:pPr>
        <w:ind w:firstLine="560"/>
        <w:rPr>
          <w:color w:val="000000" w:themeColor="text1"/>
        </w:rPr>
      </w:pPr>
    </w:p>
    <w:p>
      <w:pPr>
        <w:pStyle w:val="4"/>
        <w:ind w:firstLine="562"/>
      </w:pPr>
      <w:bookmarkStart w:id="2520" w:name="_Toc30930"/>
      <w:bookmarkStart w:id="2521" w:name="_Toc16077"/>
      <w:bookmarkStart w:id="2522" w:name="_Toc18827"/>
      <w:bookmarkStart w:id="2523" w:name="_Toc3772"/>
      <w:bookmarkStart w:id="2524" w:name="_Toc16881"/>
      <w:bookmarkStart w:id="2525" w:name="_Toc8352"/>
      <w:bookmarkStart w:id="2526" w:name="_Toc21512"/>
      <w:bookmarkStart w:id="2527" w:name="_Toc28673"/>
      <w:bookmarkStart w:id="2528" w:name="_Toc3098"/>
      <w:bookmarkStart w:id="2529" w:name="_Toc883"/>
      <w:bookmarkStart w:id="2530" w:name="_Toc27848"/>
      <w:bookmarkStart w:id="2531" w:name="_Toc152"/>
      <w:bookmarkStart w:id="2532" w:name="_Toc17116"/>
      <w:bookmarkStart w:id="2533" w:name="_Toc26838"/>
      <w:bookmarkStart w:id="2534" w:name="_Toc8939"/>
      <w:bookmarkStart w:id="2535" w:name="_Toc23624"/>
      <w:bookmarkStart w:id="2536" w:name="_Toc27113"/>
      <w:bookmarkStart w:id="2537" w:name="_Toc871"/>
      <w:bookmarkStart w:id="2538" w:name="_Toc27488"/>
      <w:bookmarkStart w:id="2539" w:name="_Toc7725"/>
      <w:r>
        <w:rPr>
          <w:rFonts w:hint="eastAsia"/>
        </w:rPr>
        <w:t>3.</w:t>
      </w:r>
      <w:bookmarkStart w:id="2540" w:name="_Toc20917"/>
      <w:bookmarkStart w:id="2541" w:name="_Toc117866099"/>
      <w:bookmarkStart w:id="2542" w:name="_Toc118298010"/>
      <w:bookmarkStart w:id="2543" w:name="_Toc118131152"/>
      <w:r>
        <w:rPr>
          <w:rFonts w:hint="eastAsia"/>
          <w:lang w:val="en-US" w:eastAsia="zh-CN"/>
        </w:rPr>
        <w:t>3</w:t>
      </w:r>
      <w:r>
        <w:rPr>
          <w:rFonts w:hint="eastAsia"/>
        </w:rPr>
        <w:t>评价方法选择汇总</w:t>
      </w:r>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p>
    <w:p>
      <w:pPr>
        <w:pStyle w:val="89"/>
        <w:rPr>
          <w:sz w:val="24"/>
          <w:szCs w:val="24"/>
        </w:rPr>
      </w:pPr>
      <w:r>
        <w:rPr>
          <w:rFonts w:hint="eastAsia"/>
          <w:sz w:val="24"/>
          <w:szCs w:val="24"/>
        </w:rPr>
        <w:t>表3.</w:t>
      </w:r>
      <w:r>
        <w:rPr>
          <w:rFonts w:hint="eastAsia"/>
          <w:sz w:val="24"/>
          <w:szCs w:val="24"/>
          <w:lang w:val="en-US" w:eastAsia="zh-CN"/>
        </w:rPr>
        <w:t>3</w:t>
      </w:r>
      <w:r>
        <w:rPr>
          <w:rFonts w:hint="eastAsia"/>
          <w:sz w:val="24"/>
          <w:szCs w:val="24"/>
        </w:rPr>
        <w:t xml:space="preserve">-1 </w:t>
      </w:r>
      <w:r>
        <w:rPr>
          <w:sz w:val="24"/>
          <w:szCs w:val="24"/>
        </w:rPr>
        <w:t>评价方法选择一览表</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3875"/>
        <w:gridCol w:w="4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blHeader/>
          <w:jc w:val="center"/>
        </w:trPr>
        <w:tc>
          <w:tcPr>
            <w:tcW w:w="661" w:type="dxa"/>
            <w:vAlign w:val="center"/>
          </w:tcPr>
          <w:p>
            <w:pPr>
              <w:spacing w:line="240" w:lineRule="auto"/>
              <w:ind w:firstLine="0" w:firstLineChars="0"/>
              <w:jc w:val="center"/>
              <w:rPr>
                <w:b/>
                <w:color w:val="000000" w:themeColor="text1"/>
                <w:sz w:val="21"/>
                <w:szCs w:val="21"/>
              </w:rPr>
            </w:pPr>
            <w:r>
              <w:rPr>
                <w:b/>
                <w:color w:val="000000" w:themeColor="text1"/>
                <w:sz w:val="21"/>
                <w:szCs w:val="21"/>
              </w:rPr>
              <w:t>序号</w:t>
            </w:r>
          </w:p>
        </w:tc>
        <w:tc>
          <w:tcPr>
            <w:tcW w:w="3875"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单</w:t>
            </w:r>
            <w:r>
              <w:rPr>
                <w:rFonts w:hint="eastAsia"/>
                <w:b/>
                <w:color w:val="000000" w:themeColor="text1"/>
                <w:sz w:val="21"/>
                <w:szCs w:val="21"/>
              </w:rPr>
              <w:t xml:space="preserve"> </w:t>
            </w:r>
            <w:r>
              <w:rPr>
                <w:b/>
                <w:color w:val="000000" w:themeColor="text1"/>
                <w:sz w:val="21"/>
                <w:szCs w:val="21"/>
              </w:rPr>
              <w:t>元</w:t>
            </w:r>
            <w:r>
              <w:rPr>
                <w:rFonts w:hint="eastAsia"/>
                <w:b/>
                <w:color w:val="000000" w:themeColor="text1"/>
                <w:sz w:val="21"/>
                <w:szCs w:val="21"/>
              </w:rPr>
              <w:t xml:space="preserve"> </w:t>
            </w:r>
            <w:r>
              <w:rPr>
                <w:b/>
                <w:color w:val="000000" w:themeColor="text1"/>
                <w:sz w:val="21"/>
                <w:szCs w:val="21"/>
              </w:rPr>
              <w:t>划</w:t>
            </w:r>
            <w:r>
              <w:rPr>
                <w:rFonts w:hint="eastAsia"/>
                <w:b/>
                <w:color w:val="000000" w:themeColor="text1"/>
                <w:sz w:val="21"/>
                <w:szCs w:val="21"/>
              </w:rPr>
              <w:t xml:space="preserve"> </w:t>
            </w:r>
            <w:r>
              <w:rPr>
                <w:b/>
                <w:color w:val="000000" w:themeColor="text1"/>
                <w:sz w:val="21"/>
                <w:szCs w:val="21"/>
              </w:rPr>
              <w:t>分</w:t>
            </w:r>
          </w:p>
        </w:tc>
        <w:tc>
          <w:tcPr>
            <w:tcW w:w="4533"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方</w:t>
            </w:r>
            <w:r>
              <w:rPr>
                <w:rFonts w:hint="eastAsia"/>
                <w:b/>
                <w:color w:val="000000" w:themeColor="text1"/>
                <w:sz w:val="21"/>
                <w:szCs w:val="21"/>
              </w:rPr>
              <w:t xml:space="preserve"> </w:t>
            </w:r>
            <w:r>
              <w:rPr>
                <w:b/>
                <w:color w:val="000000" w:themeColor="text1"/>
                <w:sz w:val="21"/>
                <w:szCs w:val="21"/>
              </w:rPr>
              <w:t>法</w:t>
            </w:r>
            <w:r>
              <w:rPr>
                <w:rFonts w:hint="eastAsia"/>
                <w:b/>
                <w:color w:val="000000" w:themeColor="text1"/>
                <w:sz w:val="21"/>
                <w:szCs w:val="21"/>
              </w:rPr>
              <w:t xml:space="preserve"> </w:t>
            </w:r>
            <w:r>
              <w:rPr>
                <w:b/>
                <w:color w:val="000000" w:themeColor="text1"/>
                <w:sz w:val="21"/>
                <w:szCs w:val="21"/>
              </w:rPr>
              <w:t>选</w:t>
            </w:r>
            <w:r>
              <w:rPr>
                <w:rFonts w:hint="eastAsia"/>
                <w:b/>
                <w:color w:val="000000" w:themeColor="text1"/>
                <w:sz w:val="21"/>
                <w:szCs w:val="21"/>
              </w:rPr>
              <w:t xml:space="preserve"> </w:t>
            </w:r>
            <w:r>
              <w:rPr>
                <w:b/>
                <w:color w:val="000000" w:themeColor="text1"/>
                <w:sz w:val="21"/>
                <w:szCs w:val="21"/>
              </w:rPr>
              <w:t>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厂</w:t>
            </w:r>
            <w:r>
              <w:rPr>
                <w:color w:val="000000" w:themeColor="text1"/>
                <w:sz w:val="21"/>
                <w:szCs w:val="21"/>
              </w:rPr>
              <w:t>址及总平面布置单元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2</w:t>
            </w:r>
          </w:p>
        </w:tc>
        <w:tc>
          <w:tcPr>
            <w:tcW w:w="3875" w:type="dxa"/>
            <w:vAlign w:val="center"/>
          </w:tcPr>
          <w:p>
            <w:pPr>
              <w:spacing w:line="240" w:lineRule="auto"/>
              <w:ind w:firstLine="0" w:firstLineChars="0"/>
              <w:rPr>
                <w:color w:val="000000" w:themeColor="text1"/>
                <w:sz w:val="21"/>
                <w:szCs w:val="21"/>
              </w:rPr>
            </w:pPr>
            <w:r>
              <w:rPr>
                <w:color w:val="000000" w:themeColor="text1"/>
                <w:sz w:val="21"/>
                <w:szCs w:val="21"/>
              </w:rPr>
              <w:t>生产工艺及设备设施单元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安全检查表法、作业条件危险性分析法</w:t>
            </w:r>
            <w:r>
              <w:rPr>
                <w:bCs/>
                <w:color w:val="000000" w:themeColor="text1"/>
                <w:sz w:val="21"/>
              </w:rPr>
              <w:t>（格雷厄姆法）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公用工程及辅助设施单元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安全管理及应急救援单元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危险化学品生产单位申请换证条件单元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bl>
    <w:p>
      <w:pPr>
        <w:pStyle w:val="3"/>
        <w:rPr>
          <w:rFonts w:ascii="宋体" w:hAnsi="宋体" w:eastAsia="宋体" w:cs="宋体"/>
          <w:b/>
          <w:bCs w:val="0"/>
          <w:color w:val="000000" w:themeColor="text1"/>
          <w:sz w:val="32"/>
          <w:szCs w:val="32"/>
        </w:rPr>
      </w:pPr>
      <w:bookmarkStart w:id="2544" w:name="_Toc22260"/>
      <w:bookmarkStart w:id="2545" w:name="_Toc12751"/>
      <w:bookmarkStart w:id="2546" w:name="_Toc8349"/>
      <w:bookmarkStart w:id="2547" w:name="_Toc11807"/>
      <w:bookmarkStart w:id="2548" w:name="_Toc2039"/>
      <w:bookmarkStart w:id="2549" w:name="_Toc200"/>
      <w:bookmarkStart w:id="2550" w:name="_Toc19278"/>
      <w:bookmarkStart w:id="2551" w:name="_Toc29320"/>
      <w:bookmarkStart w:id="2552" w:name="_Toc15211"/>
      <w:bookmarkStart w:id="2553" w:name="_Toc5729"/>
      <w:bookmarkStart w:id="2554" w:name="_Toc20192"/>
      <w:bookmarkStart w:id="2555" w:name="_Toc14079"/>
      <w:bookmarkStart w:id="2556" w:name="_Toc13610"/>
      <w:bookmarkStart w:id="2557" w:name="_Toc11226"/>
      <w:bookmarkStart w:id="2558" w:name="_Toc1991"/>
      <w:bookmarkStart w:id="2559" w:name="_Toc17159"/>
      <w:bookmarkStart w:id="2560" w:name="_Toc5682"/>
      <w:bookmarkStart w:id="2561" w:name="_Toc3771"/>
      <w:bookmarkStart w:id="2562" w:name="_Toc128056520"/>
      <w:bookmarkStart w:id="2563" w:name="_Toc62740975"/>
      <w:bookmarkStart w:id="2564" w:name="_Toc30578"/>
      <w:bookmarkStart w:id="2565" w:name="_Toc17795"/>
      <w:bookmarkStart w:id="2566" w:name="_Toc27322"/>
      <w:bookmarkStart w:id="2567" w:name="_Toc16360"/>
      <w:bookmarkStart w:id="2568" w:name="_Toc21057"/>
      <w:r>
        <w:rPr>
          <w:rFonts w:hint="eastAsia" w:ascii="宋体" w:hAnsi="宋体" w:eastAsia="宋体" w:cs="宋体"/>
          <w:b/>
          <w:bCs w:val="0"/>
          <w:color w:val="000000" w:themeColor="text1"/>
          <w:sz w:val="32"/>
          <w:szCs w:val="32"/>
        </w:rPr>
        <w:t>附件4  安全条件和安全生产条件分析评价</w:t>
      </w:r>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color w:val="000000" w:themeColor="text1"/>
          <w:sz w:val="32"/>
          <w:szCs w:val="32"/>
        </w:rPr>
      </w:pPr>
      <w:bookmarkStart w:id="2569" w:name="_Toc27962"/>
      <w:bookmarkStart w:id="2570" w:name="_Toc11790"/>
      <w:bookmarkStart w:id="2571" w:name="_Toc27999"/>
      <w:bookmarkStart w:id="2572" w:name="_Toc62740976"/>
      <w:bookmarkStart w:id="2573" w:name="_Toc12937"/>
      <w:bookmarkStart w:id="2574" w:name="_Toc7107"/>
      <w:bookmarkStart w:id="2575" w:name="_Toc20563"/>
      <w:bookmarkStart w:id="2576" w:name="_Toc24376"/>
      <w:bookmarkStart w:id="2577" w:name="_Toc5537"/>
      <w:bookmarkStart w:id="2578" w:name="_Toc27048"/>
      <w:bookmarkStart w:id="2579" w:name="_Toc16217"/>
      <w:bookmarkStart w:id="2580" w:name="_Toc600"/>
      <w:bookmarkStart w:id="2581" w:name="_Toc17922"/>
      <w:bookmarkStart w:id="2582" w:name="_Toc6485"/>
      <w:bookmarkStart w:id="2583" w:name="_Toc12232"/>
      <w:bookmarkStart w:id="2584" w:name="_Toc10415"/>
      <w:bookmarkStart w:id="2585" w:name="_Toc9948"/>
      <w:bookmarkStart w:id="2586" w:name="_Toc128056525"/>
      <w:bookmarkStart w:id="2587" w:name="_Toc927"/>
      <w:bookmarkStart w:id="2588" w:name="_Toc2163"/>
      <w:bookmarkStart w:id="2589" w:name="_Toc26709"/>
    </w:p>
    <w:p>
      <w:pPr>
        <w:pStyle w:val="4"/>
        <w:ind w:firstLine="562"/>
        <w:rPr>
          <w:color w:val="000000" w:themeColor="text1"/>
        </w:rPr>
      </w:pPr>
      <w:bookmarkStart w:id="2590" w:name="_Toc22296"/>
      <w:bookmarkStart w:id="2591" w:name="_Toc12733"/>
      <w:bookmarkStart w:id="2592" w:name="_Toc22317"/>
      <w:bookmarkStart w:id="2593" w:name="_Toc4062"/>
      <w:r>
        <w:rPr>
          <w:rFonts w:hint="eastAsia"/>
          <w:color w:val="000000" w:themeColor="text1"/>
        </w:rPr>
        <w:t>4.</w:t>
      </w:r>
      <w:r>
        <w:rPr>
          <w:rFonts w:hint="eastAsia"/>
          <w:color w:val="000000" w:themeColor="text1"/>
          <w:lang w:val="en-US" w:eastAsia="zh-CN"/>
        </w:rPr>
        <w:t>1</w:t>
      </w:r>
      <w:r>
        <w:rPr>
          <w:rFonts w:hint="eastAsia"/>
          <w:color w:val="000000" w:themeColor="text1"/>
        </w:rPr>
        <w:t xml:space="preserve"> 厂址及总平面布置评价单元分析评价</w:t>
      </w:r>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p>
    <w:p>
      <w:pPr>
        <w:pStyle w:val="5"/>
        <w:ind w:firstLine="562"/>
      </w:pPr>
      <w:bookmarkStart w:id="2594" w:name="_Toc2585"/>
      <w:bookmarkStart w:id="2595" w:name="_Toc2978"/>
      <w:bookmarkStart w:id="2596" w:name="_Toc4367"/>
      <w:bookmarkStart w:id="2597" w:name="_Toc16833"/>
      <w:bookmarkStart w:id="2598" w:name="_Toc6551"/>
      <w:bookmarkStart w:id="2599" w:name="_Toc5591"/>
      <w:bookmarkStart w:id="2600" w:name="_Toc24495"/>
      <w:bookmarkStart w:id="2601" w:name="_Toc128056526"/>
      <w:bookmarkStart w:id="2602" w:name="_Toc286"/>
      <w:bookmarkStart w:id="2603" w:name="_Toc14372"/>
      <w:bookmarkStart w:id="2604" w:name="_Toc4368"/>
      <w:bookmarkStart w:id="2605" w:name="_Toc31084"/>
      <w:bookmarkStart w:id="2606" w:name="_Toc20049"/>
      <w:bookmarkStart w:id="2607" w:name="_Toc24154"/>
      <w:r>
        <w:rPr>
          <w:rFonts w:hint="eastAsia"/>
        </w:rPr>
        <w:t>4.</w:t>
      </w:r>
      <w:r>
        <w:rPr>
          <w:rFonts w:hint="eastAsia"/>
          <w:lang w:val="en-US" w:eastAsia="zh-CN"/>
        </w:rPr>
        <w:t>1</w:t>
      </w:r>
      <w:r>
        <w:rPr>
          <w:rFonts w:hint="eastAsia"/>
        </w:rPr>
        <w:t>.1 厂址和总平面布置安全检查表</w:t>
      </w:r>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p>
    <w:p>
      <w:pPr>
        <w:ind w:firstLine="560"/>
        <w:rPr>
          <w:sz w:val="24"/>
          <w:szCs w:val="24"/>
        </w:rPr>
      </w:pPr>
      <w:r>
        <w:rPr>
          <w:rFonts w:hint="eastAsia"/>
          <w:color w:val="000000" w:themeColor="text1"/>
          <w:lang w:val="zh-CN"/>
        </w:rPr>
        <w:t>本节根据</w:t>
      </w:r>
      <w:r>
        <w:rPr>
          <w:rFonts w:hint="eastAsia"/>
          <w:color w:val="000000" w:themeColor="text1"/>
        </w:rPr>
        <w:t>《化工企业总图运输设计规范》（GB50489－2009）、《工业企业总平面设计规范》（GB50187-2012）、</w:t>
      </w:r>
      <w:r>
        <w:rPr>
          <w:rFonts w:hint="eastAsia"/>
          <w:color w:val="000000" w:themeColor="text1"/>
          <w:lang w:val="zh-CN"/>
        </w:rPr>
        <w:t>《建筑设计防火规范（2018年版）》（GB50016-2014）、</w:t>
      </w:r>
      <w:r>
        <w:rPr>
          <w:rFonts w:hint="eastAsia" w:cs="宋体"/>
          <w:color w:val="000000" w:themeColor="text1"/>
          <w:kern w:val="0"/>
          <w:szCs w:val="28"/>
        </w:rPr>
        <w:t>《化工企业安全卫生设计规范》（HG20571-2014）</w:t>
      </w:r>
      <w:r>
        <w:rPr>
          <w:rFonts w:hint="eastAsia"/>
          <w:color w:val="000000" w:themeColor="text1"/>
          <w:lang w:val="zh-CN"/>
        </w:rPr>
        <w:t>等标准、规范，对公司周边环境、平面布置及建构筑物进行检查评价，具体检查情况见附表</w:t>
      </w:r>
      <w:r>
        <w:rPr>
          <w:rFonts w:hint="eastAsia"/>
          <w:color w:val="000000" w:themeColor="text1"/>
        </w:rPr>
        <w:t>4</w:t>
      </w:r>
      <w:r>
        <w:rPr>
          <w:rFonts w:hint="eastAsia"/>
          <w:color w:val="000000" w:themeColor="text1"/>
          <w:lang w:val="zh-CN"/>
        </w:rPr>
        <w:t>.</w:t>
      </w:r>
      <w:r>
        <w:rPr>
          <w:rFonts w:hint="eastAsia"/>
          <w:color w:val="000000" w:themeColor="text1"/>
          <w:lang w:val="en-US" w:eastAsia="zh-CN"/>
        </w:rPr>
        <w:t>1</w:t>
      </w:r>
      <w:r>
        <w:rPr>
          <w:rFonts w:hint="eastAsia"/>
          <w:color w:val="000000" w:themeColor="text1"/>
          <w:lang w:val="zh-CN"/>
        </w:rPr>
        <w:t>-1。</w:t>
      </w:r>
    </w:p>
    <w:p>
      <w:pPr>
        <w:pStyle w:val="89"/>
        <w:rPr>
          <w:sz w:val="24"/>
          <w:szCs w:val="24"/>
          <w:lang w:val="zh-CN"/>
        </w:rPr>
      </w:pPr>
      <w:r>
        <w:rPr>
          <w:rFonts w:hint="eastAsia"/>
          <w:sz w:val="24"/>
          <w:szCs w:val="24"/>
        </w:rPr>
        <w:t>附</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lang w:val="en-US" w:eastAsia="zh-CN"/>
        </w:rPr>
        <w:t>1</w:t>
      </w:r>
      <w:r>
        <w:rPr>
          <w:rFonts w:hint="eastAsia"/>
          <w:sz w:val="24"/>
          <w:szCs w:val="24"/>
          <w:lang w:val="zh-CN"/>
        </w:rPr>
        <w:t>-1</w:t>
      </w:r>
      <w:r>
        <w:rPr>
          <w:rFonts w:hint="eastAsia"/>
          <w:sz w:val="24"/>
          <w:szCs w:val="24"/>
        </w:rPr>
        <w:t xml:space="preserve"> </w:t>
      </w:r>
      <w:r>
        <w:rPr>
          <w:rFonts w:hint="eastAsia"/>
          <w:sz w:val="24"/>
          <w:szCs w:val="24"/>
          <w:lang w:val="zh-CN"/>
        </w:rPr>
        <w:t>厂址</w:t>
      </w:r>
      <w:r>
        <w:rPr>
          <w:rFonts w:hint="eastAsia"/>
          <w:sz w:val="24"/>
          <w:szCs w:val="24"/>
        </w:rPr>
        <w:t>及</w:t>
      </w:r>
      <w:r>
        <w:rPr>
          <w:rFonts w:hint="eastAsia"/>
          <w:sz w:val="24"/>
          <w:szCs w:val="24"/>
          <w:lang w:val="zh-CN"/>
        </w:rPr>
        <w:t>总平面布置安全检查表</w:t>
      </w:r>
    </w:p>
    <w:tbl>
      <w:tblPr>
        <w:tblStyle w:val="36"/>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3972"/>
        <w:gridCol w:w="2100"/>
        <w:gridCol w:w="1560"/>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12"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序号</w:t>
            </w:r>
          </w:p>
        </w:tc>
        <w:tc>
          <w:tcPr>
            <w:tcW w:w="3972" w:type="dxa"/>
            <w:vAlign w:val="center"/>
          </w:tcPr>
          <w:p>
            <w:pPr>
              <w:spacing w:line="240" w:lineRule="auto"/>
              <w:ind w:firstLine="0" w:firstLineChars="0"/>
              <w:jc w:val="center"/>
              <w:rPr>
                <w:rFonts w:ascii="宋体" w:hAnsi="宋体"/>
                <w:b/>
                <w:bCs/>
                <w:color w:val="auto"/>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w:t>
            </w:r>
            <w:r>
              <w:rPr>
                <w:b/>
                <w:color w:val="000000" w:themeColor="text1"/>
                <w:sz w:val="21"/>
                <w:szCs w:val="21"/>
              </w:rPr>
              <w:t>项</w:t>
            </w:r>
            <w:r>
              <w:rPr>
                <w:rFonts w:hint="eastAsia"/>
                <w:b/>
                <w:color w:val="000000" w:themeColor="text1"/>
                <w:sz w:val="21"/>
                <w:szCs w:val="21"/>
              </w:rPr>
              <w:t xml:space="preserve">  </w:t>
            </w:r>
            <w:r>
              <w:rPr>
                <w:b/>
                <w:color w:val="000000" w:themeColor="text1"/>
                <w:sz w:val="21"/>
                <w:szCs w:val="21"/>
              </w:rPr>
              <w:t>目</w:t>
            </w:r>
          </w:p>
        </w:tc>
        <w:tc>
          <w:tcPr>
            <w:tcW w:w="2100"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 xml:space="preserve">依 据 标 准 </w:t>
            </w:r>
          </w:p>
        </w:tc>
        <w:tc>
          <w:tcPr>
            <w:tcW w:w="1560" w:type="dxa"/>
            <w:vAlign w:val="center"/>
          </w:tcPr>
          <w:p>
            <w:pPr>
              <w:spacing w:line="240" w:lineRule="auto"/>
              <w:ind w:firstLine="0" w:firstLineChars="0"/>
              <w:jc w:val="center"/>
              <w:rPr>
                <w:rFonts w:ascii="宋体" w:hAnsi="宋体"/>
                <w:b/>
                <w:bCs/>
                <w:color w:val="auto"/>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情 况</w:t>
            </w:r>
          </w:p>
        </w:tc>
        <w:tc>
          <w:tcPr>
            <w:tcW w:w="694"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一</w:t>
            </w:r>
          </w:p>
        </w:tc>
        <w:tc>
          <w:tcPr>
            <w:tcW w:w="8326" w:type="dxa"/>
            <w:gridSpan w:val="4"/>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kern w:val="0"/>
                <w:sz w:val="21"/>
                <w:szCs w:val="21"/>
              </w:rPr>
              <w:t>厂址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选择厂址应根据地震、软地基、湿陷性黄土、膨胀土等地质因素以及飓风、雷暴、沙暴等气象危害因素，采取可靠技术方案.避开断层、滑波、泥石流、地下溶洞等发育地区。</w:t>
            </w:r>
          </w:p>
        </w:tc>
        <w:tc>
          <w:tcPr>
            <w:tcW w:w="2100" w:type="dxa"/>
            <w:vAlign w:val="center"/>
          </w:tcPr>
          <w:p>
            <w:pPr>
              <w:pStyle w:val="62"/>
              <w:widowControl w:val="0"/>
              <w:topLinePunct/>
              <w:spacing w:line="240" w:lineRule="auto"/>
              <w:contextualSpacing/>
              <w:rPr>
                <w:rFonts w:hint="eastAsia" w:ascii="宋体" w:hAnsi="宋体" w:eastAsia="宋体"/>
                <w:lang w:val="en-US" w:eastAsia="zh-CN"/>
              </w:rPr>
            </w:pPr>
            <w:r>
              <w:rPr>
                <w:rFonts w:hint="eastAsia" w:ascii="宋体" w:hAnsi="宋体"/>
              </w:rPr>
              <w:t>《化工企业安全卫生设计规范》</w:t>
            </w:r>
            <w:r>
              <w:rPr>
                <w:rFonts w:hint="eastAsia" w:ascii="宋体" w:hAnsi="宋体"/>
                <w:lang w:eastAsia="zh-CN"/>
              </w:rPr>
              <w:t>（</w:t>
            </w:r>
            <w:r>
              <w:rPr>
                <w:rFonts w:hint="eastAsia" w:ascii="宋体" w:hAnsi="宋体"/>
              </w:rPr>
              <w:t>H</w:t>
            </w:r>
            <w:r>
              <w:rPr>
                <w:rFonts w:ascii="宋体" w:hAnsi="宋体"/>
              </w:rPr>
              <w:t>G 20571-201</w:t>
            </w:r>
            <w:r>
              <w:rPr>
                <w:rFonts w:hint="eastAsia" w:ascii="宋体" w:hAnsi="宋体"/>
                <w:lang w:val="en-US" w:eastAsia="zh-CN"/>
              </w:rPr>
              <w:t>4</w:t>
            </w:r>
            <w:r>
              <w:rPr>
                <w:rFonts w:hint="eastAsia" w:ascii="宋体" w:hAnsi="宋体"/>
                <w:lang w:eastAsia="zh-CN"/>
              </w:rPr>
              <w:t>）</w:t>
            </w:r>
            <w:r>
              <w:rPr>
                <w:rFonts w:hint="eastAsia" w:ascii="宋体" w:hAnsi="宋体"/>
                <w:lang w:val="en-US" w:eastAsia="zh-CN"/>
              </w:rPr>
              <w:t>第</w:t>
            </w:r>
            <w:r>
              <w:rPr>
                <w:rFonts w:hint="eastAsia" w:ascii="宋体" w:hAnsi="宋体"/>
              </w:rPr>
              <w:t>3</w:t>
            </w:r>
            <w:r>
              <w:rPr>
                <w:rFonts w:ascii="宋体" w:hAnsi="宋体"/>
              </w:rPr>
              <w:t>.1.2</w:t>
            </w:r>
            <w:r>
              <w:rPr>
                <w:rFonts w:hint="eastAsia" w:ascii="宋体" w:hAnsi="宋体"/>
                <w:lang w:val="en-US" w:eastAsia="zh-CN"/>
              </w:rPr>
              <w:t>条</w:t>
            </w:r>
          </w:p>
          <w:p>
            <w:pPr>
              <w:pStyle w:val="62"/>
              <w:widowControl w:val="0"/>
              <w:topLinePunct/>
              <w:spacing w:line="240" w:lineRule="auto"/>
              <w:contextualSpacing/>
              <w:rPr>
                <w:rFonts w:ascii="宋体" w:hAnsi="宋体"/>
              </w:rPr>
            </w:pP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厂址不在上述区域内。</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厂址选择应符合国家工业布局和当地城镇总体规划及土地利用总体规划的要求。厂址选择应严格执行国家建设前期工作的有关规定。</w:t>
            </w:r>
          </w:p>
        </w:tc>
        <w:tc>
          <w:tcPr>
            <w:tcW w:w="2100" w:type="dxa"/>
            <w:vAlign w:val="center"/>
          </w:tcPr>
          <w:p>
            <w:pPr>
              <w:pStyle w:val="62"/>
              <w:widowControl w:val="0"/>
              <w:topLinePunct/>
              <w:spacing w:line="240" w:lineRule="auto"/>
              <w:contextualSpacing/>
              <w:rPr>
                <w:rFonts w:hint="eastAsia" w:ascii="宋体" w:hAnsi="宋体" w:eastAsia="宋体"/>
                <w:lang w:val="en-US" w:eastAsia="zh-CN"/>
              </w:rPr>
            </w:pPr>
            <w:r>
              <w:rPr>
                <w:rFonts w:hint="eastAsia" w:ascii="宋体" w:hAnsi="宋体"/>
              </w:rPr>
              <w:t>《化工企业总图运输设计规范》</w:t>
            </w:r>
            <w:r>
              <w:rPr>
                <w:rFonts w:hint="eastAsia" w:ascii="宋体" w:hAnsi="宋体"/>
                <w:lang w:eastAsia="zh-CN"/>
              </w:rPr>
              <w:t>（</w:t>
            </w:r>
            <w:r>
              <w:rPr>
                <w:rFonts w:ascii="宋体" w:hAnsi="宋体"/>
              </w:rPr>
              <w:t>GB 50489-2009</w:t>
            </w:r>
            <w:r>
              <w:rPr>
                <w:rFonts w:hint="eastAsia" w:ascii="宋体" w:hAnsi="宋体"/>
                <w:lang w:eastAsia="zh-CN"/>
              </w:rPr>
              <w:t>）</w:t>
            </w:r>
            <w:r>
              <w:rPr>
                <w:rFonts w:hint="eastAsia" w:ascii="宋体" w:hAnsi="宋体"/>
                <w:lang w:val="en-US" w:eastAsia="zh-CN"/>
              </w:rPr>
              <w:t>第</w:t>
            </w:r>
            <w:r>
              <w:rPr>
                <w:rFonts w:hint="eastAsia" w:ascii="宋体" w:hAnsi="宋体"/>
              </w:rPr>
              <w:t>3</w:t>
            </w:r>
            <w:r>
              <w:rPr>
                <w:rFonts w:ascii="宋体" w:hAnsi="宋体"/>
              </w:rPr>
              <w:t>.1.1</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厂址选择符合当地规划。</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厂址选择应同时满足交通运输设施、能源和动力设施、防洪设施、环境保护工程及生活等配套建设用地的要求。</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《化工企业总图运输设计规范》</w:t>
            </w:r>
            <w:r>
              <w:rPr>
                <w:rFonts w:hint="eastAsia" w:ascii="宋体" w:hAnsi="宋体"/>
                <w:lang w:eastAsia="zh-CN"/>
              </w:rPr>
              <w:t>（</w:t>
            </w:r>
            <w:r>
              <w:rPr>
                <w:rFonts w:ascii="宋体" w:hAnsi="宋体"/>
              </w:rPr>
              <w:t>GB 50489-2009</w:t>
            </w:r>
            <w:r>
              <w:rPr>
                <w:rFonts w:hint="eastAsia" w:ascii="宋体" w:hAnsi="宋体"/>
                <w:lang w:eastAsia="zh-CN"/>
              </w:rPr>
              <w:t>）</w:t>
            </w:r>
            <w:r>
              <w:rPr>
                <w:rFonts w:hint="eastAsia" w:ascii="宋体" w:hAnsi="宋体"/>
                <w:lang w:val="en-US" w:eastAsia="zh-CN"/>
              </w:rPr>
              <w:t>第</w:t>
            </w:r>
            <w:r>
              <w:rPr>
                <w:rFonts w:hint="eastAsia" w:ascii="宋体" w:hAnsi="宋体"/>
              </w:rPr>
              <w:t>3</w:t>
            </w:r>
            <w:r>
              <w:rPr>
                <w:rFonts w:ascii="宋体" w:hAnsi="宋体"/>
              </w:rPr>
              <w:t>.1.4</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厂址交通较为方便。</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厂址应具有方便和经济的交通运输条件。临江、河、湖、海的厂址，通航条件能满足工厂运输要求时，应充分利用水路运输，且厂址宜靠近适于建设码头的地段。</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《化工企业总图运输设计规范》</w:t>
            </w:r>
            <w:r>
              <w:rPr>
                <w:rFonts w:hint="eastAsia" w:ascii="宋体" w:hAnsi="宋体"/>
                <w:lang w:eastAsia="zh-CN"/>
              </w:rPr>
              <w:t>（</w:t>
            </w:r>
            <w:r>
              <w:rPr>
                <w:rFonts w:ascii="宋体" w:hAnsi="宋体"/>
              </w:rPr>
              <w:t>GB 50489-2009</w:t>
            </w:r>
            <w:r>
              <w:rPr>
                <w:rFonts w:hint="eastAsia" w:ascii="宋体" w:hAnsi="宋体"/>
                <w:lang w:eastAsia="zh-CN"/>
              </w:rPr>
              <w:t>）</w:t>
            </w:r>
            <w:r>
              <w:rPr>
                <w:rFonts w:hint="eastAsia" w:ascii="宋体" w:hAnsi="宋体"/>
                <w:lang w:val="en-US" w:eastAsia="zh-CN"/>
              </w:rPr>
              <w:t>第</w:t>
            </w:r>
            <w:r>
              <w:rPr>
                <w:rFonts w:hint="eastAsia" w:ascii="宋体" w:hAnsi="宋体"/>
              </w:rPr>
              <w:t>3</w:t>
            </w:r>
            <w:r>
              <w:rPr>
                <w:rFonts w:ascii="宋体" w:hAnsi="宋体"/>
              </w:rPr>
              <w:t>.1.6</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厂址交通较为方便。</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厂址应有充足、可靠的水源和电源，且应满足企业发展需要。</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《化工企业总图运输设计规范》</w:t>
            </w:r>
            <w:r>
              <w:rPr>
                <w:rFonts w:hint="eastAsia" w:ascii="宋体" w:hAnsi="宋体"/>
                <w:lang w:eastAsia="zh-CN"/>
              </w:rPr>
              <w:t>（</w:t>
            </w:r>
            <w:r>
              <w:rPr>
                <w:rFonts w:ascii="宋体" w:hAnsi="宋体"/>
              </w:rPr>
              <w:t>GB 50489-2009</w:t>
            </w:r>
            <w:r>
              <w:rPr>
                <w:rFonts w:hint="eastAsia" w:ascii="宋体" w:hAnsi="宋体"/>
                <w:lang w:eastAsia="zh-CN"/>
              </w:rPr>
              <w:t>）</w:t>
            </w:r>
            <w:r>
              <w:rPr>
                <w:rFonts w:hint="eastAsia" w:ascii="宋体" w:hAnsi="宋体"/>
                <w:lang w:val="en-US" w:eastAsia="zh-CN"/>
              </w:rPr>
              <w:t>第</w:t>
            </w:r>
            <w:r>
              <w:rPr>
                <w:rFonts w:hint="eastAsia" w:ascii="宋体" w:hAnsi="宋体"/>
              </w:rPr>
              <w:t>3</w:t>
            </w:r>
            <w:r>
              <w:rPr>
                <w:rFonts w:ascii="宋体" w:hAnsi="宋体"/>
              </w:rPr>
              <w:t>.1.7</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厂区水源、电源满足生产需求。</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6</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厂址应具有满足生产、生活及发展所必需的水源和电源。水源和电源与厂址之间的管线连接应尽量短捷，且用水、用电量（特别）大的工业企业宜靠近水源及电源地 。</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eastAsia" w:ascii="宋体" w:hAnsi="宋体" w:eastAsia="宋体"/>
                <w:lang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p>
          <w:p>
            <w:pPr>
              <w:pStyle w:val="62"/>
              <w:widowControl w:val="0"/>
              <w:topLinePunct/>
              <w:spacing w:line="240" w:lineRule="auto"/>
              <w:contextualSpacing/>
              <w:rPr>
                <w:rFonts w:hint="eastAsia" w:ascii="宋体" w:hAnsi="宋体" w:eastAsia="宋体"/>
                <w:lang w:val="en-US" w:eastAsia="zh-CN"/>
              </w:rPr>
            </w:pPr>
            <w:r>
              <w:rPr>
                <w:rFonts w:hint="eastAsia" w:ascii="宋体" w:hAnsi="宋体"/>
                <w:lang w:val="en-US" w:eastAsia="zh-CN"/>
              </w:rPr>
              <w:t>第</w:t>
            </w:r>
            <w:r>
              <w:rPr>
                <w:rFonts w:hint="eastAsia" w:ascii="宋体" w:hAnsi="宋体"/>
              </w:rPr>
              <w:t>3</w:t>
            </w:r>
            <w:r>
              <w:rPr>
                <w:rFonts w:ascii="宋体" w:hAnsi="宋体"/>
              </w:rPr>
              <w:t>.0.6</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厂区水源、电源满足生产需求</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7</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厂址应满足适宜的地形坡度，尽量避开自然地形复杂、自然坡度大的地段，应避免将盆地、积水洼地作为厂址。</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eastAsia" w:ascii="宋体" w:hAnsi="宋体" w:eastAsia="宋体"/>
                <w:lang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p>
          <w:p>
            <w:pPr>
              <w:pStyle w:val="62"/>
              <w:widowControl w:val="0"/>
              <w:topLinePunct/>
              <w:spacing w:line="240" w:lineRule="auto"/>
              <w:contextualSpacing/>
              <w:rPr>
                <w:rFonts w:ascii="宋体" w:hAnsi="宋体"/>
              </w:rPr>
            </w:pPr>
            <w:r>
              <w:rPr>
                <w:rFonts w:hint="eastAsia" w:ascii="宋体" w:hAnsi="宋体"/>
                <w:lang w:val="en-US" w:eastAsia="zh-CN"/>
              </w:rPr>
              <w:t>第</w:t>
            </w:r>
            <w:r>
              <w:rPr>
                <w:rFonts w:hint="eastAsia" w:ascii="宋体" w:hAnsi="宋体"/>
              </w:rPr>
              <w:t>3</w:t>
            </w:r>
            <w:r>
              <w:rPr>
                <w:rFonts w:ascii="宋体" w:hAnsi="宋体"/>
              </w:rPr>
              <w:t>.0.10</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厂址周围地势平坦。</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8</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 xml:space="preserve">厂址应位于不受洪水、潮水或内涝威胁的地带，并应符合下列规定：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当厂址不可避免不受洪水、潮水、或内涝威胁的地带时，必须采取防洪、排涝 措施；</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凡受江、河、潮、海洪水、潮水或山洪威胁的工业企业，防洪标准应符合现行国家标准《防洪标准》GB 50201的有关规定。</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eastAsia" w:ascii="宋体" w:hAnsi="宋体" w:eastAsia="宋体"/>
                <w:lang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p>
          <w:p>
            <w:pPr>
              <w:pStyle w:val="62"/>
              <w:widowControl w:val="0"/>
              <w:topLinePunct/>
              <w:spacing w:line="240" w:lineRule="auto"/>
              <w:contextualSpacing/>
              <w:rPr>
                <w:rFonts w:ascii="宋体" w:hAnsi="宋体"/>
              </w:rPr>
            </w:pPr>
            <w:r>
              <w:rPr>
                <w:rFonts w:hint="eastAsia" w:ascii="宋体" w:hAnsi="宋体"/>
                <w:lang w:val="en-US" w:eastAsia="zh-CN"/>
              </w:rPr>
              <w:t>第</w:t>
            </w:r>
            <w:r>
              <w:rPr>
                <w:rFonts w:hint="eastAsia" w:ascii="宋体" w:hAnsi="宋体"/>
              </w:rPr>
              <w:t>3</w:t>
            </w:r>
            <w:r>
              <w:rPr>
                <w:rFonts w:ascii="宋体" w:hAnsi="宋体"/>
              </w:rPr>
              <w:t>.0.12</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厂址不受洪水潮水或内涝威胁。</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9</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下列地段和地区不应选为厂址：</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 xml:space="preserve">发震断层和抗震设防烈度为9度及高于9度的地震区；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有泥石流、滑坡、流沙、溶洞等直接危害的地段；</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③</w:t>
            </w:r>
            <w:r>
              <w:rPr>
                <w:rFonts w:hint="eastAsia" w:ascii="宋体" w:hAnsi="宋体"/>
                <w:color w:val="auto"/>
                <w:kern w:val="0"/>
                <w:sz w:val="21"/>
                <w:szCs w:val="21"/>
              </w:rPr>
              <w:t>采矿陷落（错动）区地表界限内；</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④</w:t>
            </w:r>
            <w:r>
              <w:rPr>
                <w:rFonts w:hint="eastAsia" w:ascii="宋体" w:hAnsi="宋体"/>
                <w:color w:val="auto"/>
                <w:kern w:val="0"/>
                <w:sz w:val="21"/>
                <w:szCs w:val="21"/>
              </w:rPr>
              <w:t xml:space="preserve">爆破危险界限内；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⑤</w:t>
            </w:r>
            <w:r>
              <w:rPr>
                <w:rFonts w:hint="eastAsia" w:ascii="宋体" w:hAnsi="宋体"/>
                <w:color w:val="auto"/>
                <w:kern w:val="0"/>
                <w:sz w:val="21"/>
                <w:szCs w:val="21"/>
              </w:rPr>
              <w:t>坝或堤决溃后可能淹没的地区；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⑥</w:t>
            </w:r>
            <w:r>
              <w:rPr>
                <w:rFonts w:hint="eastAsia" w:ascii="宋体" w:hAnsi="宋体"/>
                <w:color w:val="auto"/>
                <w:kern w:val="0"/>
                <w:sz w:val="21"/>
                <w:szCs w:val="21"/>
              </w:rPr>
              <w:t>有严重放射性物质污染影响区；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⑦</w:t>
            </w:r>
            <w:r>
              <w:rPr>
                <w:rFonts w:hint="eastAsia" w:ascii="宋体" w:hAnsi="宋体"/>
                <w:color w:val="auto"/>
                <w:kern w:val="0"/>
                <w:sz w:val="21"/>
                <w:szCs w:val="21"/>
              </w:rPr>
              <w:t>生活居住区、文教区、水源保护区、名胜古迹、风景游览区、温泉、疗养区、自然保护区和其它需要特别保护的区域；</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⑧</w:t>
            </w:r>
            <w:r>
              <w:rPr>
                <w:rFonts w:hint="eastAsia" w:ascii="宋体" w:hAnsi="宋体"/>
                <w:color w:val="auto"/>
                <w:kern w:val="0"/>
                <w:sz w:val="21"/>
                <w:szCs w:val="21"/>
              </w:rPr>
              <w:t>对飞机起落、电台通讯、电视转播、雷达导航和重要的天文、气象、地震观察以及军事设施等规定有影响的范围内；</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⑨</w:t>
            </w:r>
            <w:r>
              <w:rPr>
                <w:rFonts w:hint="eastAsia" w:ascii="宋体" w:hAnsi="宋体"/>
                <w:color w:val="auto"/>
                <w:kern w:val="0"/>
                <w:sz w:val="21"/>
                <w:szCs w:val="21"/>
              </w:rPr>
              <w:t>很严重的自重湿陷性黄土地段，厚度大的新近堆积黄土地段和高压缩性的饱和黄土地段等地质条件恶劣地段；</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⑩</w:t>
            </w:r>
            <w:r>
              <w:rPr>
                <w:rFonts w:hint="eastAsia" w:ascii="宋体" w:hAnsi="宋体"/>
                <w:color w:val="auto"/>
                <w:kern w:val="0"/>
                <w:sz w:val="21"/>
                <w:szCs w:val="21"/>
              </w:rPr>
              <w:t>具有开采价值的矿藏区；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18"/>
                <w:szCs w:val="18"/>
              </w:rPr>
              <w:fldChar w:fldCharType="begin"/>
            </w:r>
            <w:r>
              <w:rPr>
                <w:rFonts w:hint="eastAsia" w:ascii="宋体" w:hAnsi="宋体"/>
                <w:color w:val="auto"/>
                <w:kern w:val="0"/>
                <w:sz w:val="18"/>
                <w:szCs w:val="18"/>
              </w:rPr>
              <w:instrText xml:space="preserve"> EQ \o\ac(</w:instrText>
            </w:r>
            <w:r>
              <w:rPr>
                <w:rFonts w:hint="eastAsia" w:ascii="宋体" w:hAnsi="宋体" w:eastAsia="宋体" w:cs="Times New Roman"/>
                <w:color w:val="auto"/>
                <w:kern w:val="0"/>
                <w:position w:val="-3"/>
                <w:sz w:val="27"/>
                <w:szCs w:val="18"/>
                <w:lang w:val="en-US" w:eastAsia="zh-CN" w:bidi="ar-SA"/>
              </w:rPr>
              <w:instrText xml:space="preserve">○</w:instrText>
            </w:r>
            <w:r>
              <w:rPr>
                <w:rFonts w:hint="eastAsia" w:ascii="宋体" w:hAnsi="宋体"/>
                <w:color w:val="auto"/>
                <w:kern w:val="0"/>
                <w:position w:val="0"/>
                <w:sz w:val="18"/>
                <w:szCs w:val="18"/>
              </w:rPr>
              <w:instrText xml:space="preserve">,11)</w:instrText>
            </w:r>
            <w:r>
              <w:rPr>
                <w:rFonts w:hint="eastAsia" w:ascii="宋体" w:hAnsi="宋体"/>
                <w:color w:val="auto"/>
                <w:kern w:val="0"/>
                <w:sz w:val="18"/>
                <w:szCs w:val="18"/>
              </w:rPr>
              <w:fldChar w:fldCharType="end"/>
            </w:r>
            <w:r>
              <w:rPr>
                <w:rFonts w:hint="eastAsia" w:ascii="宋体" w:hAnsi="宋体"/>
                <w:color w:val="auto"/>
                <w:kern w:val="0"/>
                <w:sz w:val="21"/>
                <w:szCs w:val="21"/>
              </w:rPr>
              <w:t>受海啸或湖涌危害的地区。</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ascii="宋体" w:hAnsi="宋体"/>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p>
          <w:p>
            <w:pPr>
              <w:pStyle w:val="62"/>
              <w:widowControl w:val="0"/>
              <w:topLinePunct/>
              <w:spacing w:line="240" w:lineRule="auto"/>
              <w:contextualSpacing/>
              <w:rPr>
                <w:rFonts w:hint="eastAsia" w:ascii="宋体" w:hAnsi="宋体" w:eastAsia="宋体"/>
                <w:lang w:val="en-US" w:eastAsia="zh-CN"/>
              </w:rPr>
            </w:pPr>
            <w:r>
              <w:rPr>
                <w:rFonts w:hint="eastAsia" w:ascii="宋体" w:hAnsi="宋体"/>
                <w:lang w:val="en-US" w:eastAsia="zh-CN"/>
              </w:rPr>
              <w:t>第</w:t>
            </w:r>
            <w:r>
              <w:rPr>
                <w:rFonts w:hint="eastAsia" w:ascii="宋体" w:hAnsi="宋体"/>
              </w:rPr>
              <w:t>3</w:t>
            </w:r>
            <w:r>
              <w:rPr>
                <w:rFonts w:ascii="宋体" w:hAnsi="宋体"/>
              </w:rPr>
              <w:t>.0.14</w:t>
            </w:r>
            <w:r>
              <w:rPr>
                <w:rFonts w:hint="eastAsia" w:ascii="宋体" w:hAnsi="宋体"/>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厂址不在上述区域。</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二</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s="F3"/>
                <w:color w:val="auto"/>
                <w:sz w:val="21"/>
                <w:szCs w:val="21"/>
              </w:rPr>
              <w:t>总平面布置</w:t>
            </w:r>
          </w:p>
        </w:tc>
        <w:tc>
          <w:tcPr>
            <w:tcW w:w="2100"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化工企业之间、化工企业与其他工矿企业、交通线站、港埠之间的卫生防护距离应满足国家现行标准《工业企业设计卫生标准GB Z1附录B和《石油化工企业卫生防护距离》SH 3093的要求，防火间距应满足现行国家标准石油化工企业设计防火规范》GB 50160和《建筑设计防火规范》GB 50016等规范的要求。</w:t>
            </w:r>
          </w:p>
        </w:tc>
        <w:tc>
          <w:tcPr>
            <w:tcW w:w="210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《化工企业安全卫生设计规范》</w:t>
            </w:r>
          </w:p>
          <w:p>
            <w:pPr>
              <w:topLinePunct/>
              <w:adjustRightInd/>
              <w:snapToGrid/>
              <w:spacing w:line="240" w:lineRule="auto"/>
              <w:ind w:firstLine="0" w:firstLineChars="0"/>
              <w:contextualSpacing/>
              <w:jc w:val="left"/>
              <w:rPr>
                <w:rFonts w:hint="default" w:ascii="宋体" w:hAnsi="宋体" w:eastAsia="宋体"/>
                <w:color w:val="auto"/>
                <w:sz w:val="21"/>
                <w:szCs w:val="21"/>
                <w:lang w:val="en-US" w:eastAsia="zh-CN"/>
              </w:rPr>
            </w:pPr>
            <w:r>
              <w:rPr>
                <w:rFonts w:hint="eastAsia" w:ascii="宋体" w:hAnsi="宋体"/>
                <w:color w:val="auto"/>
                <w:sz w:val="21"/>
                <w:szCs w:val="21"/>
                <w:lang w:eastAsia="zh-CN"/>
              </w:rPr>
              <w:t>（</w:t>
            </w:r>
            <w:r>
              <w:rPr>
                <w:rFonts w:ascii="宋体" w:hAnsi="宋体"/>
                <w:color w:val="auto"/>
                <w:sz w:val="21"/>
                <w:szCs w:val="21"/>
              </w:rPr>
              <w:t>HG 20571-2014</w:t>
            </w:r>
            <w:r>
              <w:rPr>
                <w:rFonts w:hint="eastAsia" w:ascii="宋体" w:hAnsi="宋体"/>
                <w:color w:val="auto"/>
                <w:sz w:val="21"/>
                <w:szCs w:val="21"/>
                <w:lang w:eastAsia="zh-CN"/>
              </w:rPr>
              <w:t>）</w:t>
            </w:r>
            <w:r>
              <w:rPr>
                <w:rFonts w:hint="eastAsia" w:ascii="宋体" w:hAnsi="宋体"/>
                <w:color w:val="auto"/>
                <w:sz w:val="21"/>
                <w:szCs w:val="21"/>
                <w:lang w:val="en-US" w:eastAsia="zh-CN"/>
              </w:rPr>
              <w:t>第</w:t>
            </w:r>
          </w:p>
          <w:p>
            <w:pPr>
              <w:topLinePunct/>
              <w:adjustRightInd/>
              <w:snapToGrid/>
              <w:spacing w:line="240" w:lineRule="auto"/>
              <w:ind w:firstLine="0" w:firstLineChars="0"/>
              <w:contextualSpacing/>
              <w:jc w:val="left"/>
              <w:rPr>
                <w:rFonts w:hint="eastAsia" w:ascii="宋体" w:hAnsi="宋体" w:eastAsia="宋体"/>
                <w:color w:val="auto"/>
                <w:sz w:val="21"/>
                <w:szCs w:val="21"/>
                <w:lang w:val="en-US" w:eastAsia="zh-CN"/>
              </w:rPr>
            </w:pPr>
            <w:r>
              <w:rPr>
                <w:rFonts w:hint="eastAsia" w:ascii="宋体" w:hAnsi="宋体"/>
                <w:color w:val="auto"/>
                <w:sz w:val="21"/>
                <w:szCs w:val="21"/>
              </w:rPr>
              <w:t>3.1.5</w:t>
            </w:r>
            <w:r>
              <w:rPr>
                <w:rFonts w:hint="eastAsia" w:ascii="宋体" w:hAnsi="宋体"/>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企业与周边设施之间的防火间距满足要求。</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总平面布置应节约集约用地，提高土地利用率。布置时并应符合下列要求：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在符合生产流程、操作要求和使用功能的前提下，建筑物、构筑物等设施，应采用联合、集中、多层布置；</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应按企业规模和功能分区，合理地确定通道宽度；</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③</w:t>
            </w:r>
            <w:r>
              <w:rPr>
                <w:rFonts w:hint="eastAsia" w:ascii="宋体" w:hAnsi="宋体"/>
                <w:color w:val="auto"/>
                <w:kern w:val="0"/>
                <w:sz w:val="21"/>
                <w:szCs w:val="21"/>
              </w:rPr>
              <w:t>厂区功能分区及建筑物、构筑物的外形宜规整；</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④</w:t>
            </w:r>
            <w:r>
              <w:rPr>
                <w:rFonts w:hint="eastAsia" w:ascii="宋体" w:hAnsi="宋体"/>
                <w:color w:val="auto"/>
                <w:kern w:val="0"/>
                <w:sz w:val="21"/>
                <w:szCs w:val="21"/>
              </w:rPr>
              <w:t>功能分区内各项设施的布置，应紧凑、合理。</w:t>
            </w:r>
          </w:p>
        </w:tc>
        <w:tc>
          <w:tcPr>
            <w:tcW w:w="210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《工业企业总平面设计规范》</w:t>
            </w:r>
          </w:p>
          <w:p>
            <w:pPr>
              <w:topLinePunct/>
              <w:adjustRightInd/>
              <w:snapToGrid/>
              <w:spacing w:line="240" w:lineRule="auto"/>
              <w:ind w:firstLine="0" w:firstLineChars="0"/>
              <w:contextualSpacing/>
              <w:jc w:val="left"/>
              <w:rPr>
                <w:rFonts w:hint="default" w:ascii="宋体" w:hAnsi="宋体"/>
                <w:color w:val="auto"/>
                <w:sz w:val="21"/>
                <w:szCs w:val="21"/>
                <w:lang w:val="en-US"/>
              </w:rPr>
            </w:pPr>
            <w:r>
              <w:rPr>
                <w:rFonts w:hint="eastAsia" w:ascii="宋体" w:hAnsi="宋体"/>
                <w:color w:val="auto"/>
                <w:sz w:val="21"/>
                <w:szCs w:val="21"/>
                <w:lang w:eastAsia="zh-CN"/>
              </w:rPr>
              <w:t>（</w:t>
            </w:r>
            <w:r>
              <w:rPr>
                <w:rFonts w:hint="eastAsia" w:ascii="宋体" w:hAnsi="宋体"/>
                <w:color w:val="auto"/>
                <w:sz w:val="21"/>
                <w:szCs w:val="21"/>
              </w:rPr>
              <w:t>GB 50187-2012</w:t>
            </w:r>
            <w:r>
              <w:rPr>
                <w:rFonts w:hint="eastAsia" w:ascii="宋体" w:hAnsi="宋体"/>
                <w:color w:val="auto"/>
                <w:sz w:val="21"/>
                <w:szCs w:val="21"/>
                <w:lang w:eastAsia="zh-CN"/>
              </w:rPr>
              <w:t>）</w:t>
            </w:r>
            <w:r>
              <w:rPr>
                <w:rFonts w:hint="eastAsia" w:ascii="宋体" w:hAnsi="宋体"/>
                <w:color w:val="auto"/>
                <w:sz w:val="21"/>
                <w:szCs w:val="21"/>
                <w:lang w:val="en-US" w:eastAsia="zh-CN"/>
              </w:rPr>
              <w:t>第</w:t>
            </w:r>
          </w:p>
          <w:p>
            <w:pPr>
              <w:topLinePunct/>
              <w:adjustRightInd/>
              <w:snapToGrid/>
              <w:spacing w:line="240" w:lineRule="auto"/>
              <w:ind w:firstLine="0" w:firstLineChars="0"/>
              <w:contextualSpacing/>
              <w:jc w:val="left"/>
              <w:rPr>
                <w:rFonts w:hint="eastAsia" w:ascii="宋体" w:hAnsi="宋体" w:eastAsia="宋体"/>
                <w:color w:val="auto"/>
                <w:sz w:val="21"/>
                <w:szCs w:val="21"/>
                <w:lang w:val="en-US" w:eastAsia="zh-CN"/>
              </w:rPr>
            </w:pPr>
            <w:r>
              <w:rPr>
                <w:rFonts w:hint="eastAsia" w:ascii="宋体" w:hAnsi="宋体"/>
                <w:color w:val="auto"/>
                <w:sz w:val="21"/>
                <w:szCs w:val="21"/>
              </w:rPr>
              <w:t>5.1.2</w:t>
            </w:r>
            <w:r>
              <w:rPr>
                <w:rFonts w:hint="eastAsia" w:ascii="宋体" w:hAnsi="宋体"/>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总平面布置合理，按功能分区设置。</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厂区的通道宽度，应符合下列要求：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应符合通道两侧建筑物、构筑物及露天设施对防火、安全与卫生间距的要求；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应符合铁路、道路与带式输送机通廊等工业运输线路的布置要求；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③</w:t>
            </w:r>
            <w:r>
              <w:rPr>
                <w:rFonts w:hint="eastAsia" w:ascii="宋体" w:hAnsi="宋体"/>
                <w:color w:val="auto"/>
                <w:kern w:val="0"/>
                <w:sz w:val="21"/>
                <w:szCs w:val="21"/>
              </w:rPr>
              <w:t xml:space="preserve"> 应符合各种工程管线的布置要求；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④</w:t>
            </w:r>
            <w:r>
              <w:rPr>
                <w:rFonts w:hint="eastAsia" w:ascii="宋体" w:hAnsi="宋体"/>
                <w:color w:val="auto"/>
                <w:kern w:val="0"/>
                <w:sz w:val="21"/>
                <w:szCs w:val="21"/>
              </w:rPr>
              <w:t xml:space="preserve"> 应符合绿化布置的要求；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⑤</w:t>
            </w:r>
            <w:r>
              <w:rPr>
                <w:rFonts w:hint="eastAsia" w:ascii="宋体" w:hAnsi="宋体"/>
                <w:color w:val="auto"/>
                <w:kern w:val="0"/>
                <w:sz w:val="21"/>
                <w:szCs w:val="21"/>
              </w:rPr>
              <w:t>应符合施工、安装与检修的要求；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⑥</w:t>
            </w:r>
            <w:r>
              <w:rPr>
                <w:rFonts w:hint="eastAsia" w:ascii="宋体" w:hAnsi="宋体"/>
                <w:color w:val="auto"/>
                <w:kern w:val="0"/>
                <w:sz w:val="21"/>
                <w:szCs w:val="21"/>
              </w:rPr>
              <w:t>应符合竖向设计的要求；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⑦</w:t>
            </w:r>
            <w:r>
              <w:rPr>
                <w:rFonts w:hint="eastAsia" w:ascii="宋体" w:hAnsi="宋体"/>
                <w:color w:val="auto"/>
                <w:kern w:val="0"/>
                <w:sz w:val="21"/>
                <w:szCs w:val="21"/>
              </w:rPr>
              <w:t xml:space="preserve"> 应符合预留发展用地的要求。</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eastAsia="宋体"/>
                <w:lang w:val="en-US" w:eastAsia="zh-CN"/>
              </w:rPr>
            </w:pPr>
            <w:r>
              <w:rPr>
                <w:rFonts w:hint="eastAsia" w:ascii="宋体" w:hAnsi="宋体"/>
                <w:lang w:val="en-US"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abs>
                <w:tab w:val="left" w:pos="1650"/>
              </w:tabs>
              <w:topLinePunct/>
              <w:adjustRightInd/>
              <w:snapToGrid/>
              <w:spacing w:line="240" w:lineRule="auto"/>
              <w:ind w:firstLine="0" w:firstLineChars="0"/>
              <w:contextualSpacing/>
              <w:jc w:val="left"/>
              <w:rPr>
                <w:rFonts w:hint="eastAsia" w:ascii="宋体" w:hAnsi="宋体" w:eastAsia="宋体"/>
                <w:color w:val="auto"/>
                <w:kern w:val="0"/>
                <w:sz w:val="21"/>
                <w:szCs w:val="21"/>
                <w:lang w:val="en-US" w:eastAsia="zh-CN"/>
              </w:rPr>
            </w:pPr>
            <w:r>
              <w:rPr>
                <w:rFonts w:hint="eastAsia" w:ascii="宋体" w:hAnsi="宋体"/>
                <w:color w:val="auto"/>
                <w:sz w:val="21"/>
                <w:szCs w:val="21"/>
              </w:rPr>
              <w:t>5.1.4</w:t>
            </w:r>
            <w:r>
              <w:rPr>
                <w:rFonts w:hint="eastAsia" w:ascii="宋体" w:hAnsi="宋体"/>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厂区道路宽度设置合理。</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总平面布置应采取防止高温、有害气体、烟、雾、粉尘、强烈振动和高噪声对周围环境和人身安全的危害的安全保障措施，并应符合现行国家有关工业企业卫生设计标准的规定。</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eastAsia="宋体"/>
                <w:lang w:val="en-US"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opLinePunct/>
              <w:adjustRightInd/>
              <w:snapToGrid/>
              <w:spacing w:line="240" w:lineRule="auto"/>
              <w:ind w:firstLine="0" w:firstLineChars="0"/>
              <w:contextualSpacing/>
              <w:jc w:val="left"/>
              <w:rPr>
                <w:rFonts w:hint="eastAsia" w:ascii="宋体" w:hAnsi="宋体" w:eastAsia="宋体" w:cs="Tahoma"/>
                <w:color w:val="auto"/>
                <w:sz w:val="21"/>
                <w:szCs w:val="21"/>
                <w:lang w:val="en-US" w:eastAsia="zh-CN"/>
              </w:rPr>
            </w:pPr>
            <w:r>
              <w:rPr>
                <w:rFonts w:hint="eastAsia" w:ascii="宋体" w:hAnsi="宋体" w:cs="Tahoma"/>
                <w:color w:val="auto"/>
                <w:sz w:val="21"/>
                <w:szCs w:val="21"/>
              </w:rPr>
              <w:t>5.1.7</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设置了机械通风和尾气处理装置</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总平面布置，应合理地组织货流和人流，并应符合下列要求：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运输线路的布置，应保证物流顺畅、径路短捷、不折返；</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 xml:space="preserve"> 应避免运输繁忙的铁路与道路平面交叉；</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③</w:t>
            </w:r>
            <w:r>
              <w:rPr>
                <w:rFonts w:hint="eastAsia" w:ascii="宋体" w:hAnsi="宋体"/>
                <w:color w:val="auto"/>
                <w:kern w:val="0"/>
                <w:sz w:val="21"/>
                <w:szCs w:val="21"/>
              </w:rPr>
              <w:t>应使人、货分流，应避免运输繁忙的货流与人流交叉；</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④</w:t>
            </w:r>
            <w:r>
              <w:rPr>
                <w:rFonts w:hint="eastAsia" w:ascii="宋体" w:hAnsi="宋体"/>
                <w:color w:val="auto"/>
                <w:kern w:val="0"/>
                <w:sz w:val="21"/>
                <w:szCs w:val="21"/>
              </w:rPr>
              <w:t>应避免进出厂的主要货流与企业外部交通干线的平面交叉。</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eastAsia="宋体"/>
                <w:lang w:val="en-US"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opLinePunct/>
              <w:adjustRightInd/>
              <w:snapToGrid/>
              <w:spacing w:line="240" w:lineRule="auto"/>
              <w:ind w:firstLine="0" w:firstLineChars="0"/>
              <w:contextualSpacing/>
              <w:jc w:val="left"/>
              <w:rPr>
                <w:rFonts w:hint="eastAsia" w:ascii="宋体" w:hAnsi="宋体" w:eastAsia="宋体"/>
                <w:color w:val="auto"/>
                <w:kern w:val="0"/>
                <w:sz w:val="21"/>
                <w:szCs w:val="21"/>
                <w:lang w:val="en-US" w:eastAsia="zh-CN"/>
              </w:rPr>
            </w:pPr>
            <w:r>
              <w:rPr>
                <w:rFonts w:hint="eastAsia" w:ascii="宋体" w:hAnsi="宋体" w:cs="Tahoma"/>
                <w:color w:val="auto"/>
                <w:sz w:val="21"/>
                <w:szCs w:val="21"/>
              </w:rPr>
              <w:t>5.1.8</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kern w:val="0"/>
                <w:sz w:val="21"/>
                <w:szCs w:val="21"/>
              </w:rPr>
              <w:t>总平布置设置合理，合理组织货流和人流。</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6</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eastAsia="宋体"/>
                <w:lang w:val="en-US"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opLinePunct/>
              <w:adjustRightInd/>
              <w:snapToGrid/>
              <w:spacing w:line="240" w:lineRule="auto"/>
              <w:ind w:firstLine="0" w:firstLineChars="0"/>
              <w:contextualSpacing/>
              <w:jc w:val="left"/>
              <w:rPr>
                <w:rFonts w:hint="eastAsia" w:ascii="宋体" w:hAnsi="宋体" w:eastAsia="宋体" w:cs="Tahoma"/>
                <w:color w:val="auto"/>
                <w:sz w:val="21"/>
                <w:szCs w:val="21"/>
                <w:lang w:val="en-US" w:eastAsia="zh-CN"/>
              </w:rPr>
            </w:pPr>
            <w:r>
              <w:rPr>
                <w:rFonts w:hint="eastAsia" w:ascii="宋体" w:hAnsi="宋体" w:cs="Tahoma"/>
                <w:color w:val="auto"/>
                <w:sz w:val="21"/>
                <w:szCs w:val="21"/>
              </w:rPr>
              <w:t>5.6.1</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仓库单独设置，与周边设施符合安全防火距离要求。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7</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厂区出入口的位置和数量，应根据企业的生产规模、总体规划、厂区用地面积及总平面布置等因素综合确定，并应符合下列要求：</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lang w:eastAsia="zh-CN"/>
              </w:rPr>
              <w:t>①</w:t>
            </w:r>
            <w:r>
              <w:rPr>
                <w:rFonts w:hint="eastAsia" w:ascii="宋体" w:hAnsi="宋体" w:cs="Tahoma"/>
                <w:color w:val="auto"/>
                <w:sz w:val="21"/>
                <w:szCs w:val="21"/>
              </w:rPr>
              <w:t xml:space="preserve"> 出入口的数量不宜少于2个；</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lang w:eastAsia="zh-CN"/>
              </w:rPr>
              <w:t>②</w:t>
            </w:r>
            <w:r>
              <w:rPr>
                <w:rFonts w:hint="eastAsia" w:ascii="宋体" w:hAnsi="宋体" w:cs="Tahoma"/>
                <w:color w:val="auto"/>
                <w:sz w:val="21"/>
                <w:szCs w:val="21"/>
              </w:rPr>
              <w:t>主要人流出入口宜与主要货流出入口分开设置，并应位于厂区主干道通往居住区或城镇的一侧；主要货流出入口应位于主要货流方向，应靠近运输繁忙的仓库、堆场，并应与外部运输线路连接方便；</w:t>
            </w:r>
          </w:p>
          <w:p>
            <w:pPr>
              <w:topLinePunct/>
              <w:adjustRightInd/>
              <w:snapToGrid/>
              <w:spacing w:line="240" w:lineRule="auto"/>
              <w:ind w:firstLine="0" w:firstLineChars="0"/>
              <w:contextualSpacing/>
              <w:jc w:val="left"/>
              <w:rPr>
                <w:rFonts w:ascii="宋体" w:hAnsi="宋体" w:cs="Arial Unicode MS"/>
                <w:color w:val="auto"/>
                <w:kern w:val="0"/>
                <w:sz w:val="21"/>
                <w:szCs w:val="21"/>
              </w:rPr>
            </w:pPr>
            <w:r>
              <w:rPr>
                <w:rFonts w:hint="eastAsia" w:ascii="宋体" w:hAnsi="宋体" w:cs="Tahoma"/>
                <w:color w:val="auto"/>
                <w:sz w:val="21"/>
                <w:szCs w:val="21"/>
                <w:lang w:eastAsia="zh-CN"/>
              </w:rPr>
              <w:t>③</w:t>
            </w:r>
            <w:r>
              <w:rPr>
                <w:rFonts w:hint="eastAsia" w:ascii="宋体" w:hAnsi="宋体" w:cs="Tahoma"/>
                <w:color w:val="auto"/>
                <w:sz w:val="21"/>
                <w:szCs w:val="21"/>
              </w:rPr>
              <w:t xml:space="preserve"> 铁路出入口，应具备良好的瞭望条件。</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eastAsia="宋体"/>
                <w:lang w:val="en-US" w:eastAsia="zh-CN"/>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abs>
                <w:tab w:val="left" w:pos="1650"/>
              </w:tabs>
              <w:topLinePunct/>
              <w:adjustRightInd/>
              <w:snapToGrid/>
              <w:spacing w:line="240" w:lineRule="auto"/>
              <w:ind w:firstLine="0" w:firstLineChars="0"/>
              <w:contextualSpacing/>
              <w:jc w:val="left"/>
              <w:rPr>
                <w:rFonts w:hint="eastAsia" w:ascii="宋体" w:hAnsi="宋体" w:eastAsia="宋体" w:cs="Arial Unicode MS"/>
                <w:color w:val="auto"/>
                <w:kern w:val="0"/>
                <w:sz w:val="21"/>
                <w:szCs w:val="21"/>
                <w:lang w:val="en-US" w:eastAsia="zh-CN"/>
              </w:rPr>
            </w:pPr>
            <w:r>
              <w:rPr>
                <w:rFonts w:hint="eastAsia" w:ascii="宋体" w:hAnsi="宋体" w:cs="Tahoma"/>
                <w:color w:val="auto"/>
                <w:sz w:val="21"/>
                <w:szCs w:val="21"/>
              </w:rPr>
              <w:t>5.7.4</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厂区根据实际需要设置一个主要出入口，分为人流通道和货流通道。</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8</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消防车道的布置，应符合下列要求：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①</w:t>
            </w:r>
            <w:r>
              <w:rPr>
                <w:rFonts w:hint="eastAsia" w:ascii="宋体" w:hAnsi="宋体"/>
                <w:color w:val="auto"/>
                <w:kern w:val="0"/>
                <w:sz w:val="21"/>
                <w:szCs w:val="21"/>
              </w:rPr>
              <w:t xml:space="preserve"> 道路宜呈环状布置；</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lang w:eastAsia="zh-CN"/>
              </w:rPr>
              <w:t>②</w:t>
            </w:r>
            <w:r>
              <w:rPr>
                <w:rFonts w:hint="eastAsia" w:ascii="宋体" w:hAnsi="宋体"/>
                <w:color w:val="auto"/>
                <w:kern w:val="0"/>
                <w:sz w:val="21"/>
                <w:szCs w:val="21"/>
              </w:rPr>
              <w:t>车道宽度不应小于4.0m；</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kern w:val="0"/>
                <w:sz w:val="21"/>
                <w:szCs w:val="21"/>
                <w:lang w:eastAsia="zh-CN"/>
              </w:rPr>
              <w:t>③</w:t>
            </w:r>
            <w:r>
              <w:rPr>
                <w:rFonts w:hint="eastAsia" w:ascii="宋体" w:hAnsi="宋体"/>
                <w:color w:val="auto"/>
                <w:kern w:val="0"/>
                <w:sz w:val="21"/>
                <w:szCs w:val="21"/>
              </w:rPr>
              <w:t>应避免与铁路平交。必须平交时，应设备用车道，且两车道之间的距离，不应小于进入厂内最长列车的长度。</w:t>
            </w:r>
          </w:p>
        </w:tc>
        <w:tc>
          <w:tcPr>
            <w:tcW w:w="2100" w:type="dxa"/>
            <w:vAlign w:val="center"/>
          </w:tcPr>
          <w:p>
            <w:pPr>
              <w:pStyle w:val="62"/>
              <w:widowControl w:val="0"/>
              <w:topLinePunct/>
              <w:spacing w:line="240" w:lineRule="auto"/>
              <w:contextualSpacing/>
              <w:rPr>
                <w:rFonts w:ascii="宋体" w:hAnsi="宋体"/>
              </w:rPr>
            </w:pPr>
            <w:r>
              <w:rPr>
                <w:rFonts w:hint="eastAsia" w:ascii="宋体" w:hAnsi="宋体"/>
              </w:rPr>
              <w:t>《工业企业总平面设计规范》</w:t>
            </w:r>
          </w:p>
          <w:p>
            <w:pPr>
              <w:pStyle w:val="62"/>
              <w:widowControl w:val="0"/>
              <w:topLinePunct/>
              <w:spacing w:line="240" w:lineRule="auto"/>
              <w:contextualSpacing/>
              <w:rPr>
                <w:rFonts w:hint="default" w:ascii="宋体" w:hAnsi="宋体"/>
                <w:lang w:val="en-US"/>
              </w:rPr>
            </w:pPr>
            <w:r>
              <w:rPr>
                <w:rFonts w:hint="eastAsia" w:ascii="宋体" w:hAnsi="宋体"/>
                <w:lang w:eastAsia="zh-CN"/>
              </w:rPr>
              <w:t>（</w:t>
            </w:r>
            <w:r>
              <w:rPr>
                <w:rFonts w:hint="eastAsia" w:ascii="宋体" w:hAnsi="宋体"/>
              </w:rPr>
              <w:t>G</w:t>
            </w:r>
            <w:r>
              <w:rPr>
                <w:rFonts w:ascii="宋体" w:hAnsi="宋体"/>
              </w:rPr>
              <w:t>B 50187-2012</w:t>
            </w:r>
            <w:r>
              <w:rPr>
                <w:rFonts w:hint="eastAsia" w:ascii="宋体" w:hAnsi="宋体"/>
                <w:lang w:eastAsia="zh-CN"/>
              </w:rPr>
              <w:t>）</w:t>
            </w:r>
            <w:r>
              <w:rPr>
                <w:rFonts w:hint="eastAsia" w:ascii="宋体" w:hAnsi="宋体"/>
                <w:lang w:val="en-US" w:eastAsia="zh-CN"/>
              </w:rPr>
              <w:t>第</w:t>
            </w:r>
          </w:p>
          <w:p>
            <w:pPr>
              <w:topLinePunct/>
              <w:adjustRightInd/>
              <w:snapToGrid/>
              <w:spacing w:line="240" w:lineRule="auto"/>
              <w:ind w:firstLine="0" w:firstLineChars="0"/>
              <w:contextualSpacing/>
              <w:jc w:val="left"/>
              <w:rPr>
                <w:rFonts w:hint="eastAsia" w:ascii="宋体" w:hAnsi="宋体" w:eastAsia="宋体" w:cs="Arial Unicode MS"/>
                <w:color w:val="auto"/>
                <w:sz w:val="21"/>
                <w:szCs w:val="21"/>
                <w:lang w:val="en-US" w:eastAsia="zh-CN"/>
              </w:rPr>
            </w:pPr>
            <w:r>
              <w:rPr>
                <w:rFonts w:hint="eastAsia" w:ascii="宋体" w:hAnsi="宋体" w:cs="Tahoma"/>
                <w:color w:val="auto"/>
                <w:sz w:val="21"/>
                <w:szCs w:val="21"/>
              </w:rPr>
              <w:t>6.4.11</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厂区位于天辰公司内，能行成环形消防车道，道路宽度不小于4</w:t>
            </w:r>
            <w:r>
              <w:rPr>
                <w:rFonts w:ascii="宋体" w:hAnsi="宋体"/>
                <w:bCs/>
                <w:color w:val="auto"/>
                <w:sz w:val="21"/>
                <w:szCs w:val="21"/>
              </w:rPr>
              <w:t>m</w:t>
            </w:r>
            <w:r>
              <w:rPr>
                <w:rFonts w:hint="eastAsia" w:ascii="宋体" w:hAnsi="宋体"/>
                <w:bCs/>
                <w:color w:val="auto"/>
                <w:sz w:val="21"/>
                <w:szCs w:val="21"/>
              </w:rPr>
              <w:t>。</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9</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员工宿舍严禁设置在厂房内</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s="Tahoma"/>
                <w:color w:val="auto"/>
                <w:sz w:val="21"/>
                <w:szCs w:val="21"/>
                <w:lang w:val="en-US" w:eastAsia="zh-CN"/>
              </w:rPr>
            </w:pPr>
            <w:r>
              <w:rPr>
                <w:rFonts w:hint="eastAsia"/>
                <w:color w:val="000000" w:themeColor="text1"/>
                <w:sz w:val="21"/>
                <w:szCs w:val="21"/>
              </w:rPr>
              <w:t>《建筑设计防火规范（2018年版）》（GB50016-2014）</w:t>
            </w:r>
            <w:r>
              <w:rPr>
                <w:rFonts w:hint="eastAsia" w:ascii="宋体" w:hAnsi="宋体"/>
                <w:sz w:val="21"/>
                <w:szCs w:val="21"/>
                <w:lang w:val="en-US" w:eastAsia="zh-CN"/>
              </w:rPr>
              <w:t>第</w:t>
            </w:r>
            <w:r>
              <w:rPr>
                <w:rFonts w:hint="eastAsia" w:ascii="宋体" w:hAnsi="宋体" w:cs="Arial Unicode MS"/>
                <w:color w:val="auto"/>
                <w:sz w:val="21"/>
                <w:szCs w:val="21"/>
              </w:rPr>
              <w:t>3.3.5</w:t>
            </w:r>
            <w:r>
              <w:rPr>
                <w:rFonts w:hint="eastAsia" w:ascii="宋体" w:hAnsi="宋体" w:cs="Arial Unicode MS"/>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员工宿舍未设置在厂房内。</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10</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sz w:val="21"/>
                <w:szCs w:val="21"/>
              </w:rPr>
              <w:t>员工宿舍严禁设置在仓库内</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s="Arial Unicode MS"/>
                <w:color w:val="auto"/>
                <w:sz w:val="21"/>
                <w:szCs w:val="21"/>
                <w:lang w:val="en-US" w:eastAsia="zh-CN"/>
              </w:rPr>
            </w:pPr>
            <w:r>
              <w:rPr>
                <w:rFonts w:hint="eastAsia" w:ascii="宋体" w:hAnsi="宋体" w:cs="Tahoma"/>
                <w:color w:val="auto"/>
                <w:sz w:val="21"/>
                <w:szCs w:val="21"/>
              </w:rPr>
              <w:t>《建筑设计防火规范（2018年版）》（GB50016-2014）</w:t>
            </w:r>
            <w:r>
              <w:rPr>
                <w:rFonts w:hint="eastAsia" w:ascii="宋体" w:hAnsi="宋体"/>
                <w:sz w:val="21"/>
                <w:szCs w:val="21"/>
                <w:lang w:val="en-US" w:eastAsia="zh-CN"/>
              </w:rPr>
              <w:t>第</w:t>
            </w:r>
            <w:r>
              <w:rPr>
                <w:rFonts w:hint="eastAsia" w:ascii="宋体" w:hAnsi="宋体" w:cs="Arial Unicode MS"/>
                <w:color w:val="auto"/>
                <w:sz w:val="21"/>
                <w:szCs w:val="21"/>
              </w:rPr>
              <w:t>3.3.9</w:t>
            </w:r>
            <w:r>
              <w:rPr>
                <w:rFonts w:hint="eastAsia" w:ascii="宋体" w:hAnsi="宋体" w:cs="Arial Unicode MS"/>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项目区域内未设置员工宿舍。</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sz w:val="21"/>
                <w:szCs w:val="21"/>
              </w:rPr>
              <w:t>厂房之间及其与乙、丙、丁、戊类仓库、民用建筑等之间的防火间距不应小于表3.4.1 的规定。</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s="Arial Unicode MS"/>
                <w:color w:val="auto"/>
                <w:sz w:val="21"/>
                <w:szCs w:val="21"/>
                <w:lang w:val="en-US" w:eastAsia="zh-CN"/>
              </w:rPr>
            </w:pPr>
            <w:r>
              <w:rPr>
                <w:rFonts w:hint="eastAsia" w:ascii="宋体" w:hAnsi="宋体" w:cs="Tahoma"/>
                <w:color w:val="auto"/>
                <w:sz w:val="21"/>
                <w:szCs w:val="21"/>
              </w:rPr>
              <w:t>《建筑设计防火规范（2018年版）》（GB50016-2014）</w:t>
            </w:r>
            <w:r>
              <w:rPr>
                <w:rFonts w:hint="eastAsia" w:ascii="宋体" w:hAnsi="宋体"/>
                <w:sz w:val="21"/>
                <w:szCs w:val="21"/>
                <w:lang w:val="en-US" w:eastAsia="zh-CN"/>
              </w:rPr>
              <w:t>第</w:t>
            </w:r>
            <w:r>
              <w:rPr>
                <w:rFonts w:hint="eastAsia" w:ascii="宋体" w:hAnsi="宋体" w:cs="Arial Unicode MS"/>
                <w:color w:val="auto"/>
                <w:sz w:val="21"/>
                <w:szCs w:val="21"/>
              </w:rPr>
              <w:t>3.4.1</w:t>
            </w:r>
            <w:r>
              <w:rPr>
                <w:rFonts w:hint="eastAsia" w:ascii="宋体" w:hAnsi="宋体" w:cs="Arial Unicode MS"/>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项目区域内建筑物之间的防火间距满足要求建规要求。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12</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工业企业厂区总平面布置应明确功能分区，可分为生产区、非生产区、辅助生产区。</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olor w:val="auto"/>
                <w:kern w:val="0"/>
                <w:sz w:val="21"/>
                <w:szCs w:val="21"/>
                <w:lang w:val="en-US" w:eastAsia="zh-CN"/>
              </w:rPr>
            </w:pPr>
            <w:r>
              <w:rPr>
                <w:rFonts w:hint="eastAsia" w:ascii="宋体" w:hAnsi="宋体"/>
                <w:bCs/>
                <w:color w:val="auto"/>
                <w:sz w:val="21"/>
                <w:szCs w:val="21"/>
              </w:rPr>
              <w:t>《工业企业设计卫生标准》</w:t>
            </w:r>
            <w:r>
              <w:rPr>
                <w:rFonts w:hint="eastAsia" w:ascii="宋体" w:hAnsi="宋体"/>
                <w:color w:val="auto"/>
                <w:kern w:val="0"/>
                <w:sz w:val="21"/>
                <w:szCs w:val="21"/>
                <w:lang w:eastAsia="zh-CN"/>
              </w:rPr>
              <w:t>（</w:t>
            </w:r>
            <w:r>
              <w:rPr>
                <w:rFonts w:hint="eastAsia" w:ascii="宋体" w:hAnsi="宋体"/>
                <w:color w:val="auto"/>
                <w:kern w:val="0"/>
                <w:sz w:val="21"/>
                <w:szCs w:val="21"/>
              </w:rPr>
              <w:t>GBZ 1-2010</w:t>
            </w:r>
            <w:r>
              <w:rPr>
                <w:rFonts w:hint="eastAsia" w:ascii="宋体" w:hAnsi="宋体"/>
                <w:color w:val="auto"/>
                <w:kern w:val="0"/>
                <w:sz w:val="21"/>
                <w:szCs w:val="21"/>
                <w:lang w:eastAsia="zh-CN"/>
              </w:rPr>
              <w:t>）</w:t>
            </w:r>
            <w:r>
              <w:rPr>
                <w:rFonts w:hint="eastAsia" w:ascii="宋体" w:hAnsi="宋体"/>
                <w:sz w:val="21"/>
                <w:szCs w:val="21"/>
                <w:lang w:val="en-US" w:eastAsia="zh-CN"/>
              </w:rPr>
              <w:t>第</w:t>
            </w:r>
            <w:r>
              <w:rPr>
                <w:rFonts w:hint="eastAsia" w:ascii="宋体" w:hAnsi="宋体"/>
                <w:color w:val="auto"/>
                <w:kern w:val="0"/>
                <w:sz w:val="21"/>
                <w:szCs w:val="21"/>
              </w:rPr>
              <w:t>5.2.1.1</w:t>
            </w:r>
            <w:r>
              <w:rPr>
                <w:rFonts w:hint="eastAsia" w:ascii="宋体" w:hAnsi="宋体"/>
                <w:color w:val="auto"/>
                <w:kern w:val="0"/>
                <w:sz w:val="21"/>
                <w:szCs w:val="21"/>
                <w:lang w:val="en-US" w:eastAsia="zh-CN"/>
              </w:rPr>
              <w:t>条</w:t>
            </w:r>
          </w:p>
          <w:p>
            <w:pPr>
              <w:topLinePunct/>
              <w:adjustRightInd/>
              <w:snapToGrid/>
              <w:spacing w:line="240" w:lineRule="auto"/>
              <w:ind w:firstLine="0" w:firstLineChars="0"/>
              <w:contextualSpacing/>
              <w:jc w:val="left"/>
              <w:rPr>
                <w:rFonts w:ascii="宋体" w:hAnsi="宋体" w:cs="Arial Unicode MS"/>
                <w:color w:val="auto"/>
                <w:sz w:val="21"/>
                <w:szCs w:val="21"/>
              </w:rPr>
            </w:pP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s="Arial Unicode MS"/>
                <w:color w:val="auto"/>
                <w:sz w:val="21"/>
                <w:szCs w:val="21"/>
              </w:rPr>
              <w:t>厂区总平面布置功能分区明确，具体设置详见</w:t>
            </w:r>
            <w:r>
              <w:rPr>
                <w:rFonts w:hint="eastAsia" w:ascii="宋体" w:hAnsi="宋体" w:cs="Arial Unicode MS"/>
                <w:color w:val="auto"/>
                <w:sz w:val="21"/>
                <w:szCs w:val="21"/>
                <w:lang w:val="en-US" w:eastAsia="zh-CN"/>
              </w:rPr>
              <w:t>附件6.36</w:t>
            </w:r>
            <w:r>
              <w:rPr>
                <w:rFonts w:hint="eastAsia" w:ascii="宋体" w:hAnsi="宋体" w:cs="Arial Unicode MS"/>
                <w:color w:val="auto"/>
                <w:sz w:val="21"/>
                <w:szCs w:val="21"/>
              </w:rPr>
              <w:t>。</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13</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产生噪声的车间，应在控制噪声发生源的基础上，对厂房的建筑设计采取减轻噪声影响的措施，注意增加隔声、吸声措施。</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olor w:val="auto"/>
                <w:kern w:val="0"/>
                <w:sz w:val="21"/>
                <w:szCs w:val="21"/>
                <w:lang w:val="en-US" w:eastAsia="zh-CN"/>
              </w:rPr>
            </w:pPr>
            <w:r>
              <w:rPr>
                <w:rFonts w:hint="eastAsia" w:ascii="宋体" w:hAnsi="宋体"/>
                <w:bCs/>
                <w:color w:val="auto"/>
                <w:sz w:val="21"/>
                <w:szCs w:val="21"/>
              </w:rPr>
              <w:t>《工业企业设计卫生标准》</w:t>
            </w:r>
            <w:r>
              <w:rPr>
                <w:rFonts w:hint="eastAsia" w:ascii="宋体" w:hAnsi="宋体"/>
                <w:color w:val="auto"/>
                <w:kern w:val="0"/>
                <w:sz w:val="21"/>
                <w:szCs w:val="21"/>
                <w:lang w:eastAsia="zh-CN"/>
              </w:rPr>
              <w:t>（</w:t>
            </w:r>
            <w:r>
              <w:rPr>
                <w:rFonts w:hint="eastAsia" w:ascii="宋体" w:hAnsi="宋体"/>
                <w:color w:val="auto"/>
                <w:kern w:val="0"/>
                <w:sz w:val="21"/>
                <w:szCs w:val="21"/>
              </w:rPr>
              <w:t>GBZ 1-2010</w:t>
            </w:r>
            <w:r>
              <w:rPr>
                <w:rFonts w:hint="eastAsia" w:ascii="宋体" w:hAnsi="宋体"/>
                <w:color w:val="auto"/>
                <w:kern w:val="0"/>
                <w:sz w:val="21"/>
                <w:szCs w:val="21"/>
                <w:lang w:eastAsia="zh-CN"/>
              </w:rPr>
              <w:t>）</w:t>
            </w:r>
            <w:r>
              <w:rPr>
                <w:rFonts w:hint="eastAsia" w:ascii="宋体" w:hAnsi="宋体"/>
                <w:sz w:val="21"/>
                <w:szCs w:val="21"/>
                <w:lang w:val="en-US" w:eastAsia="zh-CN"/>
              </w:rPr>
              <w:t>第</w:t>
            </w:r>
            <w:r>
              <w:rPr>
                <w:rFonts w:hint="eastAsia" w:ascii="宋体" w:hAnsi="宋体"/>
                <w:color w:val="auto"/>
                <w:kern w:val="0"/>
                <w:sz w:val="21"/>
                <w:szCs w:val="21"/>
              </w:rPr>
              <w:t>6.3.1.6</w:t>
            </w:r>
            <w:r>
              <w:rPr>
                <w:rFonts w:hint="eastAsia" w:ascii="宋体" w:hAnsi="宋体"/>
                <w:color w:val="auto"/>
                <w:kern w:val="0"/>
                <w:sz w:val="21"/>
                <w:szCs w:val="21"/>
                <w:lang w:val="en-US" w:eastAsia="zh-CN"/>
              </w:rPr>
              <w:t>条</w:t>
            </w:r>
          </w:p>
          <w:p>
            <w:pPr>
              <w:topLinePunct/>
              <w:adjustRightInd/>
              <w:snapToGrid/>
              <w:spacing w:line="240" w:lineRule="auto"/>
              <w:ind w:firstLine="0" w:firstLineChars="0"/>
              <w:contextualSpacing/>
              <w:jc w:val="left"/>
              <w:rPr>
                <w:rFonts w:ascii="宋体" w:hAnsi="宋体"/>
                <w:color w:val="auto"/>
                <w:sz w:val="21"/>
                <w:szCs w:val="21"/>
              </w:rPr>
            </w:pPr>
          </w:p>
        </w:tc>
        <w:tc>
          <w:tcPr>
            <w:tcW w:w="1560" w:type="dxa"/>
            <w:vAlign w:val="center"/>
          </w:tcPr>
          <w:p>
            <w:pPr>
              <w:topLinePunct/>
              <w:adjustRightInd/>
              <w:snapToGrid/>
              <w:spacing w:line="240" w:lineRule="auto"/>
              <w:ind w:firstLine="0" w:firstLineChars="0"/>
              <w:contextualSpacing/>
              <w:jc w:val="left"/>
              <w:rPr>
                <w:rFonts w:ascii="宋体" w:hAnsi="宋体" w:cs="Arial Unicode MS"/>
                <w:color w:val="auto"/>
                <w:sz w:val="21"/>
                <w:szCs w:val="21"/>
              </w:rPr>
            </w:pPr>
            <w:r>
              <w:rPr>
                <w:rFonts w:hint="eastAsia" w:ascii="宋体" w:hAnsi="宋体"/>
                <w:color w:val="auto"/>
                <w:sz w:val="21"/>
                <w:szCs w:val="21"/>
              </w:rPr>
              <w:t>生产区远离办公辅助区，减小噪声对人员的影响。</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三</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建构筑物</w:t>
            </w:r>
          </w:p>
        </w:tc>
        <w:tc>
          <w:tcPr>
            <w:tcW w:w="2100"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高架仓库、高层仓库、甲类仓库、多层乙类仓库和储存可燃液体的多层丙类 仓库，其耐火等级不应低于二级。</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olor w:val="auto"/>
                <w:sz w:val="21"/>
                <w:szCs w:val="21"/>
                <w:lang w:val="en-US" w:eastAsia="zh-CN"/>
              </w:rPr>
            </w:pPr>
            <w:r>
              <w:rPr>
                <w:rFonts w:hint="eastAsia" w:ascii="宋体" w:hAnsi="宋体" w:cs="Tahoma"/>
                <w:color w:val="auto"/>
                <w:sz w:val="21"/>
                <w:szCs w:val="21"/>
              </w:rPr>
              <w:t>《建筑设计防火规范（2018年版）》（GB50016-2014）</w:t>
            </w:r>
            <w:r>
              <w:rPr>
                <w:rFonts w:hint="eastAsia" w:ascii="宋体" w:hAnsi="宋体" w:cs="Tahoma"/>
                <w:color w:val="auto"/>
                <w:sz w:val="21"/>
                <w:szCs w:val="21"/>
                <w:lang w:val="en-US" w:eastAsia="zh-CN"/>
              </w:rPr>
              <w:t>第</w:t>
            </w:r>
            <w:r>
              <w:rPr>
                <w:rFonts w:ascii="宋体" w:hAnsi="宋体" w:cs="Tahoma"/>
                <w:color w:val="auto"/>
                <w:sz w:val="21"/>
                <w:szCs w:val="21"/>
              </w:rPr>
              <w:t>3.2.7</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项目未涉及高架仓库、高层仓库、甲类仓库、多层乙类仓库和储存可燃液体的多层丙类仓库。</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除本规范另有规定外，仓库的层数和面积应符合表3.3.2的规定。</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s="Tahoma"/>
                <w:color w:val="auto"/>
                <w:sz w:val="21"/>
                <w:szCs w:val="21"/>
                <w:lang w:val="en-US" w:eastAsia="zh-CN"/>
              </w:rPr>
            </w:pPr>
            <w:r>
              <w:rPr>
                <w:rFonts w:hint="eastAsia" w:ascii="宋体" w:hAnsi="宋体" w:cs="Tahoma"/>
                <w:color w:val="auto"/>
                <w:sz w:val="21"/>
                <w:szCs w:val="21"/>
              </w:rPr>
              <w:t>《建筑设计防火规范（2018年版）》（GB50016-2014）</w:t>
            </w:r>
            <w:r>
              <w:rPr>
                <w:rFonts w:hint="eastAsia" w:ascii="宋体" w:hAnsi="宋体" w:cs="Tahoma"/>
                <w:color w:val="auto"/>
                <w:sz w:val="21"/>
                <w:szCs w:val="21"/>
                <w:lang w:val="en-US" w:eastAsia="zh-CN"/>
              </w:rPr>
              <w:t>第</w:t>
            </w:r>
            <w:r>
              <w:rPr>
                <w:rFonts w:hint="eastAsia" w:ascii="宋体" w:hAnsi="宋体" w:cs="Tahoma"/>
                <w:color w:val="auto"/>
                <w:sz w:val="21"/>
                <w:szCs w:val="21"/>
              </w:rPr>
              <w:t>3.3.</w:t>
            </w:r>
            <w:r>
              <w:rPr>
                <w:rFonts w:ascii="宋体" w:hAnsi="宋体" w:cs="Tahoma"/>
                <w:color w:val="auto"/>
                <w:sz w:val="21"/>
                <w:szCs w:val="21"/>
              </w:rPr>
              <w:t>2</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项目仓库火灾危险性为戊类，一层，240m</w:t>
            </w:r>
            <w:r>
              <w:rPr>
                <w:rFonts w:hint="eastAsia" w:ascii="宋体" w:hAnsi="宋体"/>
                <w:bCs/>
                <w:color w:val="auto"/>
                <w:sz w:val="21"/>
                <w:szCs w:val="21"/>
                <w:vertAlign w:val="superscript"/>
              </w:rPr>
              <w:t>2</w:t>
            </w:r>
            <w:r>
              <w:rPr>
                <w:rFonts w:hint="eastAsia" w:ascii="宋体" w:hAnsi="宋体"/>
                <w:bCs/>
                <w:color w:val="auto"/>
                <w:sz w:val="21"/>
                <w:szCs w:val="21"/>
              </w:rPr>
              <w:t>，符合表3.3.2</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除本规范另有规定外，不同耐火等级建筑的允许建筑高度或层数、防火分区最大允许建筑面积应符合表5.3.1的规定。</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s="Tahoma"/>
                <w:color w:val="auto"/>
                <w:sz w:val="21"/>
                <w:szCs w:val="21"/>
                <w:lang w:val="en-US" w:eastAsia="zh-CN"/>
              </w:rPr>
            </w:pPr>
            <w:r>
              <w:rPr>
                <w:rFonts w:hint="eastAsia" w:ascii="宋体" w:hAnsi="宋体" w:cs="Tahoma"/>
                <w:color w:val="auto"/>
                <w:sz w:val="21"/>
                <w:szCs w:val="21"/>
              </w:rPr>
              <w:t>《建筑设计防火规范（2018年版）》（GB50016-2014）</w:t>
            </w:r>
            <w:r>
              <w:rPr>
                <w:rFonts w:hint="eastAsia" w:ascii="宋体" w:hAnsi="宋体" w:cs="Tahoma"/>
                <w:color w:val="auto"/>
                <w:sz w:val="21"/>
                <w:szCs w:val="21"/>
                <w:lang w:val="en-US" w:eastAsia="zh-CN"/>
              </w:rPr>
              <w:t>第</w:t>
            </w:r>
            <w:r>
              <w:rPr>
                <w:rFonts w:ascii="宋体" w:hAnsi="宋体" w:cs="Tahoma"/>
                <w:color w:val="auto"/>
                <w:sz w:val="21"/>
                <w:szCs w:val="21"/>
              </w:rPr>
              <w:t>5.3.1</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门卫室、巡检室等的防火分区满足规范要求。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厂房内任一点至最近安全出口的直线距离不应大于表3.7.4的规定。</w:t>
            </w:r>
          </w:p>
        </w:tc>
        <w:tc>
          <w:tcPr>
            <w:tcW w:w="2100"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《建筑设计防火规范（2018年版）》（GB50016-2014）</w:t>
            </w:r>
            <w:r>
              <w:rPr>
                <w:rFonts w:hint="eastAsia" w:ascii="宋体" w:hAnsi="宋体" w:cs="Tahoma"/>
                <w:color w:val="auto"/>
                <w:sz w:val="21"/>
                <w:szCs w:val="21"/>
                <w:lang w:val="en-US" w:eastAsia="zh-CN"/>
              </w:rPr>
              <w:t>第</w:t>
            </w:r>
            <w:r>
              <w:rPr>
                <w:rFonts w:hint="eastAsia" w:ascii="宋体" w:hAnsi="宋体"/>
                <w:color w:val="auto"/>
                <w:sz w:val="21"/>
                <w:szCs w:val="21"/>
              </w:rPr>
              <w:t>3.7.4</w:t>
            </w:r>
            <w:r>
              <w:rPr>
                <w:rFonts w:hint="eastAsia" w:ascii="宋体" w:hAnsi="宋体" w:cs="Tahoma"/>
                <w:color w:val="auto"/>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厂房内共设置3个安全出口，</w:t>
            </w:r>
            <w:r>
              <w:rPr>
                <w:rFonts w:hint="eastAsia" w:ascii="宋体" w:hAnsi="宋体"/>
                <w:color w:val="auto"/>
                <w:sz w:val="21"/>
                <w:szCs w:val="21"/>
              </w:rPr>
              <w:t>厂房内任一点至最近安全出口的直线距离为15m，小于表3.7.4规定的75m</w:t>
            </w:r>
            <w:r>
              <w:rPr>
                <w:rFonts w:hint="eastAsia" w:ascii="宋体" w:hAnsi="宋体"/>
                <w:bCs/>
                <w:color w:val="auto"/>
                <w:sz w:val="21"/>
                <w:szCs w:val="21"/>
              </w:rPr>
              <w:t>，具体设置详见附图总平面布置图。</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s="Tahoma"/>
                <w:color w:val="auto"/>
                <w:sz w:val="21"/>
                <w:szCs w:val="21"/>
              </w:rPr>
              <w:t>厂房内疏散楼梯、走道、门的各自总净宽度，应根据疏散人算按每100人的最小疏散净宽度不小于表3.7.5条的规定计算。但疏散楼梯的最小净宽度不宜小于1.10m，疏散走道的最小净宽度不宜小于1.40m，门的最小净宽度不宜小于0.90m。当每层疏散人数不相等时，疏散楼梯的总净宽度应分层计算。</w:t>
            </w:r>
          </w:p>
        </w:tc>
        <w:tc>
          <w:tcPr>
            <w:tcW w:w="2100" w:type="dxa"/>
            <w:vAlign w:val="center"/>
          </w:tcPr>
          <w:p>
            <w:pPr>
              <w:topLinePunct/>
              <w:adjustRightInd/>
              <w:snapToGrid/>
              <w:spacing w:line="240" w:lineRule="auto"/>
              <w:ind w:firstLine="0" w:firstLineChars="0"/>
              <w:contextualSpacing/>
              <w:jc w:val="left"/>
              <w:rPr>
                <w:rFonts w:hint="eastAsia" w:ascii="宋体" w:hAnsi="宋体" w:eastAsia="宋体"/>
                <w:color w:val="auto"/>
                <w:sz w:val="21"/>
                <w:szCs w:val="21"/>
                <w:lang w:val="en-US" w:eastAsia="zh-CN"/>
              </w:rPr>
            </w:pPr>
            <w:r>
              <w:rPr>
                <w:rFonts w:hint="eastAsia"/>
                <w:color w:val="000000" w:themeColor="text1"/>
                <w:sz w:val="21"/>
                <w:szCs w:val="21"/>
              </w:rPr>
              <w:t>《建筑设计防火规范（2018年版）》（GB50016-2014）</w:t>
            </w:r>
            <w:r>
              <w:rPr>
                <w:rFonts w:hint="eastAsia"/>
                <w:color w:val="000000" w:themeColor="text1"/>
                <w:sz w:val="21"/>
                <w:szCs w:val="21"/>
                <w:lang w:val="en-US" w:eastAsia="zh-CN"/>
              </w:rPr>
              <w:t>第</w:t>
            </w:r>
            <w:r>
              <w:rPr>
                <w:rFonts w:hint="eastAsia" w:ascii="宋体" w:hAnsi="宋体" w:cs="宋体"/>
                <w:color w:val="auto"/>
                <w:kern w:val="0"/>
                <w:sz w:val="21"/>
                <w:szCs w:val="21"/>
              </w:rPr>
              <w:t>3.7.5</w:t>
            </w:r>
            <w:r>
              <w:rPr>
                <w:rFonts w:hint="eastAsia" w:ascii="宋体" w:hAnsi="宋体" w:cs="宋体"/>
                <w:color w:val="auto"/>
                <w:kern w:val="0"/>
                <w:sz w:val="21"/>
                <w:szCs w:val="21"/>
                <w:lang w:val="en-US" w:eastAsia="zh-CN"/>
              </w:rPr>
              <w:t>条</w:t>
            </w:r>
          </w:p>
        </w:tc>
        <w:tc>
          <w:tcPr>
            <w:tcW w:w="1560"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厂房内疏散楼梯宽1.4m、走道宽1.5m、门</w:t>
            </w:r>
            <w:r>
              <w:rPr>
                <w:rFonts w:hint="eastAsia" w:ascii="宋体" w:hAnsi="宋体" w:cs="Tahoma"/>
                <w:color w:val="auto"/>
                <w:sz w:val="21"/>
                <w:szCs w:val="21"/>
              </w:rPr>
              <w:t>最小净宽度为0.9m</w:t>
            </w:r>
            <w:r>
              <w:rPr>
                <w:rFonts w:hint="eastAsia" w:ascii="宋体" w:hAnsi="宋体"/>
                <w:bCs/>
                <w:color w:val="auto"/>
                <w:sz w:val="21"/>
                <w:szCs w:val="21"/>
              </w:rPr>
              <w:t>，各自总净宽度满足要求。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bl>
    <w:p>
      <w:pPr>
        <w:ind w:left="0" w:leftChars="0" w:firstLine="0" w:firstLineChars="0"/>
        <w:rPr>
          <w:color w:val="000000" w:themeColor="text1"/>
        </w:rPr>
      </w:pPr>
    </w:p>
    <w:p>
      <w:pPr>
        <w:ind w:firstLine="560"/>
        <w:rPr>
          <w:color w:val="000000" w:themeColor="text1"/>
        </w:rPr>
      </w:pPr>
      <w:r>
        <w:rPr>
          <w:rFonts w:hint="eastAsia"/>
          <w:color w:val="000000" w:themeColor="text1"/>
        </w:rPr>
        <w:t>通过检查表评价可知：企业总平面布置符合《化工企业安全卫生设计规范》（HG20571-2014）、《工业企业总平面设计规范》（GB50187-2012）、《建筑设计防火规范（2018年版）》（GB50016-2014）等标准规范的要求。</w:t>
      </w:r>
    </w:p>
    <w:p>
      <w:pPr>
        <w:pStyle w:val="5"/>
        <w:ind w:firstLine="562"/>
      </w:pPr>
      <w:bookmarkStart w:id="2608" w:name="_Toc20634"/>
      <w:bookmarkStart w:id="2609" w:name="_Toc32333"/>
      <w:bookmarkStart w:id="2610" w:name="_Toc15487"/>
      <w:bookmarkStart w:id="2611" w:name="_Toc16166"/>
      <w:bookmarkStart w:id="2612" w:name="_Toc12069"/>
      <w:bookmarkStart w:id="2613" w:name="_Toc28652"/>
      <w:bookmarkStart w:id="2614" w:name="_Toc5620"/>
      <w:bookmarkStart w:id="2615" w:name="_Toc28576"/>
      <w:bookmarkStart w:id="2616" w:name="_Toc128056527"/>
      <w:bookmarkStart w:id="2617" w:name="_Toc3309"/>
      <w:bookmarkStart w:id="2618" w:name="_Toc7614"/>
      <w:bookmarkStart w:id="2619" w:name="_Toc4217"/>
      <w:bookmarkStart w:id="2620" w:name="_Toc5403"/>
      <w:bookmarkStart w:id="2621" w:name="_Toc12777"/>
      <w:r>
        <w:rPr>
          <w:rFonts w:hint="eastAsia"/>
        </w:rPr>
        <w:t>4.</w:t>
      </w:r>
      <w:r>
        <w:rPr>
          <w:rFonts w:hint="eastAsia"/>
          <w:lang w:val="en-US" w:eastAsia="zh-CN"/>
        </w:rPr>
        <w:t>1</w:t>
      </w:r>
      <w:r>
        <w:rPr>
          <w:rFonts w:hint="eastAsia"/>
        </w:rPr>
        <w:t>.2 厂内建构筑物与周边建筑物距离检查表</w:t>
      </w:r>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p>
    <w:p>
      <w:pPr>
        <w:keepNext w:val="0"/>
        <w:keepLines w:val="0"/>
        <w:pageBreakBefore w:val="0"/>
        <w:widowControl/>
        <w:kinsoku/>
        <w:wordWrap/>
        <w:overflowPunct/>
        <w:topLinePunct/>
        <w:autoSpaceDE/>
        <w:autoSpaceDN/>
        <w:bidi w:val="0"/>
        <w:adjustRightInd w:val="0"/>
        <w:snapToGrid w:val="0"/>
        <w:ind w:firstLine="560"/>
        <w:textAlignment w:val="baseline"/>
        <w:rPr>
          <w:rFonts w:ascii="宋体" w:hAnsi="宋体"/>
          <w:color w:val="auto"/>
          <w:szCs w:val="28"/>
          <w:u w:color="000000"/>
        </w:rPr>
      </w:pPr>
      <w:r>
        <w:rPr>
          <w:rFonts w:hint="eastAsia" w:ascii="宋体" w:hAnsi="宋体"/>
          <w:color w:val="auto"/>
        </w:rPr>
        <w:t>经安全评价人员现场测量调查，</w:t>
      </w:r>
      <w:r>
        <w:rPr>
          <w:rFonts w:hint="eastAsia" w:ascii="宋体" w:hAnsi="宋体"/>
          <w:color w:val="auto"/>
          <w:szCs w:val="28"/>
          <w:u w:color="000000"/>
        </w:rPr>
        <w:t>氟化分公司位于天辰公司生产厂区内，生产厂房西北面</w:t>
      </w:r>
      <w:r>
        <w:rPr>
          <w:rFonts w:hint="eastAsia" w:ascii="宋体" w:hAnsi="宋体"/>
          <w:color w:val="auto"/>
          <w:szCs w:val="28"/>
          <w:u w:color="000000"/>
          <w:lang w:val="en-US" w:eastAsia="zh-CN"/>
        </w:rPr>
        <w:t>与</w:t>
      </w:r>
      <w:r>
        <w:rPr>
          <w:rFonts w:hint="eastAsia" w:ascii="宋体" w:hAnsi="宋体"/>
          <w:color w:val="auto"/>
          <w:szCs w:val="28"/>
          <w:u w:color="000000"/>
        </w:rPr>
        <w:t>公路相隔，距</w:t>
      </w:r>
      <w:r>
        <w:rPr>
          <w:rFonts w:hint="eastAsia" w:ascii="宋体" w:hAnsi="宋体"/>
          <w:color w:val="auto"/>
          <w:szCs w:val="28"/>
          <w:u w:color="000000"/>
          <w:lang w:val="en-US" w:eastAsia="zh-CN"/>
        </w:rPr>
        <w:t>离</w:t>
      </w:r>
      <w:r>
        <w:rPr>
          <w:rFonts w:hint="eastAsia" w:ascii="宋体" w:hAnsi="宋体"/>
          <w:color w:val="auto"/>
          <w:szCs w:val="28"/>
          <w:u w:color="000000"/>
        </w:rPr>
        <w:t>14.5m为天辰公司机修、辅助设施等，东北面距</w:t>
      </w:r>
      <w:r>
        <w:rPr>
          <w:rFonts w:hint="eastAsia" w:ascii="宋体" w:hAnsi="宋体"/>
          <w:color w:val="auto"/>
          <w:szCs w:val="28"/>
          <w:u w:color="000000"/>
          <w:lang w:val="en-US" w:eastAsia="zh-CN"/>
        </w:rPr>
        <w:t>离</w:t>
      </w:r>
      <w:r>
        <w:rPr>
          <w:rFonts w:hint="eastAsia" w:ascii="宋体" w:hAnsi="宋体"/>
          <w:color w:val="auto"/>
          <w:szCs w:val="28"/>
          <w:u w:color="000000"/>
        </w:rPr>
        <w:t>50m为天辰公司渣场和锅炉房；东南面距离20m为云南澄江华业磷化工有限责任公司磷矿石库房；西南面距离50m为云南澄江华业磷化工有限责任公司生产装置。</w:t>
      </w:r>
    </w:p>
    <w:p>
      <w:pPr>
        <w:keepNext w:val="0"/>
        <w:keepLines w:val="0"/>
        <w:pageBreakBefore w:val="0"/>
        <w:widowControl/>
        <w:kinsoku/>
        <w:wordWrap/>
        <w:overflowPunct/>
        <w:topLinePunct/>
        <w:autoSpaceDE/>
        <w:autoSpaceDN/>
        <w:bidi w:val="0"/>
        <w:adjustRightInd w:val="0"/>
        <w:snapToGrid w:val="0"/>
        <w:ind w:firstLine="560"/>
        <w:textAlignment w:val="baseline"/>
        <w:rPr>
          <w:rFonts w:ascii="宋体" w:hAnsi="宋体"/>
          <w:color w:val="000000" w:themeColor="text1"/>
          <w:szCs w:val="28"/>
          <w:u w:color="000000"/>
        </w:rPr>
      </w:pPr>
      <w:r>
        <w:rPr>
          <w:rFonts w:hint="eastAsia" w:ascii="宋体" w:hAnsi="宋体"/>
          <w:color w:val="000000" w:themeColor="text1"/>
          <w:szCs w:val="28"/>
          <w:u w:color="000000"/>
        </w:rPr>
        <w:t>依据《建筑设计防火规范（2018年版）》（GB50016-2014）生产厂房与</w:t>
      </w:r>
      <w:r>
        <w:rPr>
          <w:rFonts w:hint="eastAsia" w:ascii="宋体" w:hAnsi="宋体"/>
          <w:color w:val="000000" w:themeColor="text1"/>
        </w:rPr>
        <w:t>周边企业、建构筑</w:t>
      </w:r>
      <w:r>
        <w:rPr>
          <w:rFonts w:hint="eastAsia" w:ascii="宋体" w:hAnsi="宋体"/>
          <w:color w:val="000000" w:themeColor="text1"/>
          <w:szCs w:val="28"/>
          <w:u w:color="000000"/>
        </w:rPr>
        <w:t>安全距离见附表4.</w:t>
      </w:r>
      <w:r>
        <w:rPr>
          <w:rFonts w:hint="eastAsia" w:ascii="宋体" w:hAnsi="宋体"/>
          <w:color w:val="000000" w:themeColor="text1"/>
          <w:szCs w:val="28"/>
          <w:u w:color="000000"/>
          <w:lang w:val="en-US" w:eastAsia="zh-CN"/>
        </w:rPr>
        <w:t>1</w:t>
      </w:r>
      <w:r>
        <w:rPr>
          <w:rFonts w:hint="eastAsia" w:ascii="宋体" w:hAnsi="宋体"/>
          <w:color w:val="000000" w:themeColor="text1"/>
          <w:szCs w:val="28"/>
          <w:u w:color="000000"/>
        </w:rPr>
        <w:t>-2：</w:t>
      </w:r>
    </w:p>
    <w:p>
      <w:pPr>
        <w:pStyle w:val="89"/>
        <w:rPr>
          <w:sz w:val="24"/>
          <w:szCs w:val="24"/>
        </w:rPr>
      </w:pPr>
      <w:r>
        <w:rPr>
          <w:rFonts w:hint="eastAsia"/>
          <w:sz w:val="24"/>
          <w:szCs w:val="24"/>
        </w:rPr>
        <w:t>附</w:t>
      </w:r>
      <w:r>
        <w:rPr>
          <w:sz w:val="24"/>
          <w:szCs w:val="24"/>
        </w:rPr>
        <w:t>表</w:t>
      </w:r>
      <w:r>
        <w:rPr>
          <w:rFonts w:hint="eastAsia"/>
          <w:sz w:val="24"/>
          <w:szCs w:val="24"/>
        </w:rPr>
        <w:t>4.</w:t>
      </w:r>
      <w:r>
        <w:rPr>
          <w:rFonts w:hint="eastAsia"/>
          <w:sz w:val="24"/>
          <w:szCs w:val="24"/>
          <w:lang w:val="en-US" w:eastAsia="zh-CN"/>
        </w:rPr>
        <w:t>1</w:t>
      </w:r>
      <w:r>
        <w:rPr>
          <w:rFonts w:hint="eastAsia"/>
          <w:sz w:val="24"/>
          <w:szCs w:val="24"/>
        </w:rPr>
        <w:t>-2 生产厂房与周边企业、建构筑安全距离表</w:t>
      </w:r>
    </w:p>
    <w:tbl>
      <w:tblPr>
        <w:tblStyle w:val="3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418"/>
        <w:gridCol w:w="909"/>
        <w:gridCol w:w="865"/>
        <w:gridCol w:w="1061"/>
        <w:gridCol w:w="99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项目建构筑名称</w:t>
            </w:r>
          </w:p>
        </w:tc>
        <w:tc>
          <w:tcPr>
            <w:tcW w:w="141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周边设施</w:t>
            </w:r>
          </w:p>
        </w:tc>
        <w:tc>
          <w:tcPr>
            <w:tcW w:w="909"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方位</w:t>
            </w:r>
          </w:p>
        </w:tc>
        <w:tc>
          <w:tcPr>
            <w:tcW w:w="86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规范防火间距/m</w:t>
            </w:r>
          </w:p>
        </w:tc>
        <w:tc>
          <w:tcPr>
            <w:tcW w:w="106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实测距离/m</w:t>
            </w:r>
          </w:p>
        </w:tc>
        <w:tc>
          <w:tcPr>
            <w:tcW w:w="992"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合规性</w:t>
            </w:r>
          </w:p>
        </w:tc>
        <w:tc>
          <w:tcPr>
            <w:tcW w:w="2693"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restart"/>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生产厂房（戊类、框架结构、二层二级耐火等级）</w:t>
            </w:r>
          </w:p>
        </w:tc>
        <w:tc>
          <w:tcPr>
            <w:tcW w:w="14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天辰公司机修、辅助设施（戊类）</w:t>
            </w:r>
          </w:p>
        </w:tc>
        <w:tc>
          <w:tcPr>
            <w:tcW w:w="9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西北面</w:t>
            </w:r>
          </w:p>
        </w:tc>
        <w:tc>
          <w:tcPr>
            <w:tcW w:w="865"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61"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14.5</w:t>
            </w:r>
          </w:p>
        </w:tc>
        <w:tc>
          <w:tcPr>
            <w:tcW w:w="99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3"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420"/>
              <w:jc w:val="center"/>
              <w:rPr>
                <w:rFonts w:ascii="宋体" w:hAnsi="宋体"/>
                <w:color w:val="auto"/>
                <w:sz w:val="21"/>
                <w:szCs w:val="21"/>
              </w:rPr>
            </w:pPr>
          </w:p>
        </w:tc>
        <w:tc>
          <w:tcPr>
            <w:tcW w:w="14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锅炉房（丁类）</w:t>
            </w:r>
          </w:p>
        </w:tc>
        <w:tc>
          <w:tcPr>
            <w:tcW w:w="9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东北面</w:t>
            </w:r>
          </w:p>
        </w:tc>
        <w:tc>
          <w:tcPr>
            <w:tcW w:w="865"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61"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50</w:t>
            </w:r>
          </w:p>
        </w:tc>
        <w:tc>
          <w:tcPr>
            <w:tcW w:w="99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3" w:type="dxa"/>
            <w:shd w:val="clear" w:color="auto" w:fill="auto"/>
            <w:vAlign w:val="center"/>
          </w:tcPr>
          <w:p>
            <w:pPr>
              <w:tabs>
                <w:tab w:val="left" w:pos="2235"/>
              </w:tabs>
              <w:spacing w:line="240" w:lineRule="auto"/>
              <w:ind w:firstLine="210" w:firstLineChars="100"/>
              <w:jc w:val="center"/>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420"/>
              <w:jc w:val="center"/>
              <w:rPr>
                <w:rFonts w:ascii="宋体" w:hAnsi="宋体"/>
                <w:color w:val="auto"/>
                <w:sz w:val="21"/>
                <w:szCs w:val="21"/>
              </w:rPr>
            </w:pPr>
          </w:p>
        </w:tc>
        <w:tc>
          <w:tcPr>
            <w:tcW w:w="14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华业公司磷矿石库房（戊类）</w:t>
            </w:r>
          </w:p>
        </w:tc>
        <w:tc>
          <w:tcPr>
            <w:tcW w:w="9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东南面</w:t>
            </w:r>
          </w:p>
        </w:tc>
        <w:tc>
          <w:tcPr>
            <w:tcW w:w="865"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61"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20</w:t>
            </w:r>
          </w:p>
        </w:tc>
        <w:tc>
          <w:tcPr>
            <w:tcW w:w="99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3" w:type="dxa"/>
            <w:shd w:val="clear" w:color="auto" w:fill="auto"/>
            <w:vAlign w:val="center"/>
          </w:tcPr>
          <w:p>
            <w:pPr>
              <w:tabs>
                <w:tab w:val="left" w:pos="2235"/>
              </w:tabs>
              <w:spacing w:line="240" w:lineRule="auto"/>
              <w:ind w:firstLine="210" w:firstLineChars="100"/>
              <w:jc w:val="center"/>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14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华业公司生产装置（戊类）</w:t>
            </w:r>
          </w:p>
        </w:tc>
        <w:tc>
          <w:tcPr>
            <w:tcW w:w="909"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西</w:t>
            </w:r>
            <w:r>
              <w:rPr>
                <w:rFonts w:hint="eastAsia" w:ascii="宋体" w:hAnsi="宋体"/>
                <w:color w:val="auto"/>
                <w:sz w:val="21"/>
                <w:szCs w:val="21"/>
              </w:rPr>
              <w:t>南</w:t>
            </w:r>
            <w:r>
              <w:rPr>
                <w:rFonts w:ascii="宋体" w:hAnsi="宋体"/>
                <w:color w:val="auto"/>
                <w:sz w:val="21"/>
                <w:szCs w:val="21"/>
              </w:rPr>
              <w:t>面</w:t>
            </w:r>
          </w:p>
        </w:tc>
        <w:tc>
          <w:tcPr>
            <w:tcW w:w="865"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061"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50</w:t>
            </w:r>
          </w:p>
        </w:tc>
        <w:tc>
          <w:tcPr>
            <w:tcW w:w="992"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693" w:type="dxa"/>
            <w:shd w:val="clear" w:color="auto" w:fill="auto"/>
            <w:vAlign w:val="center"/>
          </w:tcPr>
          <w:p>
            <w:pPr>
              <w:tabs>
                <w:tab w:val="left" w:pos="2235"/>
              </w:tabs>
              <w:spacing w:line="240" w:lineRule="auto"/>
              <w:ind w:firstLine="210" w:firstLineChars="100"/>
              <w:jc w:val="center"/>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72" w:type="dxa"/>
            <w:gridSpan w:val="7"/>
            <w:shd w:val="clear" w:color="auto" w:fill="auto"/>
            <w:vAlign w:val="center"/>
          </w:tcPr>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①</w:t>
            </w:r>
            <w:r>
              <w:rPr>
                <w:rFonts w:ascii="宋体" w:hAnsi="宋体"/>
                <w:color w:val="auto"/>
                <w:sz w:val="21"/>
                <w:szCs w:val="21"/>
              </w:rPr>
              <w:t>建（构）筑物防火间距的起算点是外墙、外缘、外壁的最近距离；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②</w:t>
            </w:r>
            <w:r>
              <w:rPr>
                <w:rFonts w:ascii="宋体" w:hAnsi="宋体"/>
                <w:color w:val="auto"/>
                <w:sz w:val="21"/>
                <w:szCs w:val="21"/>
              </w:rPr>
              <w:t>上表中黑体字部分为标准值；上述设计值是根据设计图纸上的比例估算和现场检查情况得出；</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③</w:t>
            </w:r>
            <w:r>
              <w:rPr>
                <w:rFonts w:ascii="宋体" w:hAnsi="宋体"/>
                <w:color w:val="auto"/>
                <w:sz w:val="21"/>
                <w:szCs w:val="21"/>
              </w:rPr>
              <w:t>上表的距离是根据</w:t>
            </w:r>
            <w:r>
              <w:rPr>
                <w:rFonts w:hint="eastAsia" w:ascii="宋体" w:hAnsi="宋体"/>
                <w:color w:val="auto"/>
                <w:sz w:val="21"/>
                <w:szCs w:val="21"/>
              </w:rPr>
              <w:t>《建筑设计防火规范（2018年版）》（GB50016-2014）</w:t>
            </w:r>
            <w:r>
              <w:rPr>
                <w:rFonts w:ascii="宋体" w:hAnsi="宋体"/>
                <w:color w:val="auto"/>
                <w:sz w:val="21"/>
                <w:szCs w:val="21"/>
              </w:rPr>
              <w:t>表3.4.1；</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④</w:t>
            </w:r>
            <w:r>
              <w:rPr>
                <w:rFonts w:ascii="宋体" w:hAnsi="宋体"/>
                <w:color w:val="auto"/>
                <w:sz w:val="21"/>
                <w:szCs w:val="21"/>
              </w:rPr>
              <w:t>上述设计值均是指距最近建构筑物之间的距离。</w:t>
            </w:r>
          </w:p>
        </w:tc>
      </w:tr>
    </w:tbl>
    <w:p>
      <w:pPr>
        <w:pStyle w:val="89"/>
        <w:jc w:val="both"/>
      </w:pPr>
    </w:p>
    <w:p>
      <w:pPr>
        <w:pStyle w:val="89"/>
        <w:rPr>
          <w:sz w:val="24"/>
          <w:szCs w:val="24"/>
        </w:rPr>
      </w:pPr>
      <w:r>
        <w:rPr>
          <w:rFonts w:hint="eastAsia"/>
          <w:sz w:val="24"/>
          <w:szCs w:val="24"/>
        </w:rPr>
        <w:t>附表4.</w:t>
      </w:r>
      <w:r>
        <w:rPr>
          <w:rFonts w:hint="eastAsia"/>
          <w:sz w:val="24"/>
          <w:szCs w:val="24"/>
          <w:lang w:val="en-US" w:eastAsia="zh-CN"/>
        </w:rPr>
        <w:t>1</w:t>
      </w:r>
      <w:r>
        <w:rPr>
          <w:rFonts w:hint="eastAsia"/>
          <w:sz w:val="24"/>
          <w:szCs w:val="24"/>
        </w:rPr>
        <w:t>-3 项目</w:t>
      </w:r>
      <w:r>
        <w:rPr>
          <w:sz w:val="24"/>
          <w:szCs w:val="24"/>
        </w:rPr>
        <w:t>内建（构）筑物之间的安全距离表</w:t>
      </w:r>
    </w:p>
    <w:tbl>
      <w:tblPr>
        <w:tblStyle w:val="3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851"/>
        <w:gridCol w:w="1524"/>
        <w:gridCol w:w="911"/>
        <w:gridCol w:w="1118"/>
        <w:gridCol w:w="895"/>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6"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项目建构筑名称</w:t>
            </w:r>
          </w:p>
        </w:tc>
        <w:tc>
          <w:tcPr>
            <w:tcW w:w="85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方位</w:t>
            </w:r>
          </w:p>
        </w:tc>
        <w:tc>
          <w:tcPr>
            <w:tcW w:w="1524"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周边设施</w:t>
            </w:r>
          </w:p>
        </w:tc>
        <w:tc>
          <w:tcPr>
            <w:tcW w:w="91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规范防火间距/m</w:t>
            </w:r>
          </w:p>
        </w:tc>
        <w:tc>
          <w:tcPr>
            <w:tcW w:w="111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实测距离/m</w:t>
            </w:r>
          </w:p>
        </w:tc>
        <w:tc>
          <w:tcPr>
            <w:tcW w:w="89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合规性</w:t>
            </w:r>
          </w:p>
        </w:tc>
        <w:tc>
          <w:tcPr>
            <w:tcW w:w="2497"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6" w:type="dxa"/>
            <w:vMerge w:val="restart"/>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生产厂房（戊类）</w:t>
            </w:r>
          </w:p>
        </w:tc>
        <w:tc>
          <w:tcPr>
            <w:tcW w:w="851" w:type="dxa"/>
            <w:vMerge w:val="restart"/>
            <w:shd w:val="clear" w:color="auto" w:fill="auto"/>
            <w:vAlign w:val="center"/>
          </w:tcPr>
          <w:p>
            <w:pPr>
              <w:tabs>
                <w:tab w:val="left" w:pos="2235"/>
              </w:tabs>
              <w:spacing w:line="240" w:lineRule="auto"/>
              <w:ind w:firstLine="0" w:firstLineChars="0"/>
              <w:rPr>
                <w:rFonts w:ascii="宋体" w:hAnsi="宋体"/>
                <w:color w:val="auto"/>
                <w:sz w:val="21"/>
                <w:szCs w:val="21"/>
              </w:rPr>
            </w:pPr>
            <w:r>
              <w:rPr>
                <w:rFonts w:ascii="宋体" w:hAnsi="宋体"/>
                <w:color w:val="auto"/>
                <w:sz w:val="21"/>
                <w:szCs w:val="21"/>
              </w:rPr>
              <w:t>东北面</w:t>
            </w:r>
          </w:p>
        </w:tc>
        <w:tc>
          <w:tcPr>
            <w:tcW w:w="1524"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备件间、缓冲库、成品仓库、（戊类）</w:t>
            </w:r>
          </w:p>
        </w:tc>
        <w:tc>
          <w:tcPr>
            <w:tcW w:w="911"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不限</w:t>
            </w:r>
          </w:p>
        </w:tc>
        <w:tc>
          <w:tcPr>
            <w:tcW w:w="11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紧邻</w:t>
            </w:r>
          </w:p>
        </w:tc>
        <w:tc>
          <w:tcPr>
            <w:tcW w:w="89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497"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建筑设计防火规范（2018年版）》（GB50016-2014）表3.4.1及注2、6，即当戊类厂房与戊类仓库相邻时，相邻较高一面外墙为防火墙，或相邻两座高度相同的一、二级耐火等级建筑中相邻任一侧外墙为防火墙且屋顶的耐火极限不低于1．00h时，其防火间距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6"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851" w:type="dxa"/>
            <w:vMerge w:val="continue"/>
            <w:shd w:val="clear" w:color="auto" w:fill="auto"/>
            <w:vAlign w:val="center"/>
          </w:tcPr>
          <w:p>
            <w:pPr>
              <w:tabs>
                <w:tab w:val="left" w:pos="2235"/>
              </w:tabs>
              <w:spacing w:line="240" w:lineRule="auto"/>
              <w:ind w:firstLine="0" w:firstLineChars="0"/>
              <w:jc w:val="center"/>
              <w:rPr>
                <w:rFonts w:ascii="宋体" w:hAnsi="宋体"/>
                <w:color w:val="auto"/>
                <w:sz w:val="21"/>
                <w:szCs w:val="21"/>
              </w:rPr>
            </w:pPr>
          </w:p>
        </w:tc>
        <w:tc>
          <w:tcPr>
            <w:tcW w:w="1524"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u w:color="000000"/>
              </w:rPr>
              <w:t>监控室、实验室、巡检室和化验室（戊类）</w:t>
            </w:r>
          </w:p>
        </w:tc>
        <w:tc>
          <w:tcPr>
            <w:tcW w:w="911" w:type="dxa"/>
            <w:shd w:val="clear" w:color="auto" w:fill="auto"/>
            <w:vAlign w:val="center"/>
          </w:tcPr>
          <w:p>
            <w:pPr>
              <w:tabs>
                <w:tab w:val="left" w:pos="2235"/>
              </w:tabs>
              <w:spacing w:line="240" w:lineRule="auto"/>
              <w:ind w:firstLine="0" w:firstLineChars="0"/>
              <w:jc w:val="center"/>
              <w:rPr>
                <w:rFonts w:ascii="黑体" w:hAnsi="黑体" w:eastAsia="黑体"/>
                <w:color w:val="auto"/>
                <w:sz w:val="21"/>
                <w:szCs w:val="21"/>
              </w:rPr>
            </w:pPr>
            <w:r>
              <w:rPr>
                <w:rFonts w:hint="eastAsia" w:ascii="黑体" w:hAnsi="黑体" w:eastAsia="黑体"/>
                <w:color w:val="auto"/>
                <w:sz w:val="21"/>
                <w:szCs w:val="21"/>
              </w:rPr>
              <w:t>10</w:t>
            </w:r>
          </w:p>
        </w:tc>
        <w:tc>
          <w:tcPr>
            <w:tcW w:w="1118"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hint="eastAsia" w:ascii="宋体" w:hAnsi="宋体"/>
                <w:color w:val="auto"/>
                <w:sz w:val="21"/>
                <w:szCs w:val="21"/>
              </w:rPr>
              <w:t>16</w:t>
            </w:r>
          </w:p>
        </w:tc>
        <w:tc>
          <w:tcPr>
            <w:tcW w:w="895"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符合</w:t>
            </w:r>
          </w:p>
        </w:tc>
        <w:tc>
          <w:tcPr>
            <w:tcW w:w="2497" w:type="dxa"/>
            <w:shd w:val="clear" w:color="auto" w:fill="auto"/>
            <w:vAlign w:val="center"/>
          </w:tcPr>
          <w:p>
            <w:pPr>
              <w:tabs>
                <w:tab w:val="left" w:pos="2235"/>
              </w:tabs>
              <w:spacing w:line="240" w:lineRule="auto"/>
              <w:ind w:firstLine="210" w:firstLineChars="100"/>
              <w:jc w:val="center"/>
              <w:rPr>
                <w:rFonts w:ascii="宋体" w:hAnsi="宋体"/>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72" w:type="dxa"/>
            <w:gridSpan w:val="7"/>
            <w:shd w:val="clear" w:color="auto" w:fill="auto"/>
            <w:vAlign w:val="center"/>
          </w:tcPr>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①</w:t>
            </w:r>
            <w:r>
              <w:rPr>
                <w:rFonts w:ascii="宋体" w:hAnsi="宋体"/>
                <w:color w:val="auto"/>
                <w:sz w:val="21"/>
                <w:szCs w:val="21"/>
              </w:rPr>
              <w:t>建（构）筑物防火间距的起算点是外墙、外缘、外壁的最近距离；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②</w:t>
            </w:r>
            <w:r>
              <w:rPr>
                <w:rFonts w:ascii="宋体" w:hAnsi="宋体"/>
                <w:color w:val="auto"/>
                <w:sz w:val="21"/>
                <w:szCs w:val="21"/>
              </w:rPr>
              <w:t>上表中黑体字部分为标准值；上述设计值是根据设计图纸上的比例估算和现场检查情况得出；</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③</w:t>
            </w:r>
            <w:r>
              <w:rPr>
                <w:rFonts w:ascii="宋体" w:hAnsi="宋体"/>
                <w:color w:val="auto"/>
                <w:sz w:val="21"/>
                <w:szCs w:val="21"/>
              </w:rPr>
              <w:t>上表的距离是根据《建筑设计防火规范</w:t>
            </w:r>
            <w:r>
              <w:rPr>
                <w:rFonts w:hint="eastAsia" w:ascii="宋体" w:hAnsi="宋体"/>
                <w:color w:val="auto"/>
                <w:sz w:val="21"/>
                <w:szCs w:val="21"/>
              </w:rPr>
              <w:t>（2018版）</w:t>
            </w:r>
            <w:r>
              <w:rPr>
                <w:rFonts w:ascii="宋体" w:hAnsi="宋体"/>
                <w:color w:val="auto"/>
                <w:sz w:val="21"/>
                <w:szCs w:val="21"/>
              </w:rPr>
              <w:t>》（GB50016-2014）表3.4.1；</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④</w:t>
            </w:r>
            <w:r>
              <w:rPr>
                <w:rFonts w:ascii="宋体" w:hAnsi="宋体"/>
                <w:color w:val="auto"/>
                <w:sz w:val="21"/>
                <w:szCs w:val="21"/>
              </w:rPr>
              <w:t>上述设计值均是指距最近建构筑物之间的距离。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⑤</w:t>
            </w:r>
            <w:r>
              <w:rPr>
                <w:rFonts w:hint="eastAsia" w:ascii="宋体" w:hAnsi="宋体"/>
                <w:color w:val="auto"/>
                <w:sz w:val="21"/>
                <w:szCs w:val="21"/>
              </w:rPr>
              <w:t>《建筑设计防火规范（2018年版）》（GB50016-2014）表3.4.1 注2 两座厂房相邻较高一面外墙为防火墙，或相邻两座高度相同的一、二级耐火等级建筑中相邻任一侧外墙为防火墙且屋顶的耐火极限不低于1．00h时，其防火间距不限，但甲类厂房之间不应小于4m。两座丙、丁、戊类厂房相邻两面外墙均为不燃性墙体，当无外露的可燃性屋檐，每面外墙上的门、窗、洞口面积之和各不大于外墙面积的5％，且门、窗、洞口不正对开设时，其防火间距可按本表的规定减少25％。甲、乙类厂房(仓库)不应与本规范第3．3．5条规定外的其他建筑贴邻。</w:t>
            </w:r>
          </w:p>
          <w:p>
            <w:pPr>
              <w:tabs>
                <w:tab w:val="left" w:pos="2235"/>
              </w:tabs>
              <w:spacing w:line="240" w:lineRule="auto"/>
              <w:ind w:firstLine="0" w:firstLineChars="0"/>
              <w:rPr>
                <w:rFonts w:ascii="宋体" w:hAnsi="宋体"/>
                <w:color w:val="auto"/>
                <w:sz w:val="21"/>
                <w:szCs w:val="21"/>
              </w:rPr>
            </w:pPr>
            <w:r>
              <w:rPr>
                <w:rFonts w:hint="eastAsia" w:ascii="宋体" w:hAnsi="宋体"/>
                <w:color w:val="auto"/>
                <w:sz w:val="21"/>
                <w:szCs w:val="21"/>
                <w:lang w:eastAsia="zh-CN"/>
              </w:rPr>
              <w:t>⑥</w:t>
            </w:r>
            <w:r>
              <w:rPr>
                <w:rFonts w:hint="eastAsia" w:ascii="宋体" w:hAnsi="宋体"/>
                <w:color w:val="auto"/>
                <w:sz w:val="21"/>
                <w:szCs w:val="21"/>
              </w:rPr>
              <w:t>当丙、丁、戊类厂房与丙、丁、戊类仓库相邻时，应符合本表注2、3的规定。</w:t>
            </w:r>
          </w:p>
        </w:tc>
      </w:tr>
    </w:tbl>
    <w:p>
      <w:pPr>
        <w:ind w:left="0" w:leftChars="0" w:firstLine="0" w:firstLineChars="0"/>
        <w:rPr>
          <w:color w:val="000000" w:themeColor="text1"/>
        </w:rPr>
      </w:pPr>
    </w:p>
    <w:p>
      <w:pPr>
        <w:ind w:firstLine="560"/>
        <w:rPr>
          <w:rFonts w:ascii="宋体" w:hAnsi="宋体"/>
          <w:color w:val="000000" w:themeColor="text1"/>
        </w:rPr>
      </w:pPr>
      <w:r>
        <w:rPr>
          <w:rFonts w:hint="eastAsia"/>
          <w:color w:val="000000" w:themeColor="text1"/>
        </w:rPr>
        <w:t>通过检查表评价可知：</w:t>
      </w:r>
      <w:r>
        <w:rPr>
          <w:color w:val="000000" w:themeColor="text1"/>
        </w:rPr>
        <w:t>该</w:t>
      </w:r>
      <w:r>
        <w:rPr>
          <w:rFonts w:hint="eastAsia"/>
          <w:color w:val="000000" w:themeColor="text1"/>
        </w:rPr>
        <w:t>公司与周边企业建构筑物，企业内建构筑物</w:t>
      </w:r>
      <w:r>
        <w:rPr>
          <w:color w:val="000000" w:themeColor="text1"/>
        </w:rPr>
        <w:t>布置满足</w:t>
      </w:r>
      <w:r>
        <w:rPr>
          <w:rFonts w:hint="eastAsia"/>
          <w:color w:val="000000" w:themeColor="text1"/>
        </w:rPr>
        <w:t>《建筑设计防火规范（2018年版）》（GB50016-2014）</w:t>
      </w:r>
      <w:r>
        <w:rPr>
          <w:color w:val="000000" w:themeColor="text1"/>
        </w:rPr>
        <w:t>的要求。</w:t>
      </w:r>
    </w:p>
    <w:p>
      <w:pPr>
        <w:pStyle w:val="5"/>
        <w:keepNext w:val="0"/>
        <w:keepLines w:val="0"/>
        <w:ind w:firstLine="562"/>
      </w:pPr>
      <w:bookmarkStart w:id="2622" w:name="_Toc8135"/>
      <w:bookmarkStart w:id="2623" w:name="_Toc25527"/>
      <w:bookmarkStart w:id="2624" w:name="_Toc128056529"/>
      <w:bookmarkStart w:id="2625" w:name="_Toc13305"/>
      <w:bookmarkStart w:id="2626" w:name="_Toc30980"/>
      <w:bookmarkStart w:id="2627" w:name="_Toc27782"/>
      <w:bookmarkStart w:id="2628" w:name="_Toc21435"/>
      <w:bookmarkStart w:id="2629" w:name="_Toc31620"/>
      <w:bookmarkStart w:id="2630" w:name="_Toc2456"/>
      <w:bookmarkStart w:id="2631" w:name="_Toc888"/>
      <w:bookmarkStart w:id="2632" w:name="_Toc14697"/>
      <w:bookmarkStart w:id="2633" w:name="_Toc1106"/>
      <w:bookmarkStart w:id="2634" w:name="_Toc31312"/>
      <w:bookmarkStart w:id="2635" w:name="_Toc25516"/>
      <w:r>
        <w:rPr>
          <w:rFonts w:hint="eastAsia"/>
        </w:rPr>
        <w:t>4.</w:t>
      </w:r>
      <w:r>
        <w:rPr>
          <w:rFonts w:hint="eastAsia"/>
          <w:lang w:val="en-US" w:eastAsia="zh-CN"/>
        </w:rPr>
        <w:t>1</w:t>
      </w:r>
      <w:r>
        <w:rPr>
          <w:rFonts w:hint="eastAsia"/>
        </w:rPr>
        <w:t>.3 单元小结</w:t>
      </w:r>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p>
    <w:p>
      <w:pPr>
        <w:ind w:firstLine="560"/>
        <w:rPr>
          <w:color w:val="000000" w:themeColor="text1"/>
        </w:rPr>
      </w:pPr>
      <w:r>
        <w:rPr>
          <w:color w:val="000000" w:themeColor="text1"/>
        </w:rPr>
        <w:t>通过以上分析评价可知</w:t>
      </w:r>
      <w:r>
        <w:rPr>
          <w:rFonts w:hint="eastAsia"/>
          <w:color w:val="000000" w:themeColor="text1"/>
        </w:rPr>
        <w:t>：</w:t>
      </w:r>
    </w:p>
    <w:p>
      <w:pPr>
        <w:ind w:firstLine="560"/>
      </w:pPr>
      <w:r>
        <w:rPr>
          <w:rFonts w:hint="eastAsia"/>
        </w:rPr>
        <w:t>1）</w:t>
      </w:r>
      <w:r>
        <w:rPr>
          <w:rFonts w:hint="eastAsia"/>
          <w:lang w:eastAsia="zh-CN"/>
        </w:rPr>
        <w:t>昆明合起工贸有限公司澄江氟化分公司</w:t>
      </w:r>
      <w:r>
        <w:rPr>
          <w:rFonts w:hint="eastAsia"/>
          <w:lang w:val="zh-CN"/>
        </w:rPr>
        <w:t>厂址周围无重点生态保护区，</w:t>
      </w:r>
      <w:r>
        <w:rPr>
          <w:lang w:val="zh-CN"/>
        </w:rPr>
        <w:t>厂内按功能分区，布置合理</w:t>
      </w:r>
      <w:r>
        <w:rPr>
          <w:rFonts w:hint="eastAsia"/>
          <w:lang w:val="zh-CN"/>
        </w:rPr>
        <w:t>，生产装置均位于厂区内部，</w:t>
      </w:r>
      <w:r>
        <w:t>其</w:t>
      </w:r>
      <w:r>
        <w:rPr>
          <w:rFonts w:hint="eastAsia"/>
        </w:rPr>
        <w:t>厂址及</w:t>
      </w:r>
      <w:r>
        <w:t>总平面布置符合《工业企业总平面设计规范》(GB50187-2012)</w:t>
      </w:r>
      <w:r>
        <w:rPr>
          <w:rFonts w:hint="eastAsia"/>
        </w:rPr>
        <w:t>、</w:t>
      </w:r>
      <w:r>
        <w:t>《化工企业安全卫生设计规范》(HG20571-2014)、《建筑设计防火规范</w:t>
      </w:r>
      <w:r>
        <w:rPr>
          <w:rFonts w:hint="eastAsia"/>
        </w:rPr>
        <w:t>（</w:t>
      </w:r>
      <w:r>
        <w:t>2018年版</w:t>
      </w:r>
      <w:r>
        <w:rPr>
          <w:rFonts w:hint="eastAsia"/>
        </w:rPr>
        <w:t>）</w:t>
      </w:r>
      <w:r>
        <w:rPr>
          <w:rFonts w:hint="eastAsia"/>
          <w:lang w:eastAsia="zh-CN"/>
        </w:rPr>
        <w:t>》</w:t>
      </w:r>
      <w:r>
        <w:t>(GB50016-2014)等标准、规范的要求。</w:t>
      </w:r>
    </w:p>
    <w:p>
      <w:pPr>
        <w:ind w:firstLine="560"/>
        <w:rPr>
          <w:lang w:val="zh-CN"/>
        </w:rPr>
      </w:pPr>
      <w:r>
        <w:rPr>
          <w:rFonts w:hint="eastAsia"/>
        </w:rPr>
        <w:t>2）</w:t>
      </w:r>
      <w:r>
        <w:rPr>
          <w:rFonts w:hint="eastAsia"/>
          <w:lang w:val="zh-CN"/>
        </w:rPr>
        <w:t>氟化分公司</w:t>
      </w:r>
      <w:r>
        <w:rPr>
          <w:lang w:val="zh-CN"/>
        </w:rPr>
        <w:t>与周边设施的</w:t>
      </w:r>
      <w:r>
        <w:rPr>
          <w:rFonts w:hint="eastAsia"/>
          <w:lang w:val="zh-CN"/>
        </w:rPr>
        <w:t>防火</w:t>
      </w:r>
      <w:r>
        <w:rPr>
          <w:lang w:val="zh-CN"/>
        </w:rPr>
        <w:t>距离</w:t>
      </w:r>
      <w:r>
        <w:rPr>
          <w:rFonts w:hint="eastAsia"/>
        </w:rPr>
        <w:t>及氟化分公司</w:t>
      </w:r>
      <w:r>
        <w:t>区域内各建构筑物间的防火距离</w:t>
      </w:r>
      <w:r>
        <w:rPr>
          <w:rFonts w:hint="eastAsia"/>
          <w:lang w:val="zh-CN"/>
        </w:rPr>
        <w:t>符合</w:t>
      </w:r>
      <w:r>
        <w:t>《建筑设计防火规范</w:t>
      </w:r>
      <w:r>
        <w:rPr>
          <w:rFonts w:hint="eastAsia"/>
        </w:rPr>
        <w:t>（</w:t>
      </w:r>
      <w:r>
        <w:t>2018年版</w:t>
      </w:r>
      <w:r>
        <w:rPr>
          <w:rFonts w:hint="eastAsia"/>
        </w:rPr>
        <w:t>）</w:t>
      </w:r>
      <w:r>
        <w:rPr>
          <w:rFonts w:hint="eastAsia"/>
          <w:lang w:eastAsia="zh-CN"/>
        </w:rPr>
        <w:t>》</w:t>
      </w:r>
      <w:r>
        <w:t>(GB50016-2014)</w:t>
      </w:r>
      <w:r>
        <w:rPr>
          <w:rFonts w:hint="eastAsia"/>
        </w:rPr>
        <w:t>及</w:t>
      </w:r>
      <w:r>
        <w:rPr>
          <w:rFonts w:hint="eastAsia"/>
          <w:color w:val="auto"/>
        </w:rPr>
        <w:t>《危险化学品生产装置和储存设施外部安全防护距离确定方法》（GB/T37243-2019）</w:t>
      </w:r>
      <w:r>
        <w:rPr>
          <w:rFonts w:hint="eastAsia"/>
          <w:lang w:val="zh-CN"/>
        </w:rPr>
        <w:t>要求。</w:t>
      </w:r>
    </w:p>
    <w:p>
      <w:pPr>
        <w:ind w:firstLine="560"/>
        <w:rPr>
          <w:rFonts w:ascii="宋体" w:hAnsi="宋体"/>
        </w:rPr>
      </w:pPr>
      <w:r>
        <w:rPr>
          <w:rFonts w:hint="eastAsia"/>
        </w:rPr>
        <w:t>3）</w:t>
      </w:r>
      <w:r>
        <w:rPr>
          <w:rFonts w:hint="eastAsia"/>
          <w:lang w:val="zh-CN"/>
        </w:rPr>
        <w:t>当厂内发生事故时，对厂外周边企业、居民生活不会产生影响。厂区外部周边企业的正常生活对其生产不会产生影响。</w:t>
      </w:r>
    </w:p>
    <w:p>
      <w:pPr>
        <w:ind w:firstLine="560"/>
        <w:rPr>
          <w:rFonts w:ascii="宋体" w:hAnsi="宋体"/>
        </w:rPr>
      </w:pPr>
      <w:r>
        <w:rPr>
          <w:rFonts w:hint="eastAsia"/>
        </w:rPr>
        <w:t>4）</w:t>
      </w:r>
      <w:r>
        <w:rPr>
          <w:rFonts w:hint="eastAsia" w:ascii="宋体" w:hAnsi="宋体"/>
          <w:szCs w:val="28"/>
          <w:lang w:val="zh-CN"/>
        </w:rPr>
        <w:t>氟化分公司</w:t>
      </w:r>
      <w:r>
        <w:rPr>
          <w:rFonts w:ascii="宋体" w:hAnsi="宋体"/>
          <w:szCs w:val="28"/>
          <w:lang w:val="zh-CN"/>
        </w:rPr>
        <w:t>所在地的自然条件对该</w:t>
      </w:r>
      <w:r>
        <w:rPr>
          <w:rFonts w:hint="eastAsia" w:ascii="宋体" w:hAnsi="宋体"/>
          <w:szCs w:val="28"/>
          <w:lang w:val="zh-CN"/>
        </w:rPr>
        <w:t>建设项目</w:t>
      </w:r>
      <w:r>
        <w:rPr>
          <w:rFonts w:ascii="宋体" w:hAnsi="宋体"/>
          <w:szCs w:val="28"/>
          <w:lang w:val="zh-CN"/>
        </w:rPr>
        <w:t>的影响在可接受和可控制的范围内，没有发现重大不利安全影响。</w:t>
      </w:r>
    </w:p>
    <w:p>
      <w:pPr>
        <w:pStyle w:val="4"/>
        <w:keepNext w:val="0"/>
        <w:keepLines w:val="0"/>
        <w:ind w:firstLine="562"/>
        <w:rPr>
          <w:color w:val="000000" w:themeColor="text1"/>
        </w:rPr>
      </w:pPr>
      <w:bookmarkStart w:id="2636" w:name="_Toc11044"/>
      <w:bookmarkStart w:id="2637" w:name="_Toc22802"/>
      <w:bookmarkStart w:id="2638" w:name="_Toc4739"/>
      <w:bookmarkStart w:id="2639" w:name="_Toc9338"/>
      <w:bookmarkStart w:id="2640" w:name="_Toc62740977"/>
      <w:bookmarkStart w:id="2641" w:name="_Toc27575"/>
      <w:bookmarkStart w:id="2642" w:name="_Toc3571"/>
      <w:bookmarkStart w:id="2643" w:name="_Toc5371"/>
      <w:bookmarkStart w:id="2644" w:name="_Toc12824"/>
      <w:bookmarkStart w:id="2645" w:name="_Toc17620"/>
      <w:bookmarkStart w:id="2646" w:name="_Toc21631"/>
      <w:bookmarkStart w:id="2647" w:name="_Toc3077"/>
      <w:bookmarkStart w:id="2648" w:name="_Toc23062"/>
      <w:bookmarkStart w:id="2649" w:name="_Toc2050"/>
      <w:bookmarkStart w:id="2650" w:name="_Toc11122"/>
      <w:bookmarkStart w:id="2651" w:name="_Toc28378"/>
      <w:bookmarkStart w:id="2652" w:name="_Toc23873"/>
      <w:bookmarkStart w:id="2653" w:name="_Toc128056530"/>
      <w:bookmarkStart w:id="2654" w:name="_Toc2104"/>
      <w:bookmarkStart w:id="2655" w:name="_Toc7280"/>
      <w:bookmarkStart w:id="2656" w:name="_Toc22244"/>
      <w:bookmarkStart w:id="2657" w:name="_Toc9233"/>
      <w:bookmarkStart w:id="2658" w:name="_Toc5328"/>
      <w:bookmarkStart w:id="2659" w:name="_Toc7035"/>
      <w:bookmarkStart w:id="2660" w:name="_Toc2887"/>
      <w:r>
        <w:rPr>
          <w:rFonts w:hint="eastAsia"/>
          <w:color w:val="000000" w:themeColor="text1"/>
        </w:rPr>
        <w:t>4.</w:t>
      </w:r>
      <w:r>
        <w:rPr>
          <w:rFonts w:hint="eastAsia"/>
          <w:color w:val="000000" w:themeColor="text1"/>
          <w:lang w:val="en-US" w:eastAsia="zh-CN"/>
        </w:rPr>
        <w:t>2</w:t>
      </w:r>
      <w:r>
        <w:rPr>
          <w:rFonts w:hint="eastAsia"/>
          <w:color w:val="000000" w:themeColor="text1"/>
        </w:rPr>
        <w:t xml:space="preserve"> 生产工艺及设备设施单元评价</w:t>
      </w:r>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p>
    <w:p>
      <w:pPr>
        <w:pStyle w:val="5"/>
        <w:keepNext w:val="0"/>
        <w:keepLines w:val="0"/>
        <w:ind w:firstLine="562"/>
      </w:pPr>
      <w:bookmarkStart w:id="2661" w:name="_Toc27801"/>
      <w:bookmarkStart w:id="2662" w:name="_Toc11942"/>
      <w:bookmarkStart w:id="2663" w:name="_Toc20389"/>
      <w:bookmarkStart w:id="2664" w:name="_Toc8530"/>
      <w:bookmarkStart w:id="2665" w:name="_Toc14458"/>
      <w:bookmarkStart w:id="2666" w:name="_Toc16974"/>
      <w:bookmarkStart w:id="2667" w:name="_Toc128056531"/>
      <w:bookmarkStart w:id="2668" w:name="_Toc29576"/>
      <w:bookmarkStart w:id="2669" w:name="_Toc3568"/>
      <w:bookmarkStart w:id="2670" w:name="_Toc24497"/>
      <w:bookmarkStart w:id="2671" w:name="_Toc27225"/>
      <w:bookmarkStart w:id="2672" w:name="_Toc6991"/>
      <w:bookmarkStart w:id="2673" w:name="_Toc2"/>
      <w:bookmarkStart w:id="2674" w:name="_Toc24910"/>
      <w:r>
        <w:rPr>
          <w:rFonts w:hint="eastAsia"/>
        </w:rPr>
        <w:t>4.</w:t>
      </w:r>
      <w:r>
        <w:rPr>
          <w:rFonts w:hint="eastAsia"/>
          <w:lang w:val="en-US" w:eastAsia="zh-CN"/>
        </w:rPr>
        <w:t>2</w:t>
      </w:r>
      <w:r>
        <w:rPr>
          <w:rFonts w:hint="eastAsia"/>
        </w:rPr>
        <w:t>.1 生产工艺及设备设施安全检查表评价</w:t>
      </w:r>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p>
    <w:p>
      <w:pPr>
        <w:ind w:firstLine="560"/>
        <w:rPr>
          <w:color w:val="000000" w:themeColor="text1"/>
        </w:rPr>
      </w:pPr>
      <w:r>
        <w:rPr>
          <w:rFonts w:hint="eastAsia"/>
          <w:color w:val="000000" w:themeColor="text1"/>
        </w:rPr>
        <w:t>根据《生产设备安全卫生设计总则》（GB5083-1999）、《工业企业设计卫生标准》（GBZ1-2010）、《化工企业安全卫生设计规范》（HG20571-2014），编制安全检查表对</w:t>
      </w:r>
      <w:r>
        <w:rPr>
          <w:rFonts w:hint="eastAsia"/>
          <w:color w:val="000000" w:themeColor="text1"/>
          <w:lang w:eastAsia="zh-CN"/>
        </w:rPr>
        <w:t>昆明合起工贸有限公司澄江氟化分公司</w:t>
      </w:r>
      <w:r>
        <w:rPr>
          <w:rFonts w:hint="eastAsia"/>
          <w:color w:val="000000" w:themeColor="text1"/>
        </w:rPr>
        <w:t>生产工艺及设备设施进行分析评价。</w:t>
      </w:r>
    </w:p>
    <w:p>
      <w:pPr>
        <w:pStyle w:val="89"/>
        <w:rPr>
          <w:sz w:val="24"/>
          <w:szCs w:val="24"/>
          <w:lang w:val="zh-CN"/>
        </w:rPr>
      </w:pPr>
      <w:r>
        <w:rPr>
          <w:rFonts w:hint="eastAsia"/>
          <w:sz w:val="24"/>
          <w:szCs w:val="24"/>
        </w:rPr>
        <w:t>附</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lang w:val="en-US" w:eastAsia="zh-CN"/>
        </w:rPr>
        <w:t>2</w:t>
      </w:r>
      <w:r>
        <w:rPr>
          <w:rFonts w:hint="eastAsia"/>
          <w:sz w:val="24"/>
          <w:szCs w:val="24"/>
          <w:lang w:val="zh-CN"/>
        </w:rPr>
        <w:t>-1</w:t>
      </w:r>
      <w:r>
        <w:rPr>
          <w:rFonts w:hint="eastAsia"/>
          <w:sz w:val="24"/>
          <w:szCs w:val="24"/>
        </w:rPr>
        <w:t xml:space="preserve"> </w:t>
      </w:r>
      <w:r>
        <w:rPr>
          <w:rFonts w:hint="eastAsia"/>
          <w:sz w:val="24"/>
          <w:szCs w:val="24"/>
          <w:lang w:val="zh-CN"/>
        </w:rPr>
        <w:t>生产工艺及设备</w:t>
      </w:r>
      <w:r>
        <w:rPr>
          <w:rFonts w:hint="eastAsia"/>
          <w:sz w:val="24"/>
          <w:szCs w:val="24"/>
        </w:rPr>
        <w:t>设施</w:t>
      </w:r>
      <w:r>
        <w:rPr>
          <w:rFonts w:hint="eastAsia"/>
          <w:sz w:val="24"/>
          <w:szCs w:val="24"/>
          <w:lang w:val="zh-CN"/>
        </w:rPr>
        <w:t>安全检查表</w:t>
      </w:r>
    </w:p>
    <w:tbl>
      <w:tblPr>
        <w:tblStyle w:val="86"/>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3299"/>
        <w:gridCol w:w="2092"/>
        <w:gridCol w:w="2755"/>
        <w:gridCol w:w="5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序号</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  查  内  容</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依 据 标 准</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 查 情 况</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生产设备的各种受力零、部件及其联接，必须合理选择结构、材料、工艺和安全系数，在规定使用寿命内按规定使用时，不得产生断裂和破碎。</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hint="eastAsia" w:eastAsia="宋体" w:cs="宋体"/>
                <w:color w:val="000000" w:themeColor="text1"/>
                <w:kern w:val="0"/>
                <w:sz w:val="21"/>
                <w:szCs w:val="21"/>
                <w:lang w:val="en-US" w:eastAsia="zh-CN"/>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2.2</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氟化分公司内生产设备各种受力零、部件及其联接均在使用寿命内使用。</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2</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生产设备不得在振动、风载或其他预期的外载荷作用下倾覆，或产生不应有的位移。</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2.4.1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氟化分公司内生产设备均采取牢靠的固定措施。</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3</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设计、选择和布置操纵器，应与人体操作部分的特性（特别是功能特性），以及控制任务相适应。</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2.6.1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氟化分公司内生产装置的操纵器均按要求进行了设置。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生产设备上供人员作业的工作位置，应安全可靠。其工作空间应保证操作人员的头、臂、手、腿、足有充分的活动余地。危险作业点，应留有足够的退避空间。</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2.7</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氟化分公司内生产设备人员工作的操作位置，按要求进行了设置，能满足作业人员的巡检空间。</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5</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生产设备必须保证操作点和操作区域有充足的照度。但要消除各种频闪效应和眩光现象。</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2.8.1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氟化分公司设备周围设置照明灯。</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6</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生产设备内部需要经常进行观察的部位，应备有照明装置或电源插座。</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2.8.2</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氟化分公司生产设备内部不需要经常进行观察。</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7</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生产设备上的相对运动部位，应具有良好的润滑条件，并尽可能采用集中润滑或自动润滑方式。</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2.9.1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生产设备上的相对运动部位，具有良好的润滑条件。</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8</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人员易触及的可动零、部件，应尽可能封闭，以避免在运转时与</w:t>
            </w:r>
            <w:r>
              <w:rPr>
                <w:rFonts w:hint="eastAsia" w:cs="宋体"/>
                <w:color w:val="000000" w:themeColor="text1"/>
                <w:kern w:val="0"/>
                <w:sz w:val="21"/>
                <w:szCs w:val="21"/>
                <w:lang w:val="zh-CN" w:eastAsia="en-US"/>
              </w:rPr>
              <w:t>其接触。</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val="zh-CN" w:eastAsia="en-US"/>
              </w:rPr>
              <w:t>3.1.1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对人员易触及的可动零、部件采取了封闭设</w:t>
            </w:r>
            <w:r>
              <w:rPr>
                <w:rFonts w:hint="eastAsia" w:cs="宋体"/>
                <w:color w:val="000000" w:themeColor="text1"/>
                <w:kern w:val="0"/>
                <w:sz w:val="21"/>
                <w:szCs w:val="21"/>
                <w:lang w:val="zh-CN" w:eastAsia="en-US"/>
              </w:rPr>
              <w:t>施，主要设置机械防护罩进行保护。</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9</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设备运行时，操作者需要接近的可动零、部件，必须配置必要的安全防护装置。</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3.1.2</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配备了相应的安全防护装置。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0</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生产设备的控制装置，应安装在使操作者能看到整个设备动作的位置上。对于某些开车时在控制点看不见全貌的生产设备，应配置开车预警信号装置。</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3.6.1.4</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氟化分公司内的设备控制装置按要求进行了设置，设置在易于辨识的位置。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1</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生产设备因意外起动可能危及人身安全时，必须配置起强制作用的安全防护装置（有的需要配置两种以上互为联锁的安全装置），以防止意外起动。</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3.6.3.2</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配置了相应的安全防护装置。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2</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生产设备，应通过下列途径保证其安全卫生：选择最佳设计方案并进行安全卫生评价；对可能产生的危险因素和有害因素采取有效防护措施；在运输、贮存、安装、使用和维修等技术文件中写明安全卫生要求。</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4.4</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氟化分公司的生产设备采购合格生产厂家生产的设备，并安装了有效的防护设施，制定了相关的安全规程。</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3</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用于制造生产设备的材料，在规定使用期限内必须能承受在规定使用条件下可能出现的各种物理的、化学的和生物的作用。</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5.2.1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氟化分公司内的相应生产设备的材料在施工前进行了检查验收，符合相应的要求。</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4</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易被腐蚀或空蚀的生产设备及其零部件应选用耐腐蚀或耐空蚀材料制造，并应采取防蚀措施。同时，应规定检查和更换周期。</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5.2.4</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氟化分公司的生产设备和零部件采用了相应的耐蚀材料，并采取了相应的防腐蚀措施。</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5</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设计操作位置，必须充分考虑人员脚踏和站立的安全性。</w:t>
            </w:r>
            <w:r>
              <w:rPr>
                <w:rFonts w:cs="宋体"/>
                <w:color w:val="000000" w:themeColor="text1"/>
                <w:kern w:val="0"/>
                <w:sz w:val="21"/>
                <w:szCs w:val="21"/>
                <w:lang w:eastAsia="en-US"/>
              </w:rPr>
              <w:t>a.</w:t>
            </w:r>
            <w:r>
              <w:rPr>
                <w:rFonts w:hint="eastAsia" w:cs="宋体"/>
                <w:color w:val="000000" w:themeColor="text1"/>
                <w:kern w:val="0"/>
                <w:sz w:val="21"/>
                <w:szCs w:val="21"/>
                <w:lang w:eastAsia="en-US"/>
              </w:rPr>
              <w:t>若操作人员经常变换工作位置，则必须在生产设备上配备安全走板。</w:t>
            </w:r>
            <w:r>
              <w:rPr>
                <w:rFonts w:hint="eastAsia" w:cs="宋体"/>
                <w:color w:val="000000" w:themeColor="text1"/>
                <w:kern w:val="0"/>
                <w:sz w:val="21"/>
                <w:szCs w:val="21"/>
                <w:lang w:val="zh-CN" w:eastAsia="en-US"/>
              </w:rPr>
              <w:t>安全走板的宽度应不小于</w:t>
            </w:r>
            <w:r>
              <w:rPr>
                <w:rFonts w:cs="宋体"/>
                <w:color w:val="000000" w:themeColor="text1"/>
                <w:kern w:val="0"/>
                <w:sz w:val="21"/>
                <w:szCs w:val="21"/>
                <w:lang w:val="zh-CN" w:eastAsia="en-US"/>
              </w:rPr>
              <w:t>500mm</w:t>
            </w:r>
            <w:r>
              <w:rPr>
                <w:rFonts w:hint="eastAsia" w:cs="宋体"/>
                <w:color w:val="000000" w:themeColor="text1"/>
                <w:kern w:val="0"/>
                <w:sz w:val="21"/>
                <w:szCs w:val="21"/>
                <w:lang w:val="zh-CN" w:eastAsia="en-US"/>
              </w:rPr>
              <w:t>；</w:t>
            </w:r>
            <w:r>
              <w:rPr>
                <w:rFonts w:cs="宋体"/>
                <w:color w:val="000000" w:themeColor="text1"/>
                <w:kern w:val="0"/>
                <w:sz w:val="21"/>
                <w:szCs w:val="21"/>
                <w:lang w:val="zh-CN" w:eastAsia="en-US"/>
              </w:rPr>
              <w:t>b.</w:t>
            </w:r>
            <w:r>
              <w:rPr>
                <w:rFonts w:hint="eastAsia" w:cs="宋体"/>
                <w:color w:val="000000" w:themeColor="text1"/>
                <w:kern w:val="0"/>
                <w:sz w:val="21"/>
                <w:szCs w:val="21"/>
                <w:lang w:val="zh-CN" w:eastAsia="en-US"/>
              </w:rPr>
              <w:t>若操作人员进行操作、维护、调节的工作位置在坠落基准面</w:t>
            </w:r>
            <w:r>
              <w:rPr>
                <w:rFonts w:cs="宋体"/>
                <w:color w:val="000000" w:themeColor="text1"/>
                <w:kern w:val="0"/>
                <w:sz w:val="21"/>
                <w:szCs w:val="21"/>
                <w:lang w:val="zh-CN" w:eastAsia="en-US"/>
              </w:rPr>
              <w:t>2m</w:t>
            </w:r>
            <w:r>
              <w:rPr>
                <w:rFonts w:hint="eastAsia" w:cs="宋体"/>
                <w:color w:val="000000" w:themeColor="text1"/>
                <w:kern w:val="0"/>
                <w:sz w:val="21"/>
                <w:szCs w:val="21"/>
                <w:lang w:val="zh-CN" w:eastAsia="en-US"/>
              </w:rPr>
              <w:t>以上时，则必须在生产设备上配置供站立的平台和防坠落的护栏、护板或安全圈等；</w:t>
            </w:r>
            <w:r>
              <w:rPr>
                <w:rFonts w:cs="宋体"/>
                <w:color w:val="000000" w:themeColor="text1"/>
                <w:kern w:val="0"/>
                <w:sz w:val="21"/>
                <w:szCs w:val="21"/>
                <w:lang w:val="zh-CN" w:eastAsia="en-US"/>
              </w:rPr>
              <w:t>c.</w:t>
            </w:r>
            <w:r>
              <w:rPr>
                <w:rFonts w:hint="eastAsia" w:cs="宋体"/>
                <w:color w:val="000000" w:themeColor="text1"/>
                <w:kern w:val="0"/>
                <w:sz w:val="21"/>
                <w:szCs w:val="21"/>
                <w:lang w:val="zh-CN" w:eastAsia="en-US"/>
              </w:rPr>
              <w:t>生产设备应具有良好的防渗漏性能。对有可能产生渗漏的生产设备，应有适宜的收集和排放装置，必要时，应设有特殊防滑地板。</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5.7.4</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氟化分公司按要求设置了相应的安全防护措施（护栏、盖板等）。</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6</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以操作人员的操作位置所在平面为基准，凡高度在</w:t>
            </w:r>
            <w:r>
              <w:rPr>
                <w:rFonts w:cs="宋体"/>
                <w:color w:val="000000" w:themeColor="text1"/>
                <w:kern w:val="0"/>
                <w:sz w:val="21"/>
                <w:szCs w:val="21"/>
                <w:lang w:eastAsia="en-US"/>
              </w:rPr>
              <w:t>2m</w:t>
            </w:r>
            <w:r>
              <w:rPr>
                <w:rFonts w:hint="eastAsia" w:cs="宋体"/>
                <w:color w:val="000000" w:themeColor="text1"/>
                <w:kern w:val="0"/>
                <w:sz w:val="21"/>
                <w:szCs w:val="21"/>
                <w:lang w:eastAsia="en-US"/>
              </w:rPr>
              <w:t>之内的所有传动带、转轴、传动链、联轴节、带轮、齿轮、飞轮、链轮、电锯等外露危险零部件及危险部位，都必须设置安全防护装置。</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6.1.6</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氟化分公司的相关设备设施按要求设置了安全防护设施（防护罩、网等）。</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7</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应优先采用先进的生产工艺、技术和原材料，工艺流程的设计宜使操作人员远离热源，同时根据其具体条件采取必要的隔热、通风、降温等措施，消除高温职业危害。</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《工业企业设计卫生标准》（</w:t>
            </w:r>
            <w:r>
              <w:rPr>
                <w:rFonts w:cs="宋体"/>
                <w:color w:val="000000" w:themeColor="text1"/>
                <w:kern w:val="0"/>
                <w:sz w:val="21"/>
                <w:szCs w:val="21"/>
                <w:lang w:eastAsia="en-US"/>
              </w:rPr>
              <w:t>GBZ1-2010</w:t>
            </w:r>
            <w:r>
              <w:rPr>
                <w:rFonts w:hint="eastAsia" w:cs="宋体"/>
                <w:color w:val="000000" w:themeColor="text1"/>
                <w:kern w:val="0"/>
                <w:sz w:val="21"/>
                <w:szCs w:val="21"/>
                <w:lang w:eastAsia="en-US"/>
              </w:rPr>
              <w:t>）</w:t>
            </w:r>
            <w:r>
              <w:rPr>
                <w:rFonts w:cs="宋体"/>
                <w:color w:val="000000" w:themeColor="text1"/>
                <w:kern w:val="0"/>
                <w:sz w:val="21"/>
                <w:szCs w:val="21"/>
                <w:lang w:eastAsia="en-US"/>
              </w:rPr>
              <w:t>6.2.1.1</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公司生产采用的生产工艺属于国内较成熟的生产工艺。生产过程中为作业人员配备必要的劳动防护用品。</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18</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应采用没有危害或危害较小的新工艺、新技术、新设备。淘汰职业病危害严重又难以治理的落后的工艺和设备，降低、减少、削弱生产过程对环境和操作人员的危害。</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《化工企业安全卫生设计规范》（</w:t>
            </w:r>
            <w:r>
              <w:rPr>
                <w:rFonts w:cs="宋体"/>
                <w:color w:val="000000" w:themeColor="text1"/>
                <w:kern w:val="0"/>
                <w:sz w:val="21"/>
                <w:szCs w:val="21"/>
                <w:lang w:eastAsia="en-US"/>
              </w:rPr>
              <w:t>HG20571-2014</w:t>
            </w:r>
            <w:r>
              <w:rPr>
                <w:rFonts w:hint="eastAsia" w:cs="宋体"/>
                <w:color w:val="000000" w:themeColor="text1"/>
                <w:kern w:val="0"/>
                <w:sz w:val="21"/>
                <w:szCs w:val="21"/>
                <w:lang w:eastAsia="en-US"/>
              </w:rPr>
              <w:t>）</w:t>
            </w:r>
            <w:r>
              <w:rPr>
                <w:rFonts w:hint="eastAsia" w:cs="宋体"/>
                <w:color w:val="000000" w:themeColor="text1"/>
                <w:kern w:val="0"/>
                <w:sz w:val="21"/>
                <w:szCs w:val="21"/>
                <w:lang w:val="en-US" w:eastAsia="zh-CN"/>
              </w:rPr>
              <w:t>第</w:t>
            </w:r>
            <w:r>
              <w:rPr>
                <w:rFonts w:cs="宋体"/>
                <w:color w:val="000000" w:themeColor="text1"/>
                <w:kern w:val="0"/>
                <w:sz w:val="21"/>
                <w:szCs w:val="21"/>
                <w:lang w:eastAsia="en-US"/>
              </w:rPr>
              <w:t>3.3.2</w:t>
            </w:r>
            <w:r>
              <w:rPr>
                <w:rFonts w:hint="eastAsia" w:cs="宋体"/>
                <w:color w:val="000000" w:themeColor="text1"/>
                <w:kern w:val="0"/>
                <w:sz w:val="21"/>
                <w:szCs w:val="21"/>
                <w:lang w:val="en-US" w:eastAsia="zh-CN"/>
              </w:rPr>
              <w:t>条</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氟化分公司采用的生产工艺、工艺设备为国内较为成熟的设备。</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19</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各种仪器、仪表、监测记录装置等，必须选用合理，灵敏可靠，易于辨识。</w:t>
            </w:r>
          </w:p>
        </w:tc>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《生产过程安全卫生要求总则》（GB/T12801-2008）</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氟化分公司工艺系统的各种仪器、仪表、监测记录装置选用合理，仪器、仪表定期检验合格，灵敏可靠。</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560"/>
        <w:rPr>
          <w:color w:val="000000" w:themeColor="text1"/>
        </w:rPr>
      </w:pPr>
    </w:p>
    <w:p>
      <w:pPr>
        <w:ind w:firstLine="560"/>
        <w:rPr>
          <w:rFonts w:ascii="宋体" w:hAnsi="宋体"/>
          <w:color w:val="000000" w:themeColor="text1"/>
          <w:szCs w:val="28"/>
          <w:lang w:val="zh-CN"/>
        </w:rPr>
      </w:pPr>
      <w:r>
        <w:rPr>
          <w:rFonts w:hint="eastAsia"/>
          <w:color w:val="000000" w:themeColor="text1"/>
        </w:rPr>
        <w:t>通过检查表评价可知：</w:t>
      </w:r>
      <w:r>
        <w:rPr>
          <w:rFonts w:hint="eastAsia"/>
          <w:color w:val="000000" w:themeColor="text1"/>
          <w:lang w:eastAsia="zh-CN"/>
        </w:rPr>
        <w:t>昆明合起工贸有限公司澄江氟化分公司</w:t>
      </w:r>
      <w:r>
        <w:rPr>
          <w:rFonts w:hint="eastAsia"/>
          <w:color w:val="000000" w:themeColor="text1"/>
        </w:rPr>
        <w:t>生产工艺及设备设施符合《生产设备安全卫生设计总则》（GB5083-1999）、《工业企业设计卫生标准》（GBZ1-2010）、《化工企业安全卫生设计规范》（HG20571-2014）的规定。</w:t>
      </w:r>
    </w:p>
    <w:p>
      <w:pPr>
        <w:pStyle w:val="5"/>
        <w:keepNext w:val="0"/>
        <w:keepLines w:val="0"/>
        <w:ind w:firstLine="562"/>
      </w:pPr>
      <w:bookmarkStart w:id="2675" w:name="_Toc18214"/>
      <w:bookmarkStart w:id="2676" w:name="_Toc4045"/>
      <w:bookmarkStart w:id="2677" w:name="_Toc21754"/>
      <w:bookmarkStart w:id="2678" w:name="_Toc16363"/>
      <w:bookmarkStart w:id="2679" w:name="_Toc15890"/>
      <w:bookmarkStart w:id="2680" w:name="_Toc27765"/>
      <w:bookmarkStart w:id="2681" w:name="_Toc5715"/>
      <w:bookmarkStart w:id="2682" w:name="_Toc19752"/>
      <w:bookmarkStart w:id="2683" w:name="_Toc10371"/>
      <w:bookmarkStart w:id="2684" w:name="_Toc22457"/>
      <w:bookmarkStart w:id="2685" w:name="_Toc128056532"/>
      <w:bookmarkStart w:id="2686" w:name="_Toc27786"/>
      <w:bookmarkStart w:id="2687" w:name="_Toc10434"/>
      <w:bookmarkStart w:id="2688" w:name="_Toc1897"/>
      <w:r>
        <w:rPr>
          <w:rFonts w:hint="eastAsia"/>
        </w:rPr>
        <w:t>4.</w:t>
      </w:r>
      <w:r>
        <w:rPr>
          <w:rFonts w:hint="eastAsia"/>
          <w:lang w:val="en-US" w:eastAsia="zh-CN"/>
        </w:rPr>
        <w:t>2</w:t>
      </w:r>
      <w:r>
        <w:rPr>
          <w:rFonts w:hint="eastAsia"/>
        </w:rPr>
        <w:t>.</w:t>
      </w:r>
      <w:r>
        <w:t>2</w:t>
      </w:r>
      <w:r>
        <w:rPr>
          <w:rFonts w:hint="eastAsia"/>
        </w:rPr>
        <w:tab/>
      </w:r>
      <w:r>
        <w:rPr>
          <w:rFonts w:hint="eastAsia"/>
        </w:rPr>
        <w:t xml:space="preserve"> 作业条件危险性评价法评价</w:t>
      </w:r>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p>
    <w:p>
      <w:pPr>
        <w:pStyle w:val="58"/>
        <w:topLinePunct/>
        <w:ind w:firstLine="560"/>
        <w:rPr>
          <w:color w:val="auto"/>
          <w:szCs w:val="28"/>
        </w:rPr>
      </w:pPr>
      <w:bookmarkStart w:id="2689" w:name="_Toc525367336"/>
      <w:bookmarkStart w:id="2690" w:name="_Toc62740978"/>
      <w:bookmarkStart w:id="2691" w:name="_Toc62219376"/>
      <w:r>
        <w:rPr>
          <w:rFonts w:ascii="宋体" w:hAnsi="宋体"/>
          <w:color w:val="auto"/>
          <w:szCs w:val="28"/>
        </w:rPr>
        <w:t>氟硅酸镁生产包括中和</w:t>
      </w:r>
      <w:r>
        <w:rPr>
          <w:rFonts w:hint="eastAsia" w:ascii="宋体" w:hAnsi="宋体"/>
          <w:color w:val="auto"/>
          <w:szCs w:val="28"/>
        </w:rPr>
        <w:t>、浓缩结晶、干燥包装三个工序</w:t>
      </w:r>
      <w:r>
        <w:rPr>
          <w:rFonts w:hint="eastAsia"/>
          <w:color w:val="auto"/>
          <w:szCs w:val="28"/>
        </w:rPr>
        <w:t>。</w:t>
      </w:r>
    </w:p>
    <w:p>
      <w:pPr>
        <w:pStyle w:val="58"/>
        <w:topLinePunct/>
        <w:ind w:firstLine="560"/>
        <w:rPr>
          <w:color w:val="auto"/>
          <w:szCs w:val="28"/>
        </w:rPr>
      </w:pPr>
      <w:r>
        <w:rPr>
          <w:rFonts w:hint="eastAsia" w:hAnsi="宋体"/>
          <w:color w:val="auto"/>
          <w:kern w:val="0"/>
          <w:szCs w:val="28"/>
        </w:rPr>
        <w:t>氟硅酸生产只涉及浓缩过程。</w:t>
      </w:r>
    </w:p>
    <w:p>
      <w:pPr>
        <w:pStyle w:val="58"/>
        <w:topLinePunct/>
        <w:ind w:firstLine="560"/>
        <w:rPr>
          <w:color w:val="auto"/>
          <w:szCs w:val="28"/>
        </w:rPr>
      </w:pPr>
      <w:r>
        <w:rPr>
          <w:color w:val="auto"/>
          <w:szCs w:val="28"/>
        </w:rPr>
        <w:t>通过</w:t>
      </w:r>
      <w:r>
        <w:rPr>
          <w:rFonts w:hint="eastAsia"/>
          <w:color w:val="auto"/>
          <w:szCs w:val="28"/>
          <w:lang w:val="en-US" w:eastAsia="zh-CN"/>
        </w:rPr>
        <w:t>作业条件</w:t>
      </w:r>
      <w:r>
        <w:rPr>
          <w:color w:val="auto"/>
          <w:szCs w:val="28"/>
        </w:rPr>
        <w:t>危险性</w:t>
      </w:r>
      <w:r>
        <w:rPr>
          <w:rFonts w:hint="eastAsia"/>
          <w:color w:val="auto"/>
          <w:szCs w:val="28"/>
          <w:lang w:val="en-US" w:eastAsia="zh-CN"/>
        </w:rPr>
        <w:t>评价法</w:t>
      </w:r>
      <w:r>
        <w:rPr>
          <w:color w:val="auto"/>
          <w:szCs w:val="28"/>
        </w:rPr>
        <w:t>分析，可知在生产过程中危险事件发生可能性L，由于是有可能发生，因此L值取3；操作过程</w:t>
      </w:r>
      <w:r>
        <w:rPr>
          <w:rFonts w:hint="eastAsia"/>
          <w:color w:val="auto"/>
          <w:szCs w:val="28"/>
        </w:rPr>
        <w:t>每周一次或偶尔暴露</w:t>
      </w:r>
      <w:r>
        <w:rPr>
          <w:color w:val="auto"/>
          <w:szCs w:val="28"/>
        </w:rPr>
        <w:t>在危险环境中，因此E值取6；根据该作业环境中产生的危害对人体伤害和物质损失的可能程度，危险严重度C值取3。按照以上取值计算：</w:t>
      </w:r>
    </w:p>
    <w:p>
      <w:pPr>
        <w:ind w:firstLine="560"/>
        <w:rPr>
          <w:color w:val="auto"/>
          <w:szCs w:val="28"/>
        </w:rPr>
      </w:pPr>
      <w:r>
        <w:rPr>
          <w:color w:val="auto"/>
          <w:szCs w:val="28"/>
        </w:rPr>
        <w:t>危险性（D）＝L×E×C</w:t>
      </w:r>
    </w:p>
    <w:p>
      <w:pPr>
        <w:ind w:firstLine="560"/>
        <w:rPr>
          <w:color w:val="auto"/>
          <w:szCs w:val="28"/>
        </w:rPr>
      </w:pPr>
      <w:r>
        <w:rPr>
          <w:color w:val="auto"/>
          <w:szCs w:val="28"/>
        </w:rPr>
        <w:t xml:space="preserve">           ＝3×6×3</w:t>
      </w:r>
    </w:p>
    <w:p>
      <w:pPr>
        <w:ind w:firstLine="560"/>
        <w:rPr>
          <w:color w:val="auto"/>
          <w:szCs w:val="28"/>
        </w:rPr>
      </w:pPr>
      <w:r>
        <w:rPr>
          <w:color w:val="auto"/>
          <w:szCs w:val="28"/>
        </w:rPr>
        <w:t xml:space="preserve">           ＝54</w:t>
      </w:r>
    </w:p>
    <w:p>
      <w:pPr>
        <w:ind w:firstLine="560"/>
        <w:rPr>
          <w:color w:val="auto"/>
          <w:szCs w:val="28"/>
        </w:rPr>
      </w:pPr>
      <w:r>
        <w:rPr>
          <w:color w:val="auto"/>
          <w:szCs w:val="28"/>
        </w:rPr>
        <w:t>对照危险性程度分级的分数值可以得出</w:t>
      </w:r>
      <w:r>
        <w:rPr>
          <w:rFonts w:hint="eastAsia"/>
          <w:color w:val="auto"/>
          <w:szCs w:val="28"/>
        </w:rPr>
        <w:t>该项目各生产场所的</w:t>
      </w:r>
      <w:r>
        <w:rPr>
          <w:color w:val="auto"/>
          <w:szCs w:val="28"/>
        </w:rPr>
        <w:t>危险性程度。按照以上方法取值，并计算D值，列入</w:t>
      </w:r>
      <w:r>
        <w:rPr>
          <w:rFonts w:hint="eastAsia"/>
          <w:color w:val="auto"/>
          <w:szCs w:val="28"/>
        </w:rPr>
        <w:t>下表</w:t>
      </w:r>
      <w:r>
        <w:rPr>
          <w:color w:val="auto"/>
          <w:szCs w:val="28"/>
        </w:rPr>
        <w:t>。</w:t>
      </w:r>
    </w:p>
    <w:p>
      <w:pPr>
        <w:adjustRightInd/>
        <w:snapToGrid/>
        <w:spacing w:line="240" w:lineRule="auto"/>
        <w:ind w:firstLine="0" w:firstLineChars="0"/>
        <w:jc w:val="center"/>
        <w:rPr>
          <w:color w:val="auto"/>
          <w:sz w:val="24"/>
        </w:rPr>
      </w:pPr>
      <w:r>
        <w:rPr>
          <w:snapToGrid w:val="0"/>
          <w:color w:val="auto"/>
          <w:kern w:val="0"/>
          <w:szCs w:val="28"/>
        </w:rPr>
        <w:t>附</w:t>
      </w:r>
      <w:r>
        <w:rPr>
          <w:rFonts w:hint="eastAsia" w:ascii="宋体" w:hAnsi="宋体"/>
          <w:color w:val="auto"/>
          <w:szCs w:val="28"/>
          <w:lang w:val="zh-CN"/>
        </w:rPr>
        <w:t>表4.2-</w:t>
      </w:r>
      <w:r>
        <w:rPr>
          <w:rFonts w:ascii="宋体" w:hAnsi="宋体"/>
          <w:color w:val="auto"/>
          <w:szCs w:val="28"/>
          <w:lang w:val="zh-CN"/>
        </w:rPr>
        <w:t>2</w:t>
      </w:r>
      <w:r>
        <w:rPr>
          <w:rFonts w:hint="eastAsia" w:ascii="宋体" w:hAnsi="宋体"/>
          <w:color w:val="auto"/>
          <w:szCs w:val="28"/>
          <w:lang w:val="zh-CN"/>
        </w:rPr>
        <w:t xml:space="preserve"> </w:t>
      </w:r>
      <w:r>
        <w:rPr>
          <w:rFonts w:ascii="宋体" w:hAnsi="宋体"/>
          <w:color w:val="auto"/>
          <w:szCs w:val="28"/>
          <w:lang w:val="zh-CN"/>
        </w:rPr>
        <w:t xml:space="preserve"> </w:t>
      </w:r>
      <w:r>
        <w:rPr>
          <w:rFonts w:hint="eastAsia" w:ascii="宋体" w:hAnsi="宋体"/>
          <w:color w:val="auto"/>
          <w:szCs w:val="28"/>
          <w:lang w:val="zh-CN"/>
        </w:rPr>
        <w:t>LEC评价表</w:t>
      </w:r>
    </w:p>
    <w:tbl>
      <w:tblPr>
        <w:tblStyle w:val="3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417"/>
        <w:gridCol w:w="1985"/>
        <w:gridCol w:w="737"/>
        <w:gridCol w:w="737"/>
        <w:gridCol w:w="737"/>
        <w:gridCol w:w="737"/>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268" w:type="dxa"/>
            <w:gridSpan w:val="2"/>
            <w:tcBorders>
              <w:tl2br w:val="single" w:color="auto" w:sz="4" w:space="0"/>
            </w:tcBorders>
          </w:tcPr>
          <w:p>
            <w:pPr>
              <w:spacing w:line="240" w:lineRule="exact"/>
              <w:ind w:firstLine="0" w:firstLineChars="0"/>
              <w:jc w:val="center"/>
              <w:rPr>
                <w:rFonts w:hint="eastAsia"/>
                <w:b/>
                <w:bCs/>
                <w:color w:val="auto"/>
                <w:sz w:val="21"/>
                <w:szCs w:val="21"/>
              </w:rPr>
            </w:pPr>
            <w:r>
              <w:rPr>
                <w:rFonts w:hint="eastAsia"/>
                <w:b/>
                <w:bCs/>
                <w:color w:val="auto"/>
                <w:sz w:val="21"/>
                <w:szCs w:val="21"/>
                <w:lang w:val="en-US" w:eastAsia="zh-CN"/>
              </w:rPr>
              <w:t xml:space="preserve">             </w:t>
            </w:r>
            <w:r>
              <w:rPr>
                <w:rFonts w:hint="eastAsia"/>
                <w:b/>
                <w:bCs/>
                <w:color w:val="auto"/>
                <w:sz w:val="21"/>
                <w:szCs w:val="21"/>
              </w:rPr>
              <w:t xml:space="preserve">单元             </w:t>
            </w:r>
          </w:p>
          <w:p>
            <w:pPr>
              <w:spacing w:line="240" w:lineRule="exact"/>
              <w:ind w:firstLine="211" w:firstLineChars="100"/>
              <w:jc w:val="both"/>
              <w:rPr>
                <w:b/>
                <w:bCs/>
                <w:color w:val="auto"/>
                <w:sz w:val="21"/>
                <w:szCs w:val="21"/>
              </w:rPr>
            </w:pPr>
            <w:r>
              <w:rPr>
                <w:rFonts w:hint="eastAsia"/>
                <w:b/>
                <w:bCs/>
                <w:color w:val="auto"/>
                <w:sz w:val="21"/>
                <w:szCs w:val="21"/>
              </w:rPr>
              <w:t>项目</w:t>
            </w:r>
          </w:p>
        </w:tc>
        <w:tc>
          <w:tcPr>
            <w:tcW w:w="1985" w:type="dxa"/>
            <w:vAlign w:val="center"/>
          </w:tcPr>
          <w:p>
            <w:pPr>
              <w:spacing w:line="240" w:lineRule="exact"/>
              <w:ind w:firstLine="0" w:firstLineChars="0"/>
              <w:jc w:val="center"/>
              <w:rPr>
                <w:b/>
                <w:bCs/>
                <w:color w:val="auto"/>
                <w:sz w:val="21"/>
                <w:szCs w:val="21"/>
              </w:rPr>
            </w:pPr>
            <w:r>
              <w:rPr>
                <w:rFonts w:hint="eastAsia"/>
                <w:b/>
                <w:bCs/>
                <w:color w:val="auto"/>
                <w:sz w:val="21"/>
                <w:szCs w:val="21"/>
              </w:rPr>
              <w:t>事故类型</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L</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E</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C</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D</w:t>
            </w:r>
          </w:p>
        </w:tc>
        <w:tc>
          <w:tcPr>
            <w:tcW w:w="1871" w:type="dxa"/>
            <w:vAlign w:val="center"/>
          </w:tcPr>
          <w:p>
            <w:pPr>
              <w:spacing w:line="240" w:lineRule="exact"/>
              <w:ind w:firstLine="0" w:firstLineChars="0"/>
              <w:jc w:val="center"/>
              <w:rPr>
                <w:b/>
                <w:bCs/>
                <w:color w:val="auto"/>
                <w:sz w:val="21"/>
                <w:szCs w:val="21"/>
              </w:rPr>
            </w:pPr>
            <w:r>
              <w:rPr>
                <w:rFonts w:hint="eastAsia"/>
                <w:b/>
                <w:bCs/>
                <w:color w:val="auto"/>
                <w:sz w:val="21"/>
                <w:szCs w:val="21"/>
              </w:rPr>
              <w:t>危险程度分级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restart"/>
            <w:vAlign w:val="center"/>
          </w:tcPr>
          <w:p>
            <w:pPr>
              <w:spacing w:line="240" w:lineRule="exact"/>
              <w:ind w:firstLine="0" w:firstLineChars="0"/>
              <w:jc w:val="center"/>
              <w:rPr>
                <w:bCs/>
                <w:color w:val="auto"/>
                <w:sz w:val="21"/>
                <w:szCs w:val="21"/>
              </w:rPr>
            </w:pPr>
            <w:r>
              <w:rPr>
                <w:bCs/>
                <w:color w:val="auto"/>
                <w:sz w:val="21"/>
                <w:szCs w:val="21"/>
              </w:rPr>
              <w:t>氟硅酸镁生产</w:t>
            </w:r>
          </w:p>
        </w:tc>
        <w:tc>
          <w:tcPr>
            <w:tcW w:w="1417" w:type="dxa"/>
            <w:vMerge w:val="restart"/>
            <w:vAlign w:val="center"/>
          </w:tcPr>
          <w:p>
            <w:pPr>
              <w:spacing w:line="240" w:lineRule="exact"/>
              <w:ind w:firstLine="0" w:firstLineChars="0"/>
              <w:jc w:val="center"/>
              <w:rPr>
                <w:bCs/>
                <w:color w:val="auto"/>
                <w:sz w:val="21"/>
                <w:szCs w:val="21"/>
              </w:rPr>
            </w:pPr>
            <w:r>
              <w:rPr>
                <w:bCs/>
                <w:color w:val="auto"/>
                <w:sz w:val="21"/>
                <w:szCs w:val="21"/>
              </w:rPr>
              <w:t>中</w:t>
            </w:r>
            <w:r>
              <w:rPr>
                <w:rFonts w:hint="eastAsia"/>
                <w:bCs/>
                <w:color w:val="auto"/>
                <w:sz w:val="21"/>
                <w:szCs w:val="21"/>
                <w:lang w:val="en-US" w:eastAsia="zh-CN"/>
              </w:rPr>
              <w:t xml:space="preserve">  </w:t>
            </w:r>
            <w:r>
              <w:rPr>
                <w:bCs/>
                <w:color w:val="auto"/>
                <w:sz w:val="21"/>
                <w:szCs w:val="21"/>
              </w:rPr>
              <w:t>和</w:t>
            </w: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21</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灼</w:t>
            </w:r>
            <w:r>
              <w:rPr>
                <w:rFonts w:hint="eastAsia"/>
                <w:color w:val="auto"/>
                <w:sz w:val="21"/>
                <w:szCs w:val="21"/>
                <w:lang w:val="en-US" w:eastAsia="zh-CN"/>
              </w:rPr>
              <w:t xml:space="preserve">  </w:t>
            </w:r>
            <w:r>
              <w:rPr>
                <w:rFonts w:hint="eastAsia"/>
                <w:color w:val="auto"/>
                <w:sz w:val="21"/>
                <w:szCs w:val="21"/>
              </w:rPr>
              <w:t>烫</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54</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粉</w:t>
            </w:r>
            <w:r>
              <w:rPr>
                <w:rFonts w:hint="eastAsia"/>
                <w:color w:val="auto"/>
                <w:sz w:val="21"/>
                <w:szCs w:val="21"/>
                <w:lang w:val="en-US" w:eastAsia="zh-CN"/>
              </w:rPr>
              <w:t xml:space="preserve">  </w:t>
            </w:r>
            <w:r>
              <w:rPr>
                <w:rFonts w:hint="eastAsia"/>
                <w:color w:val="auto"/>
                <w:sz w:val="21"/>
                <w:szCs w:val="21"/>
              </w:rPr>
              <w:t>尘</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18</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淹</w:t>
            </w:r>
            <w:r>
              <w:rPr>
                <w:rFonts w:hint="eastAsia"/>
                <w:color w:val="auto"/>
                <w:sz w:val="21"/>
                <w:szCs w:val="21"/>
                <w:lang w:val="en-US" w:eastAsia="zh-CN"/>
              </w:rPr>
              <w:t xml:space="preserve">  </w:t>
            </w:r>
            <w:r>
              <w:rPr>
                <w:rFonts w:hint="eastAsia"/>
                <w:color w:val="auto"/>
                <w:sz w:val="21"/>
                <w:szCs w:val="21"/>
              </w:rPr>
              <w:t>溺</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6</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触</w:t>
            </w:r>
            <w:r>
              <w:rPr>
                <w:rFonts w:hint="eastAsia"/>
                <w:color w:val="auto"/>
                <w:sz w:val="21"/>
                <w:szCs w:val="21"/>
                <w:lang w:val="en-US" w:eastAsia="zh-CN"/>
              </w:rPr>
              <w:t xml:space="preserve">  </w:t>
            </w:r>
            <w:r>
              <w:rPr>
                <w:rFonts w:hint="eastAsia"/>
                <w:color w:val="auto"/>
                <w:sz w:val="21"/>
                <w:szCs w:val="21"/>
              </w:rPr>
              <w:t>电</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3</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浓缩结晶</w:t>
            </w: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21</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灼</w:t>
            </w:r>
            <w:r>
              <w:rPr>
                <w:rFonts w:hint="eastAsia"/>
                <w:color w:val="auto"/>
                <w:sz w:val="21"/>
                <w:szCs w:val="21"/>
                <w:lang w:val="en-US" w:eastAsia="zh-CN"/>
              </w:rPr>
              <w:t xml:space="preserve">  </w:t>
            </w:r>
            <w:r>
              <w:rPr>
                <w:rFonts w:hint="eastAsia"/>
                <w:color w:val="auto"/>
                <w:sz w:val="21"/>
                <w:szCs w:val="21"/>
              </w:rPr>
              <w:t>烫</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爆</w:t>
            </w:r>
            <w:r>
              <w:rPr>
                <w:rFonts w:hint="eastAsia"/>
                <w:color w:val="auto"/>
                <w:sz w:val="21"/>
                <w:szCs w:val="21"/>
                <w:lang w:val="en-US" w:eastAsia="zh-CN"/>
              </w:rPr>
              <w:t xml:space="preserve">  </w:t>
            </w:r>
            <w:r>
              <w:rPr>
                <w:rFonts w:hint="eastAsia"/>
                <w:color w:val="auto"/>
                <w:sz w:val="21"/>
                <w:szCs w:val="21"/>
              </w:rPr>
              <w:t>炸</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触</w:t>
            </w:r>
            <w:r>
              <w:rPr>
                <w:rFonts w:hint="eastAsia"/>
                <w:color w:val="auto"/>
                <w:sz w:val="21"/>
                <w:szCs w:val="21"/>
                <w:lang w:val="en-US" w:eastAsia="zh-CN"/>
              </w:rPr>
              <w:t xml:space="preserve">  </w:t>
            </w:r>
            <w:r>
              <w:rPr>
                <w:rFonts w:hint="eastAsia"/>
                <w:color w:val="auto"/>
                <w:sz w:val="21"/>
                <w:szCs w:val="21"/>
              </w:rPr>
              <w:t>电</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3</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420"/>
              <w:jc w:val="center"/>
              <w:rPr>
                <w:bCs/>
                <w:color w:val="auto"/>
                <w:sz w:val="21"/>
                <w:szCs w:val="21"/>
              </w:rPr>
            </w:pPr>
          </w:p>
        </w:tc>
        <w:tc>
          <w:tcPr>
            <w:tcW w:w="1417" w:type="dxa"/>
            <w:vMerge w:val="continue"/>
            <w:vAlign w:val="center"/>
          </w:tcPr>
          <w:p>
            <w:pPr>
              <w:spacing w:line="240" w:lineRule="exact"/>
              <w:ind w:firstLine="42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化学腐蚀</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54</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干燥包装</w:t>
            </w: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21</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ab/>
            </w: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54</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灼</w:t>
            </w:r>
            <w:r>
              <w:rPr>
                <w:rFonts w:hint="eastAsia"/>
                <w:color w:val="auto"/>
                <w:sz w:val="21"/>
                <w:szCs w:val="21"/>
                <w:lang w:val="en-US" w:eastAsia="zh-CN"/>
              </w:rPr>
              <w:t xml:space="preserve">  </w:t>
            </w:r>
            <w:r>
              <w:rPr>
                <w:rFonts w:hint="eastAsia"/>
                <w:color w:val="auto"/>
                <w:sz w:val="21"/>
                <w:szCs w:val="21"/>
              </w:rPr>
              <w:t>烫</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粉</w:t>
            </w:r>
            <w:r>
              <w:rPr>
                <w:rFonts w:hint="eastAsia"/>
                <w:color w:val="auto"/>
                <w:sz w:val="21"/>
                <w:szCs w:val="21"/>
                <w:lang w:val="en-US" w:eastAsia="zh-CN"/>
              </w:rPr>
              <w:t xml:space="preserve">  </w:t>
            </w:r>
            <w:r>
              <w:rPr>
                <w:rFonts w:hint="eastAsia"/>
                <w:color w:val="auto"/>
                <w:sz w:val="21"/>
                <w:szCs w:val="21"/>
              </w:rPr>
              <w:t>尘</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18</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噪</w:t>
            </w:r>
            <w:r>
              <w:rPr>
                <w:rFonts w:hint="eastAsia"/>
                <w:color w:val="auto"/>
                <w:sz w:val="21"/>
                <w:szCs w:val="21"/>
                <w:lang w:val="en-US" w:eastAsia="zh-CN"/>
              </w:rPr>
              <w:t xml:space="preserve">  </w:t>
            </w:r>
            <w:r>
              <w:rPr>
                <w:rFonts w:hint="eastAsia"/>
                <w:color w:val="auto"/>
                <w:sz w:val="21"/>
                <w:szCs w:val="21"/>
              </w:rPr>
              <w:t>声</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0.2</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1.2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restart"/>
            <w:vAlign w:val="center"/>
          </w:tcPr>
          <w:p>
            <w:pPr>
              <w:spacing w:line="240" w:lineRule="exact"/>
              <w:ind w:firstLine="0" w:firstLineChars="0"/>
              <w:jc w:val="center"/>
              <w:rPr>
                <w:bCs/>
                <w:color w:val="auto"/>
                <w:sz w:val="21"/>
                <w:szCs w:val="21"/>
              </w:rPr>
            </w:pPr>
            <w:r>
              <w:rPr>
                <w:bCs/>
                <w:color w:val="auto"/>
                <w:sz w:val="21"/>
                <w:szCs w:val="21"/>
              </w:rPr>
              <w:t>氟硅酸生产</w:t>
            </w:r>
          </w:p>
        </w:tc>
        <w:tc>
          <w:tcPr>
            <w:tcW w:w="1417" w:type="dxa"/>
            <w:vMerge w:val="restart"/>
            <w:vAlign w:val="center"/>
          </w:tcPr>
          <w:p>
            <w:pPr>
              <w:spacing w:line="240" w:lineRule="exact"/>
              <w:ind w:firstLine="0" w:firstLineChars="0"/>
              <w:jc w:val="center"/>
              <w:rPr>
                <w:bCs/>
                <w:color w:val="auto"/>
                <w:sz w:val="21"/>
                <w:szCs w:val="21"/>
              </w:rPr>
            </w:pPr>
            <w:r>
              <w:rPr>
                <w:bCs/>
                <w:color w:val="auto"/>
                <w:sz w:val="21"/>
                <w:szCs w:val="21"/>
              </w:rPr>
              <w:t>浓</w:t>
            </w:r>
            <w:r>
              <w:rPr>
                <w:rFonts w:hint="eastAsia"/>
                <w:bCs/>
                <w:color w:val="auto"/>
                <w:sz w:val="21"/>
                <w:szCs w:val="21"/>
                <w:lang w:val="en-US" w:eastAsia="zh-CN"/>
              </w:rPr>
              <w:t xml:space="preserve">  </w:t>
            </w:r>
            <w:r>
              <w:rPr>
                <w:bCs/>
                <w:color w:val="auto"/>
                <w:sz w:val="21"/>
                <w:szCs w:val="21"/>
              </w:rPr>
              <w:t>缩</w:t>
            </w: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21</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灼</w:t>
            </w:r>
            <w:r>
              <w:rPr>
                <w:rFonts w:hint="eastAsia"/>
                <w:color w:val="auto"/>
                <w:sz w:val="21"/>
                <w:szCs w:val="21"/>
                <w:lang w:val="en-US" w:eastAsia="zh-CN"/>
              </w:rPr>
              <w:t xml:space="preserve">  </w:t>
            </w:r>
            <w:r>
              <w:rPr>
                <w:rFonts w:hint="eastAsia"/>
                <w:color w:val="auto"/>
                <w:sz w:val="21"/>
                <w:szCs w:val="21"/>
              </w:rPr>
              <w:t>烫</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54</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淹</w:t>
            </w:r>
            <w:r>
              <w:rPr>
                <w:rFonts w:hint="eastAsia"/>
                <w:color w:val="auto"/>
                <w:sz w:val="21"/>
                <w:szCs w:val="21"/>
                <w:lang w:val="en-US" w:eastAsia="zh-CN"/>
              </w:rPr>
              <w:t xml:space="preserve">  </w:t>
            </w:r>
            <w:r>
              <w:rPr>
                <w:rFonts w:hint="eastAsia"/>
                <w:color w:val="auto"/>
                <w:sz w:val="21"/>
                <w:szCs w:val="21"/>
              </w:rPr>
              <w:t>溺</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6</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 w:type="dxa"/>
            <w:vMerge w:val="continue"/>
            <w:vAlign w:val="center"/>
          </w:tcPr>
          <w:p>
            <w:pPr>
              <w:spacing w:line="240" w:lineRule="exact"/>
              <w:ind w:firstLine="0" w:firstLineChars="0"/>
              <w:jc w:val="center"/>
              <w:rPr>
                <w:bCs/>
                <w:color w:val="auto"/>
                <w:sz w:val="21"/>
                <w:szCs w:val="21"/>
              </w:rPr>
            </w:pPr>
          </w:p>
        </w:tc>
        <w:tc>
          <w:tcPr>
            <w:tcW w:w="1417" w:type="dxa"/>
            <w:vMerge w:val="continue"/>
            <w:vAlign w:val="center"/>
          </w:tcPr>
          <w:p>
            <w:pPr>
              <w:spacing w:line="240" w:lineRule="exact"/>
              <w:ind w:firstLine="0" w:firstLineChars="0"/>
              <w:jc w:val="center"/>
              <w:rPr>
                <w:bCs/>
                <w:color w:val="auto"/>
                <w:sz w:val="21"/>
                <w:szCs w:val="21"/>
              </w:rPr>
            </w:pPr>
          </w:p>
        </w:tc>
        <w:tc>
          <w:tcPr>
            <w:tcW w:w="1985" w:type="dxa"/>
            <w:vAlign w:val="center"/>
          </w:tcPr>
          <w:p>
            <w:pPr>
              <w:snapToGrid/>
              <w:spacing w:line="280" w:lineRule="exact"/>
              <w:ind w:firstLine="0" w:firstLineChars="0"/>
              <w:jc w:val="center"/>
              <w:rPr>
                <w:color w:val="auto"/>
                <w:sz w:val="21"/>
                <w:szCs w:val="21"/>
              </w:rPr>
            </w:pPr>
            <w:r>
              <w:rPr>
                <w:rFonts w:hint="eastAsia"/>
                <w:color w:val="auto"/>
                <w:sz w:val="21"/>
                <w:szCs w:val="21"/>
              </w:rPr>
              <w:t>噪</w:t>
            </w:r>
            <w:r>
              <w:rPr>
                <w:rFonts w:hint="eastAsia"/>
                <w:color w:val="auto"/>
                <w:sz w:val="21"/>
                <w:szCs w:val="21"/>
                <w:lang w:val="en-US" w:eastAsia="zh-CN"/>
              </w:rPr>
              <w:t xml:space="preserve">  </w:t>
            </w:r>
            <w:r>
              <w:rPr>
                <w:rFonts w:hint="eastAsia"/>
                <w:color w:val="auto"/>
                <w:sz w:val="21"/>
                <w:szCs w:val="21"/>
              </w:rPr>
              <w:t>声</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0.2</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1.2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稍有危险</w:t>
            </w:r>
          </w:p>
        </w:tc>
      </w:tr>
    </w:tbl>
    <w:p>
      <w:pPr>
        <w:ind w:firstLine="560"/>
        <w:rPr>
          <w:color w:val="000000" w:themeColor="text1"/>
        </w:rPr>
      </w:pPr>
    </w:p>
    <w:p>
      <w:pPr>
        <w:topLinePunct/>
        <w:ind w:firstLine="560"/>
        <w:rPr>
          <w:rFonts w:ascii="宋体" w:hAnsi="宋体" w:cs="Tahoma"/>
          <w:color w:val="auto"/>
          <w:szCs w:val="28"/>
        </w:rPr>
      </w:pPr>
      <w:r>
        <w:rPr>
          <w:rFonts w:hint="eastAsia"/>
          <w:color w:val="000000" w:themeColor="text1"/>
        </w:rPr>
        <w:t>通过检查表评价可知：</w:t>
      </w:r>
      <w:r>
        <w:rPr>
          <w:rFonts w:ascii="宋体" w:hAnsi="宋体" w:cs="Tahoma"/>
          <w:color w:val="auto"/>
          <w:szCs w:val="28"/>
        </w:rPr>
        <w:t>项目生产工艺</w:t>
      </w:r>
      <w:r>
        <w:rPr>
          <w:rFonts w:hint="eastAsia" w:ascii="宋体" w:hAnsi="宋体" w:cs="Tahoma"/>
          <w:color w:val="auto"/>
          <w:szCs w:val="28"/>
        </w:rPr>
        <w:t>、</w:t>
      </w:r>
      <w:r>
        <w:rPr>
          <w:rFonts w:ascii="宋体" w:hAnsi="宋体" w:cs="Tahoma"/>
          <w:color w:val="auto"/>
          <w:szCs w:val="28"/>
        </w:rPr>
        <w:t>设备为国内成熟工艺</w:t>
      </w:r>
      <w:r>
        <w:rPr>
          <w:rFonts w:hint="eastAsia" w:ascii="宋体" w:hAnsi="宋体" w:cs="Tahoma"/>
          <w:color w:val="auto"/>
          <w:szCs w:val="28"/>
        </w:rPr>
        <w:t>、设备生产，不属于国家明令禁止使用或淘汰的。生产设备为正规厂家生产，生产设施、设备安全维护符合相关要求，生产工艺过程及作业场所符合相关安全规范。</w:t>
      </w:r>
    </w:p>
    <w:p>
      <w:pPr>
        <w:topLinePunct/>
        <w:ind w:firstLine="560"/>
        <w:rPr>
          <w:color w:val="000000" w:themeColor="text1"/>
          <w:szCs w:val="28"/>
        </w:rPr>
      </w:pPr>
      <w:r>
        <w:rPr>
          <w:rFonts w:hint="eastAsia" w:ascii="宋体" w:hAnsi="宋体" w:cs="Tahoma"/>
          <w:color w:val="auto"/>
          <w:szCs w:val="28"/>
        </w:rPr>
        <w:t>根据作业条件危险性评价法评价知，生产过程中，中毒窒息、灼烫、机械伤害、爆炸、化学腐蚀为可能危险等级，粉尘、淹溺、触电、噪声为稍有危险等级；</w:t>
      </w:r>
      <w:r>
        <w:rPr>
          <w:rFonts w:hint="eastAsia" w:ascii="宋体" w:hAnsi="宋体" w:cs="Tahoma"/>
          <w:color w:val="auto"/>
          <w:szCs w:val="28"/>
        </w:rPr>
        <w:tab/>
      </w:r>
      <w:r>
        <w:rPr>
          <w:rFonts w:hint="eastAsia" w:ascii="宋体" w:hAnsi="宋体" w:cs="Tahoma"/>
          <w:color w:val="auto"/>
          <w:szCs w:val="28"/>
        </w:rPr>
        <w:t>其中若发生触电、淹溺事故，</w:t>
      </w:r>
      <w:r>
        <w:rPr>
          <w:rFonts w:hint="eastAsia" w:ascii="宋体" w:hAnsi="宋体" w:cs="Tahoma"/>
          <w:color w:val="auto"/>
          <w:szCs w:val="28"/>
          <w:lang w:val="en-US" w:eastAsia="zh-CN"/>
        </w:rPr>
        <w:t>机械伤害、</w:t>
      </w:r>
      <w:r>
        <w:rPr>
          <w:rFonts w:hint="eastAsia" w:ascii="宋体" w:hAnsi="宋体" w:cs="Tahoma"/>
          <w:color w:val="auto"/>
          <w:szCs w:val="28"/>
        </w:rPr>
        <w:t>灼烫</w:t>
      </w:r>
      <w:r>
        <w:rPr>
          <w:rFonts w:hint="eastAsia" w:ascii="宋体" w:hAnsi="宋体" w:cs="Tahoma"/>
          <w:color w:val="auto"/>
          <w:szCs w:val="28"/>
          <w:lang w:val="en-US" w:eastAsia="zh-CN"/>
        </w:rPr>
        <w:t>等</w:t>
      </w:r>
      <w:r>
        <w:rPr>
          <w:rFonts w:hint="eastAsia" w:ascii="宋体" w:hAnsi="宋体" w:cs="Tahoma"/>
          <w:color w:val="auto"/>
          <w:szCs w:val="28"/>
        </w:rPr>
        <w:t>可能造成人员伤亡，企业在</w:t>
      </w:r>
      <w:r>
        <w:rPr>
          <w:rFonts w:ascii="宋体" w:hAnsi="宋体" w:cs="Tahoma"/>
          <w:color w:val="auto"/>
          <w:szCs w:val="28"/>
        </w:rPr>
        <w:t>生产过程中</w:t>
      </w:r>
      <w:r>
        <w:rPr>
          <w:rFonts w:hint="eastAsia" w:ascii="宋体" w:hAnsi="宋体" w:cs="Tahoma"/>
          <w:color w:val="auto"/>
          <w:szCs w:val="28"/>
        </w:rPr>
        <w:t>的安全工作</w:t>
      </w:r>
      <w:r>
        <w:rPr>
          <w:rFonts w:ascii="宋体" w:hAnsi="宋体" w:cs="Tahoma"/>
          <w:color w:val="auto"/>
          <w:szCs w:val="28"/>
        </w:rPr>
        <w:t>予以高度重视</w:t>
      </w:r>
      <w:r>
        <w:rPr>
          <w:rFonts w:hint="eastAsia" w:ascii="宋体" w:hAnsi="宋体" w:cs="Tahoma"/>
          <w:color w:val="auto"/>
          <w:szCs w:val="28"/>
        </w:rPr>
        <w:t>，并加</w:t>
      </w:r>
      <w:r>
        <w:rPr>
          <w:rFonts w:hint="eastAsia" w:ascii="宋体" w:hAnsi="宋体" w:cs="Tahoma"/>
          <w:color w:val="auto"/>
          <w:szCs w:val="28"/>
          <w:lang w:val="en-US" w:eastAsia="zh-CN"/>
        </w:rPr>
        <w:t>强</w:t>
      </w:r>
      <w:r>
        <w:rPr>
          <w:rFonts w:hint="eastAsia" w:ascii="宋体" w:hAnsi="宋体" w:cs="Tahoma"/>
          <w:color w:val="auto"/>
          <w:szCs w:val="28"/>
        </w:rPr>
        <w:t>作业场所的安全管理，防微杜渐，严防事故的发生</w:t>
      </w:r>
      <w:r>
        <w:rPr>
          <w:rFonts w:ascii="宋体" w:hAnsi="宋体" w:cs="Tahoma"/>
          <w:color w:val="auto"/>
          <w:szCs w:val="28"/>
        </w:rPr>
        <w:t>。</w:t>
      </w:r>
      <w:r>
        <w:rPr>
          <w:rFonts w:hint="eastAsia" w:ascii="宋体" w:hAnsi="宋体" w:cs="Tahoma"/>
          <w:color w:val="auto"/>
          <w:szCs w:val="28"/>
        </w:rPr>
        <w:t>日常还</w:t>
      </w:r>
      <w:r>
        <w:rPr>
          <w:rFonts w:ascii="宋体" w:hAnsi="宋体" w:cs="Tahoma"/>
          <w:color w:val="auto"/>
          <w:szCs w:val="28"/>
        </w:rPr>
        <w:t>要加强设备维护管理、精心操作，杜绝</w:t>
      </w:r>
      <w:r>
        <w:rPr>
          <w:rFonts w:hint="eastAsia" w:ascii="宋体" w:hAnsi="宋体" w:cs="Tahoma"/>
          <w:color w:val="auto"/>
          <w:szCs w:val="28"/>
        </w:rPr>
        <w:t>违章作业；不断加强对操作人员的技术、技能培训，提高操作水平和危险自救互救能力。</w:t>
      </w:r>
    </w:p>
    <w:p>
      <w:pPr>
        <w:pStyle w:val="5"/>
        <w:ind w:firstLine="562"/>
      </w:pPr>
      <w:bookmarkStart w:id="2692" w:name="_Toc17852"/>
      <w:bookmarkStart w:id="2693" w:name="_Toc128056533"/>
      <w:bookmarkStart w:id="2694" w:name="_Toc22180"/>
      <w:bookmarkStart w:id="2695" w:name="_Toc14948"/>
      <w:bookmarkStart w:id="2696" w:name="_Toc5861"/>
      <w:bookmarkStart w:id="2697" w:name="_Toc19137"/>
      <w:bookmarkStart w:id="2698" w:name="_Toc18925"/>
      <w:bookmarkStart w:id="2699" w:name="_Toc25822"/>
      <w:bookmarkStart w:id="2700" w:name="_Toc14064"/>
      <w:bookmarkStart w:id="2701" w:name="_Toc31642"/>
      <w:bookmarkStart w:id="2702" w:name="_Toc4175"/>
      <w:bookmarkStart w:id="2703" w:name="_Toc28206"/>
      <w:bookmarkStart w:id="2704" w:name="_Toc21122"/>
      <w:bookmarkStart w:id="2705" w:name="_Toc7323"/>
      <w:r>
        <w:rPr>
          <w:rFonts w:hint="eastAsia"/>
        </w:rPr>
        <w:t>4.</w:t>
      </w:r>
      <w:r>
        <w:rPr>
          <w:rFonts w:hint="eastAsia"/>
          <w:lang w:val="en-US" w:eastAsia="zh-CN"/>
        </w:rPr>
        <w:t>2</w:t>
      </w:r>
      <w:r>
        <w:rPr>
          <w:rFonts w:hint="eastAsia"/>
        </w:rPr>
        <w:t>.3 危险化学品安全检查分析</w:t>
      </w:r>
      <w:bookmarkEnd w:id="2689"/>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p>
    <w:p>
      <w:pPr>
        <w:pStyle w:val="87"/>
        <w:tabs>
          <w:tab w:val="left" w:pos="5460"/>
        </w:tabs>
        <w:overflowPunct/>
        <w:spacing w:before="0" w:after="0" w:line="360" w:lineRule="auto"/>
        <w:ind w:firstLine="560"/>
        <w:textAlignment w:val="auto"/>
        <w:rPr>
          <w:rFonts w:ascii="Times New Roman" w:hAnsi="Times New Roman" w:eastAsia="宋体"/>
          <w:color w:val="000000" w:themeColor="text1"/>
          <w:kern w:val="2"/>
          <w:sz w:val="28"/>
          <w:szCs w:val="28"/>
        </w:rPr>
      </w:pPr>
      <w:r>
        <w:rPr>
          <w:rFonts w:ascii="Times New Roman" w:hAnsi="Times New Roman" w:eastAsia="宋体"/>
          <w:color w:val="000000" w:themeColor="text1"/>
          <w:kern w:val="2"/>
          <w:sz w:val="28"/>
          <w:szCs w:val="28"/>
        </w:rPr>
        <w:t>本节采用安全检查表法检查储存设施是否满足我国有关法律法规和标准的要求作出评价。</w:t>
      </w:r>
    </w:p>
    <w:p>
      <w:pPr>
        <w:ind w:firstLine="560"/>
        <w:rPr>
          <w:color w:val="000000" w:themeColor="text1"/>
        </w:rPr>
      </w:pPr>
      <w:r>
        <w:rPr>
          <w:color w:val="000000" w:themeColor="text1"/>
        </w:rPr>
        <w:t>按《危险化学品安全管理条例》</w:t>
      </w:r>
      <w:r>
        <w:rPr>
          <w:rFonts w:hint="eastAsia"/>
          <w:color w:val="000000" w:themeColor="text1"/>
        </w:rPr>
        <w:t>（国务院令第591号，第645号令修订）、《</w:t>
      </w:r>
      <w:r>
        <w:rPr>
          <w:rFonts w:hint="eastAsia"/>
          <w:color w:val="000000" w:themeColor="text1"/>
          <w:lang w:val="en-US" w:eastAsia="zh-CN"/>
        </w:rPr>
        <w:t>危险化学品仓库储存通则</w:t>
      </w:r>
      <w:r>
        <w:rPr>
          <w:rFonts w:hint="eastAsia"/>
          <w:color w:val="000000" w:themeColor="text1"/>
        </w:rPr>
        <w:t>》（</w:t>
      </w:r>
      <w:r>
        <w:rPr>
          <w:color w:val="000000" w:themeColor="text1"/>
        </w:rPr>
        <w:t>GB15603-</w:t>
      </w:r>
      <w:r>
        <w:rPr>
          <w:rFonts w:hint="eastAsia"/>
          <w:color w:val="000000" w:themeColor="text1"/>
          <w:lang w:val="en-US" w:eastAsia="zh-CN"/>
        </w:rPr>
        <w:t>2022</w:t>
      </w:r>
      <w:r>
        <w:rPr>
          <w:rFonts w:hint="eastAsia"/>
          <w:color w:val="000000" w:themeColor="text1"/>
        </w:rPr>
        <w:t>）</w:t>
      </w:r>
      <w:r>
        <w:rPr>
          <w:color w:val="000000" w:themeColor="text1"/>
        </w:rPr>
        <w:t>等法律、法规及标准的规定，对危险化学品贮存场所单元安全检查，安全检查表见下表。</w:t>
      </w:r>
    </w:p>
    <w:p>
      <w:pPr>
        <w:pStyle w:val="89"/>
        <w:rPr>
          <w:rFonts w:hint="eastAsia"/>
          <w:sz w:val="24"/>
          <w:szCs w:val="24"/>
        </w:rPr>
      </w:pPr>
    </w:p>
    <w:p>
      <w:pPr>
        <w:pStyle w:val="89"/>
        <w:rPr>
          <w:sz w:val="24"/>
          <w:szCs w:val="24"/>
        </w:rPr>
      </w:pPr>
      <w:r>
        <w:rPr>
          <w:rFonts w:hint="eastAsia"/>
          <w:sz w:val="24"/>
          <w:szCs w:val="24"/>
        </w:rPr>
        <w:t>附表4.</w:t>
      </w:r>
      <w:r>
        <w:rPr>
          <w:rFonts w:hint="eastAsia"/>
          <w:sz w:val="24"/>
          <w:szCs w:val="24"/>
          <w:lang w:val="en-US" w:eastAsia="zh-CN"/>
        </w:rPr>
        <w:t>2</w:t>
      </w:r>
      <w:r>
        <w:rPr>
          <w:rFonts w:hint="eastAsia"/>
          <w:sz w:val="24"/>
          <w:szCs w:val="24"/>
        </w:rPr>
        <w:t>-3</w:t>
      </w:r>
      <w:r>
        <w:rPr>
          <w:sz w:val="24"/>
          <w:szCs w:val="24"/>
        </w:rPr>
        <w:t>危险化学品贮存安全检查表</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3759"/>
        <w:gridCol w:w="2064"/>
        <w:gridCol w:w="192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61" w:type="dxa"/>
            <w:vAlign w:val="center"/>
          </w:tcPr>
          <w:p>
            <w:pPr>
              <w:spacing w:line="240" w:lineRule="auto"/>
              <w:ind w:firstLine="0" w:firstLineChars="0"/>
              <w:jc w:val="center"/>
              <w:rPr>
                <w:b/>
                <w:color w:val="000000" w:themeColor="text1"/>
                <w:sz w:val="21"/>
                <w:szCs w:val="21"/>
              </w:rPr>
            </w:pPr>
            <w:bookmarkStart w:id="2706" w:name="_Toc179687225"/>
            <w:bookmarkStart w:id="2707" w:name="_Toc164611264"/>
            <w:bookmarkStart w:id="2708" w:name="_Toc235379163"/>
            <w:r>
              <w:rPr>
                <w:b/>
                <w:color w:val="000000" w:themeColor="text1"/>
                <w:sz w:val="21"/>
                <w:szCs w:val="21"/>
              </w:rPr>
              <w:t>序号</w:t>
            </w:r>
          </w:p>
        </w:tc>
        <w:tc>
          <w:tcPr>
            <w:tcW w:w="3759" w:type="dxa"/>
            <w:vAlign w:val="center"/>
          </w:tcPr>
          <w:p>
            <w:pPr>
              <w:spacing w:line="240" w:lineRule="auto"/>
              <w:ind w:firstLine="0" w:firstLineChars="0"/>
              <w:jc w:val="center"/>
              <w:rPr>
                <w:b/>
                <w:color w:val="000000" w:themeColor="text1"/>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w:t>
            </w:r>
            <w:r>
              <w:rPr>
                <w:b/>
                <w:color w:val="000000" w:themeColor="text1"/>
                <w:sz w:val="21"/>
                <w:szCs w:val="21"/>
              </w:rPr>
              <w:t>内</w:t>
            </w:r>
            <w:r>
              <w:rPr>
                <w:rFonts w:hint="eastAsia"/>
                <w:b/>
                <w:color w:val="000000" w:themeColor="text1"/>
                <w:sz w:val="21"/>
                <w:szCs w:val="21"/>
              </w:rPr>
              <w:t xml:space="preserve">  </w:t>
            </w:r>
            <w:r>
              <w:rPr>
                <w:b/>
                <w:color w:val="000000" w:themeColor="text1"/>
                <w:sz w:val="21"/>
                <w:szCs w:val="21"/>
              </w:rPr>
              <w:t>容</w:t>
            </w:r>
          </w:p>
        </w:tc>
        <w:tc>
          <w:tcPr>
            <w:tcW w:w="2064" w:type="dxa"/>
            <w:vAlign w:val="center"/>
          </w:tcPr>
          <w:p>
            <w:pPr>
              <w:spacing w:line="240" w:lineRule="auto"/>
              <w:ind w:firstLine="0" w:firstLineChars="0"/>
              <w:jc w:val="center"/>
              <w:rPr>
                <w:b/>
                <w:color w:val="000000" w:themeColor="text1"/>
                <w:sz w:val="21"/>
                <w:szCs w:val="21"/>
              </w:rPr>
            </w:pPr>
            <w:r>
              <w:rPr>
                <w:b/>
                <w:color w:val="000000" w:themeColor="text1"/>
                <w:sz w:val="21"/>
                <w:szCs w:val="21"/>
              </w:rPr>
              <w:t>依</w:t>
            </w:r>
            <w:r>
              <w:rPr>
                <w:rFonts w:hint="eastAsia"/>
                <w:b/>
                <w:color w:val="000000" w:themeColor="text1"/>
                <w:sz w:val="21"/>
                <w:szCs w:val="21"/>
              </w:rPr>
              <w:t xml:space="preserve"> </w:t>
            </w:r>
            <w:r>
              <w:rPr>
                <w:b/>
                <w:color w:val="000000" w:themeColor="text1"/>
                <w:sz w:val="21"/>
                <w:szCs w:val="21"/>
              </w:rPr>
              <w:t>据</w:t>
            </w:r>
            <w:r>
              <w:rPr>
                <w:rFonts w:hint="eastAsia"/>
                <w:b/>
                <w:color w:val="000000" w:themeColor="text1"/>
                <w:sz w:val="21"/>
                <w:szCs w:val="21"/>
              </w:rPr>
              <w:t xml:space="preserve"> </w:t>
            </w:r>
            <w:r>
              <w:rPr>
                <w:b/>
                <w:color w:val="000000" w:themeColor="text1"/>
                <w:sz w:val="21"/>
                <w:szCs w:val="21"/>
              </w:rPr>
              <w:t>标</w:t>
            </w:r>
            <w:r>
              <w:rPr>
                <w:rFonts w:hint="eastAsia"/>
                <w:b/>
                <w:color w:val="000000" w:themeColor="text1"/>
                <w:sz w:val="21"/>
                <w:szCs w:val="21"/>
              </w:rPr>
              <w:t xml:space="preserve"> </w:t>
            </w:r>
            <w:r>
              <w:rPr>
                <w:b/>
                <w:color w:val="000000" w:themeColor="text1"/>
                <w:sz w:val="21"/>
                <w:szCs w:val="21"/>
              </w:rPr>
              <w:t>准</w:t>
            </w:r>
          </w:p>
        </w:tc>
        <w:tc>
          <w:tcPr>
            <w:tcW w:w="1920" w:type="dxa"/>
            <w:vAlign w:val="center"/>
          </w:tcPr>
          <w:p>
            <w:pPr>
              <w:spacing w:line="240" w:lineRule="auto"/>
              <w:ind w:firstLine="0" w:firstLineChars="0"/>
              <w:jc w:val="center"/>
              <w:rPr>
                <w:b/>
                <w:color w:val="000000" w:themeColor="text1"/>
                <w:sz w:val="21"/>
                <w:szCs w:val="21"/>
              </w:rPr>
            </w:pPr>
            <w:r>
              <w:rPr>
                <w:rFonts w:hint="eastAsia"/>
                <w:b/>
                <w:color w:val="000000" w:themeColor="text1"/>
                <w:sz w:val="21"/>
                <w:szCs w:val="21"/>
              </w:rPr>
              <w:t xml:space="preserve">检 查 </w:t>
            </w:r>
            <w:r>
              <w:rPr>
                <w:b/>
                <w:color w:val="000000" w:themeColor="text1"/>
                <w:sz w:val="21"/>
                <w:szCs w:val="21"/>
              </w:rPr>
              <w:t>情</w:t>
            </w:r>
            <w:r>
              <w:rPr>
                <w:rFonts w:hint="eastAsia"/>
                <w:b/>
                <w:color w:val="000000" w:themeColor="text1"/>
                <w:sz w:val="21"/>
                <w:szCs w:val="21"/>
              </w:rPr>
              <w:t xml:space="preserve"> </w:t>
            </w:r>
            <w:r>
              <w:rPr>
                <w:b/>
                <w:color w:val="000000" w:themeColor="text1"/>
                <w:sz w:val="21"/>
                <w:szCs w:val="21"/>
              </w:rPr>
              <w:t>况</w:t>
            </w:r>
          </w:p>
        </w:tc>
        <w:tc>
          <w:tcPr>
            <w:tcW w:w="768" w:type="dxa"/>
            <w:vAlign w:val="center"/>
          </w:tcPr>
          <w:p>
            <w:pPr>
              <w:spacing w:line="240" w:lineRule="auto"/>
              <w:ind w:firstLine="0" w:firstLineChars="0"/>
              <w:jc w:val="center"/>
              <w:rPr>
                <w:b/>
                <w:color w:val="000000" w:themeColor="text1"/>
                <w:sz w:val="21"/>
                <w:szCs w:val="21"/>
              </w:rPr>
            </w:pPr>
            <w:r>
              <w:rPr>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1</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危险化学品生产企业应当提供与其生产的危险化学品相符的化学品安全技术说明书，并在危险化学品包装（包括外包装件）上粘贴或者拴挂与包装内危险化学品相符的化学品安全标签。化学品安全技术说明书和化学品安全标签所载明的内容应当符合国家标准的要求。</w:t>
            </w:r>
          </w:p>
          <w:p>
            <w:pPr>
              <w:pStyle w:val="88"/>
              <w:spacing w:line="240" w:lineRule="auto"/>
              <w:ind w:firstLine="210" w:firstLineChars="100"/>
              <w:jc w:val="left"/>
              <w:rPr>
                <w:color w:val="000000" w:themeColor="text1"/>
                <w:sz w:val="21"/>
              </w:rPr>
            </w:pPr>
            <w:r>
              <w:rPr>
                <w:color w:val="000000" w:themeColor="text1"/>
                <w:sz w:val="21"/>
              </w:rPr>
              <w:t>危险化学品生产企业发现其生产的危险化学品有新的危险特性的，应当立即公告，并及时修订其化学品安全技术说明书和化学品安全标签。</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第十五条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szCs w:val="21"/>
              </w:rPr>
              <w:t>企业按要求提供了“一书一签”。“一书一签”</w:t>
            </w:r>
            <w:r>
              <w:rPr>
                <w:rFonts w:hint="eastAsia"/>
                <w:color w:val="000000" w:themeColor="text1"/>
                <w:sz w:val="21"/>
                <w:szCs w:val="21"/>
              </w:rPr>
              <w:t>的内容符合国家标准的要求。</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2</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pStyle w:val="88"/>
              <w:spacing w:line="240" w:lineRule="auto"/>
              <w:ind w:firstLine="210" w:firstLineChars="100"/>
              <w:jc w:val="left"/>
              <w:rPr>
                <w:color w:val="000000" w:themeColor="text1"/>
                <w:sz w:val="21"/>
              </w:rPr>
            </w:pPr>
            <w:r>
              <w:rPr>
                <w:color w:val="000000" w:themeColor="text1"/>
                <w:sz w:val="21"/>
              </w:rPr>
              <w:t>生产、储存危险化学品的单位，应当在其作业场所和安全设施、设备上设置明显的安全警示标志。</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lang w:val="en-US" w:eastAsia="zh-CN"/>
              </w:rPr>
              <w:t>已</w:t>
            </w:r>
            <w:r>
              <w:rPr>
                <w:color w:val="000000" w:themeColor="text1"/>
                <w:sz w:val="21"/>
              </w:rPr>
              <w:t>设置明显的安全警示标志</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生产、储存危险化学品的单位，应当在其作业场所设置通信、报警装置，并保证处于适用状态。</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第二十一条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szCs w:val="21"/>
              </w:rPr>
              <w:t>生产区</w:t>
            </w:r>
            <w:r>
              <w:rPr>
                <w:color w:val="000000" w:themeColor="text1"/>
                <w:sz w:val="21"/>
                <w:szCs w:val="21"/>
              </w:rPr>
              <w:t>设置通讯、报警装置。</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危险化学品的包装应当符合法律、行政法规、规章的规定以及国家标准、行业标准的要求。</w:t>
            </w:r>
          </w:p>
          <w:p>
            <w:pPr>
              <w:pStyle w:val="88"/>
              <w:spacing w:line="240" w:lineRule="auto"/>
              <w:ind w:firstLine="210" w:firstLineChars="100"/>
              <w:jc w:val="left"/>
              <w:rPr>
                <w:color w:val="000000" w:themeColor="text1"/>
                <w:sz w:val="21"/>
              </w:rPr>
            </w:pPr>
            <w:r>
              <w:rPr>
                <w:color w:val="000000" w:themeColor="text1"/>
                <w:sz w:val="21"/>
              </w:rPr>
              <w:t>危险化学品包装物、容器的材质以及危险化学品包装的型式、规格、方法和单件质量（重量），应当与所包装的危险化学品的性质和用途相适应。</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第十七条</w:t>
            </w:r>
          </w:p>
        </w:tc>
        <w:tc>
          <w:tcPr>
            <w:tcW w:w="1920" w:type="dxa"/>
            <w:vAlign w:val="center"/>
          </w:tcPr>
          <w:p>
            <w:pPr>
              <w:spacing w:line="240" w:lineRule="auto"/>
              <w:ind w:firstLine="210" w:firstLineChars="100"/>
              <w:jc w:val="left"/>
              <w:rPr>
                <w:rFonts w:hint="eastAsia" w:eastAsia="宋体"/>
                <w:color w:val="000000" w:themeColor="text1"/>
                <w:sz w:val="21"/>
                <w:szCs w:val="21"/>
                <w:lang w:val="en-US" w:eastAsia="zh-CN"/>
              </w:rPr>
            </w:pPr>
            <w:r>
              <w:rPr>
                <w:color w:val="000000" w:themeColor="text1"/>
                <w:sz w:val="21"/>
              </w:rPr>
              <w:t>包装符合法律、法规</w:t>
            </w:r>
            <w:r>
              <w:rPr>
                <w:rFonts w:hint="eastAsia"/>
                <w:color w:val="000000" w:themeColor="text1"/>
                <w:sz w:val="21"/>
                <w:lang w:val="en-US" w:eastAsia="zh-CN"/>
              </w:rPr>
              <w:t>和</w:t>
            </w:r>
            <w:r>
              <w:rPr>
                <w:color w:val="000000" w:themeColor="text1"/>
                <w:sz w:val="21"/>
              </w:rPr>
              <w:t>规章</w:t>
            </w:r>
            <w:r>
              <w:rPr>
                <w:rFonts w:hint="eastAsia"/>
                <w:color w:val="000000" w:themeColor="text1"/>
                <w:sz w:val="21"/>
                <w:lang w:val="en-US" w:eastAsia="zh-CN"/>
              </w:rPr>
              <w:t>要求。</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p>
          <w:p>
            <w:pPr>
              <w:pStyle w:val="88"/>
              <w:spacing w:line="240" w:lineRule="auto"/>
              <w:ind w:firstLine="210" w:firstLineChars="100"/>
              <w:jc w:val="left"/>
              <w:rPr>
                <w:color w:val="000000" w:themeColor="text1"/>
                <w:sz w:val="21"/>
              </w:rPr>
            </w:pPr>
            <w:r>
              <w:rPr>
                <w:color w:val="000000" w:themeColor="text1"/>
                <w:sz w:val="21"/>
              </w:rPr>
              <w:t>危险化学品的储存方式、方法以及储存数量应当符合国家标准或者国家有关规定。</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第二十四条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szCs w:val="21"/>
              </w:rPr>
              <w:t>氟化分公司危险化学品贮</w:t>
            </w:r>
            <w:r>
              <w:rPr>
                <w:color w:val="000000" w:themeColor="text1"/>
                <w:sz w:val="21"/>
                <w:szCs w:val="21"/>
              </w:rPr>
              <w:t>存方式、方法与储存数量符合国家标准，并由专人管理。</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6</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储存危险化学品的单位应当建立危险化学品出入库核查、登记制度。</w:t>
            </w:r>
          </w:p>
          <w:p>
            <w:pPr>
              <w:pStyle w:val="88"/>
              <w:spacing w:line="240" w:lineRule="auto"/>
              <w:ind w:firstLine="210" w:firstLineChars="100"/>
              <w:jc w:val="left"/>
              <w:rPr>
                <w:color w:val="000000" w:themeColor="text1"/>
                <w:sz w:val="21"/>
              </w:rPr>
            </w:pPr>
            <w:r>
              <w:rPr>
                <w:color w:val="000000" w:themeColor="text1"/>
                <w:sz w:val="21"/>
              </w:rPr>
              <w:t>对剧毒化学品以及储存数量构成重大危险源的其他危险化学品，储存单位应当将其储存数量、储存地点以及管理人员的情况，报所在地县级人民政府安全生产监督管理部门（在港区内储存的，报港口行政管理部门）和公安机关备案。</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第二十五条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szCs w:val="21"/>
              </w:rPr>
              <w:t>建立</w:t>
            </w:r>
            <w:r>
              <w:rPr>
                <w:rFonts w:hint="eastAsia"/>
                <w:color w:val="000000" w:themeColor="text1"/>
                <w:sz w:val="21"/>
                <w:szCs w:val="21"/>
              </w:rPr>
              <w:t>《</w:t>
            </w:r>
            <w:r>
              <w:rPr>
                <w:color w:val="000000" w:themeColor="text1"/>
                <w:sz w:val="21"/>
                <w:szCs w:val="21"/>
              </w:rPr>
              <w:t>危险化学品</w:t>
            </w:r>
            <w:r>
              <w:rPr>
                <w:rFonts w:hint="eastAsia"/>
                <w:color w:val="000000" w:themeColor="text1"/>
                <w:sz w:val="21"/>
                <w:szCs w:val="21"/>
              </w:rPr>
              <w:t>储存、出入库管理</w:t>
            </w:r>
            <w:r>
              <w:rPr>
                <w:color w:val="000000" w:themeColor="text1"/>
                <w:sz w:val="21"/>
                <w:szCs w:val="21"/>
              </w:rPr>
              <w:t>制度</w:t>
            </w:r>
            <w:r>
              <w:rPr>
                <w:rFonts w:hint="eastAsia"/>
                <w:color w:val="000000" w:themeColor="text1"/>
                <w:sz w:val="21"/>
                <w:szCs w:val="21"/>
              </w:rPr>
              <w:t>》，并严格按制度执行</w:t>
            </w:r>
            <w:r>
              <w:rPr>
                <w:color w:val="000000" w:themeColor="text1"/>
                <w:sz w:val="21"/>
                <w:szCs w:val="21"/>
              </w:rPr>
              <w:t>。</w:t>
            </w:r>
          </w:p>
          <w:p>
            <w:pPr>
              <w:spacing w:line="240" w:lineRule="auto"/>
              <w:ind w:firstLine="210" w:firstLineChars="100"/>
              <w:jc w:val="left"/>
              <w:rPr>
                <w:color w:val="000000" w:themeColor="text1"/>
                <w:sz w:val="21"/>
                <w:szCs w:val="21"/>
              </w:rPr>
            </w:pP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7</w:t>
            </w:r>
          </w:p>
        </w:tc>
        <w:tc>
          <w:tcPr>
            <w:tcW w:w="3759" w:type="dxa"/>
            <w:vAlign w:val="center"/>
          </w:tcPr>
          <w:p>
            <w:pPr>
              <w:pStyle w:val="88"/>
              <w:spacing w:line="240" w:lineRule="auto"/>
              <w:ind w:firstLine="210" w:firstLineChars="100"/>
              <w:jc w:val="left"/>
              <w:rPr>
                <w:color w:val="000000" w:themeColor="text1"/>
                <w:sz w:val="21"/>
              </w:rPr>
            </w:pPr>
            <w:r>
              <w:rPr>
                <w:color w:val="000000" w:themeColor="text1"/>
                <w:sz w:val="21"/>
              </w:rPr>
              <w:t>危险化学品专用仓库应当符合国家标准、行业标准的要求，并设置明显的标志。储存剧毒化学品、易制爆危险化学品的专用仓库，应当按照国家有关规定设置相应的技术防范设施。</w:t>
            </w:r>
          </w:p>
          <w:p>
            <w:pPr>
              <w:pStyle w:val="88"/>
              <w:spacing w:line="240" w:lineRule="auto"/>
              <w:ind w:firstLine="210" w:firstLineChars="100"/>
              <w:jc w:val="left"/>
              <w:rPr>
                <w:color w:val="000000" w:themeColor="text1"/>
                <w:sz w:val="21"/>
              </w:rPr>
            </w:pPr>
            <w:r>
              <w:rPr>
                <w:color w:val="000000" w:themeColor="text1"/>
                <w:sz w:val="21"/>
              </w:rPr>
              <w:t>储存危险化学品的单位应当对其危险化学品专用仓库的安全设施、设备定期进行检测、检验。</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第二十六条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rPr>
              <w:t>设置相应的技术防范设施。</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12</w:t>
            </w:r>
          </w:p>
        </w:tc>
        <w:tc>
          <w:tcPr>
            <w:tcW w:w="3759" w:type="dxa"/>
            <w:vAlign w:val="center"/>
          </w:tcPr>
          <w:p>
            <w:pPr>
              <w:spacing w:line="240" w:lineRule="auto"/>
              <w:ind w:left="0" w:leftChars="0" w:firstLine="0" w:firstLineChars="0"/>
              <w:rPr>
                <w:color w:val="000000" w:themeColor="text1"/>
                <w:sz w:val="21"/>
                <w:szCs w:val="21"/>
              </w:rPr>
            </w:pPr>
            <w:r>
              <w:rPr>
                <w:rFonts w:hint="eastAsia"/>
                <w:color w:val="000000" w:themeColor="text1"/>
                <w:sz w:val="21"/>
                <w:szCs w:val="21"/>
              </w:rPr>
              <w:t>储存危险化学品的仓库和场所应设置明显的安全标志，并符合GB 2894《安全标志及其使用导则》规定。</w:t>
            </w:r>
          </w:p>
        </w:tc>
        <w:tc>
          <w:tcPr>
            <w:tcW w:w="2064" w:type="dxa"/>
            <w:vAlign w:val="center"/>
          </w:tcPr>
          <w:p>
            <w:pPr>
              <w:spacing w:line="240" w:lineRule="auto"/>
              <w:ind w:firstLine="0" w:firstLineChars="0"/>
              <w:jc w:val="center"/>
              <w:rPr>
                <w:rFonts w:hint="eastAsia" w:eastAsia="宋体"/>
                <w:color w:val="000000" w:themeColor="text1"/>
                <w:sz w:val="21"/>
                <w:szCs w:val="21"/>
                <w:lang w:val="en-US" w:eastAsia="zh-CN"/>
              </w:rPr>
            </w:pPr>
            <w:r>
              <w:rPr>
                <w:rFonts w:hint="eastAsia"/>
                <w:color w:val="000000" w:themeColor="text1"/>
                <w:sz w:val="21"/>
                <w:szCs w:val="21"/>
              </w:rPr>
              <w:t>《危险化学品仓库储存通则》（GB15603-2022）</w:t>
            </w:r>
            <w:r>
              <w:rPr>
                <w:rFonts w:hint="eastAsia"/>
                <w:color w:val="000000" w:themeColor="text1"/>
                <w:sz w:val="21"/>
                <w:szCs w:val="21"/>
                <w:lang w:val="en-US" w:eastAsia="zh-CN"/>
              </w:rPr>
              <w:t>第5.2.</w:t>
            </w:r>
            <w:r>
              <w:rPr>
                <w:rFonts w:hint="eastAsia"/>
                <w:color w:val="000000" w:themeColor="text1"/>
                <w:sz w:val="21"/>
                <w:szCs w:val="21"/>
              </w:rPr>
              <w:t xml:space="preserve">1 </w:t>
            </w:r>
            <w:r>
              <w:rPr>
                <w:rFonts w:hint="eastAsia"/>
                <w:color w:val="000000" w:themeColor="text1"/>
                <w:sz w:val="21"/>
                <w:szCs w:val="21"/>
                <w:lang w:val="en-US" w:eastAsia="zh-CN"/>
              </w:rPr>
              <w:t>条</w:t>
            </w:r>
          </w:p>
        </w:tc>
        <w:tc>
          <w:tcPr>
            <w:tcW w:w="1920" w:type="dxa"/>
            <w:vAlign w:val="center"/>
          </w:tcPr>
          <w:p>
            <w:pPr>
              <w:spacing w:line="240" w:lineRule="auto"/>
              <w:ind w:firstLine="210" w:firstLineChars="100"/>
              <w:rPr>
                <w:rFonts w:hint="eastAsia" w:eastAsia="宋体"/>
                <w:color w:val="000000" w:themeColor="text1"/>
                <w:sz w:val="21"/>
                <w:szCs w:val="21"/>
                <w:lang w:val="en-US" w:eastAsia="zh-CN"/>
              </w:rPr>
            </w:pPr>
            <w:r>
              <w:rPr>
                <w:rFonts w:hint="eastAsia"/>
                <w:color w:val="000000" w:themeColor="text1"/>
                <w:sz w:val="21"/>
                <w:szCs w:val="21"/>
                <w:lang w:val="en-US" w:eastAsia="zh-CN"/>
              </w:rPr>
              <w:t>现场检查已</w:t>
            </w:r>
            <w:r>
              <w:rPr>
                <w:rFonts w:hint="eastAsia"/>
                <w:color w:val="000000" w:themeColor="text1"/>
                <w:sz w:val="21"/>
                <w:szCs w:val="21"/>
              </w:rPr>
              <w:t>设置明显的安全标志</w:t>
            </w:r>
            <w:r>
              <w:rPr>
                <w:rFonts w:hint="eastAsia"/>
                <w:color w:val="000000" w:themeColor="text1"/>
                <w:sz w:val="21"/>
                <w:szCs w:val="21"/>
                <w:lang w:eastAsia="zh-CN"/>
              </w:rPr>
              <w:t>。</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13</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库区内严禁吸烟和使用明火，库区内应建立动火作业安全管理制度、电器安全管理制度。</w:t>
            </w:r>
          </w:p>
        </w:tc>
        <w:tc>
          <w:tcPr>
            <w:tcW w:w="2064" w:type="dxa"/>
            <w:vAlign w:val="center"/>
          </w:tcPr>
          <w:p>
            <w:pPr>
              <w:spacing w:line="240" w:lineRule="auto"/>
              <w:ind w:firstLine="0" w:firstLineChars="0"/>
              <w:jc w:val="center"/>
              <w:rPr>
                <w:rFonts w:hint="eastAsia" w:eastAsia="宋体"/>
                <w:color w:val="000000" w:themeColor="text1"/>
                <w:sz w:val="21"/>
                <w:szCs w:val="21"/>
                <w:lang w:val="en-US" w:eastAsia="zh-CN"/>
              </w:rPr>
            </w:pPr>
            <w:r>
              <w:rPr>
                <w:rFonts w:hint="eastAsia"/>
                <w:color w:val="000000" w:themeColor="text1"/>
                <w:sz w:val="21"/>
                <w:szCs w:val="21"/>
              </w:rPr>
              <w:t>《危险化学品仓库储存通则》（GB15603-2022）</w:t>
            </w:r>
            <w:r>
              <w:rPr>
                <w:rFonts w:hint="eastAsia"/>
                <w:color w:val="000000" w:themeColor="text1"/>
                <w:sz w:val="21"/>
                <w:szCs w:val="21"/>
                <w:lang w:val="en-US" w:eastAsia="zh-CN"/>
              </w:rPr>
              <w:t>条</w:t>
            </w:r>
            <w:r>
              <w:rPr>
                <w:rFonts w:hint="eastAsia"/>
                <w:color w:val="000000" w:themeColor="text1"/>
                <w:sz w:val="21"/>
                <w:szCs w:val="21"/>
              </w:rPr>
              <w:t>5.2.2</w:t>
            </w:r>
            <w:r>
              <w:rPr>
                <w:rFonts w:hint="eastAsia"/>
                <w:color w:val="000000" w:themeColor="text1"/>
                <w:sz w:val="21"/>
                <w:szCs w:val="21"/>
                <w:lang w:val="en-US" w:eastAsia="zh-CN"/>
              </w:rPr>
              <w:t>条</w:t>
            </w:r>
          </w:p>
        </w:tc>
        <w:tc>
          <w:tcPr>
            <w:tcW w:w="1920" w:type="dxa"/>
            <w:vAlign w:val="center"/>
          </w:tcPr>
          <w:p>
            <w:pPr>
              <w:spacing w:line="240" w:lineRule="auto"/>
              <w:ind w:firstLine="210" w:firstLineChars="100"/>
              <w:rPr>
                <w:rFonts w:hint="default" w:eastAsia="宋体"/>
                <w:color w:val="000000" w:themeColor="text1"/>
                <w:sz w:val="21"/>
                <w:szCs w:val="21"/>
                <w:lang w:val="en-US" w:eastAsia="zh-CN"/>
              </w:rPr>
            </w:pPr>
            <w:r>
              <w:rPr>
                <w:rFonts w:hint="eastAsia"/>
                <w:color w:val="000000" w:themeColor="text1"/>
                <w:sz w:val="21"/>
                <w:szCs w:val="21"/>
                <w:lang w:val="en-US" w:eastAsia="zh-CN"/>
              </w:rPr>
              <w:t>现场检查未发现</w:t>
            </w:r>
            <w:r>
              <w:rPr>
                <w:rFonts w:hint="eastAsia"/>
                <w:color w:val="000000" w:themeColor="text1"/>
                <w:sz w:val="21"/>
                <w:szCs w:val="21"/>
              </w:rPr>
              <w:t>吸烟和使用明火</w:t>
            </w:r>
            <w:r>
              <w:rPr>
                <w:rFonts w:hint="eastAsia"/>
                <w:color w:val="000000" w:themeColor="text1"/>
                <w:sz w:val="21"/>
                <w:szCs w:val="21"/>
                <w:lang w:val="en-US" w:eastAsia="zh-CN"/>
              </w:rPr>
              <w:t>的现象。</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14</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定期检查仓储设施设备、消防器材、电闸线路、防护用品、机械工具、通信与报警装置是否完好有效。</w:t>
            </w:r>
          </w:p>
        </w:tc>
        <w:tc>
          <w:tcPr>
            <w:tcW w:w="2064" w:type="dxa"/>
            <w:vAlign w:val="center"/>
          </w:tcPr>
          <w:p>
            <w:pPr>
              <w:spacing w:line="240" w:lineRule="auto"/>
              <w:ind w:firstLine="0" w:firstLineChars="0"/>
              <w:jc w:val="center"/>
              <w:rPr>
                <w:rFonts w:hint="eastAsia" w:eastAsia="宋体"/>
                <w:color w:val="000000" w:themeColor="text1"/>
                <w:sz w:val="21"/>
                <w:szCs w:val="21"/>
                <w:lang w:val="en-US" w:eastAsia="zh-CN"/>
              </w:rPr>
            </w:pPr>
            <w:r>
              <w:rPr>
                <w:rFonts w:hint="eastAsia"/>
                <w:color w:val="000000" w:themeColor="text1"/>
                <w:sz w:val="21"/>
                <w:szCs w:val="21"/>
              </w:rPr>
              <w:t>《危险化学品仓库储存通则》（GB15603-2022）</w:t>
            </w:r>
            <w:r>
              <w:rPr>
                <w:rFonts w:hint="eastAsia"/>
                <w:color w:val="000000" w:themeColor="text1"/>
                <w:sz w:val="21"/>
                <w:szCs w:val="21"/>
                <w:lang w:val="en-US" w:eastAsia="zh-CN"/>
              </w:rPr>
              <w:t>第</w:t>
            </w:r>
            <w:r>
              <w:rPr>
                <w:rFonts w:hint="eastAsia"/>
                <w:color w:val="000000" w:themeColor="text1"/>
                <w:sz w:val="21"/>
                <w:szCs w:val="21"/>
              </w:rPr>
              <w:t>8.2.2</w:t>
            </w:r>
            <w:r>
              <w:rPr>
                <w:rFonts w:hint="eastAsia"/>
                <w:color w:val="000000" w:themeColor="text1"/>
                <w:sz w:val="21"/>
                <w:szCs w:val="21"/>
                <w:lang w:val="en-US" w:eastAsia="zh-CN"/>
              </w:rPr>
              <w:t>条</w:t>
            </w:r>
          </w:p>
        </w:tc>
        <w:tc>
          <w:tcPr>
            <w:tcW w:w="1920" w:type="dxa"/>
            <w:vAlign w:val="center"/>
          </w:tcPr>
          <w:p>
            <w:pPr>
              <w:spacing w:line="240" w:lineRule="auto"/>
              <w:ind w:firstLine="210" w:firstLineChars="100"/>
              <w:rPr>
                <w:rFonts w:hint="eastAsia" w:eastAsia="宋体"/>
                <w:color w:val="000000" w:themeColor="text1"/>
                <w:sz w:val="21"/>
                <w:szCs w:val="21"/>
                <w:lang w:eastAsia="zh-CN"/>
              </w:rPr>
            </w:pPr>
            <w:r>
              <w:rPr>
                <w:rFonts w:hint="eastAsia"/>
                <w:color w:val="000000" w:themeColor="text1"/>
                <w:sz w:val="21"/>
                <w:szCs w:val="21"/>
                <w:lang w:val="en-US" w:eastAsia="zh-CN"/>
              </w:rPr>
              <w:t>现场检查设施</w:t>
            </w:r>
            <w:r>
              <w:rPr>
                <w:rFonts w:hint="eastAsia"/>
                <w:color w:val="000000" w:themeColor="text1"/>
                <w:sz w:val="21"/>
                <w:szCs w:val="21"/>
              </w:rPr>
              <w:t>完好有效</w:t>
            </w:r>
            <w:r>
              <w:rPr>
                <w:rFonts w:hint="eastAsia"/>
                <w:color w:val="000000" w:themeColor="text1"/>
                <w:sz w:val="21"/>
                <w:szCs w:val="21"/>
                <w:lang w:eastAsia="zh-CN"/>
              </w:rPr>
              <w:t>。</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15</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危险化学品储存应符合下列要求：</w:t>
            </w:r>
          </w:p>
          <w:p>
            <w:pPr>
              <w:numPr>
                <w:ilvl w:val="0"/>
                <w:numId w:val="0"/>
              </w:numPr>
              <w:spacing w:line="240" w:lineRule="auto"/>
              <w:ind w:left="0" w:leftChars="0" w:firstLine="210" w:firstLineChars="100"/>
              <w:rPr>
                <w:color w:val="000000" w:themeColor="text1"/>
                <w:sz w:val="21"/>
                <w:szCs w:val="21"/>
              </w:rPr>
            </w:pPr>
            <w:r>
              <w:rPr>
                <w:rFonts w:hint="eastAsia" w:cs="Times New Roman"/>
                <w:color w:val="000000" w:themeColor="text1"/>
                <w:kern w:val="2"/>
                <w:sz w:val="21"/>
                <w:szCs w:val="21"/>
                <w:lang w:val="en-US" w:eastAsia="zh-CN" w:bidi="ar-SA"/>
              </w:rPr>
              <w:t>①</w:t>
            </w:r>
            <w:r>
              <w:rPr>
                <w:rFonts w:hint="eastAsia"/>
                <w:color w:val="000000" w:themeColor="text1"/>
                <w:sz w:val="21"/>
                <w:szCs w:val="21"/>
              </w:rPr>
              <w:t>危险化学仓库、罐区、储存场所应根据危险品性质设计相应的防火、防爆、防腐、泄压、通风、调节温度、防潮、防雨等设施，并应配备通信报警装置和工作人员的防护用品。</w:t>
            </w:r>
          </w:p>
          <w:p>
            <w:pPr>
              <w:numPr>
                <w:ilvl w:val="0"/>
                <w:numId w:val="0"/>
              </w:numPr>
              <w:spacing w:line="240" w:lineRule="auto"/>
              <w:ind w:left="0" w:leftChars="0" w:firstLine="210" w:firstLineChars="100"/>
              <w:rPr>
                <w:color w:val="000000" w:themeColor="text1"/>
                <w:sz w:val="21"/>
                <w:szCs w:val="21"/>
              </w:rPr>
            </w:pPr>
            <w:r>
              <w:rPr>
                <w:rFonts w:hint="eastAsia" w:cs="Times New Roman"/>
                <w:color w:val="000000" w:themeColor="text1"/>
                <w:kern w:val="2"/>
                <w:sz w:val="21"/>
                <w:szCs w:val="21"/>
                <w:lang w:val="en-US" w:eastAsia="zh-CN" w:bidi="ar-SA"/>
              </w:rPr>
              <w:t>②</w:t>
            </w:r>
            <w:r>
              <w:rPr>
                <w:rFonts w:hint="eastAsia"/>
                <w:color w:val="000000" w:themeColor="text1"/>
                <w:sz w:val="21"/>
                <w:szCs w:val="21"/>
              </w:rPr>
              <w:t>危险化学品库区设计应根据化学性质、火灾危险性分类储存进行设计。性质相抵触或消防要求不同的危险化学品，应按分开储存进行设计。</w:t>
            </w:r>
          </w:p>
        </w:tc>
        <w:tc>
          <w:tcPr>
            <w:tcW w:w="2064"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《化工企业安全卫生设计规范》（</w:t>
            </w:r>
            <w:r>
              <w:rPr>
                <w:color w:val="000000" w:themeColor="text1"/>
                <w:sz w:val="21"/>
                <w:szCs w:val="21"/>
              </w:rPr>
              <w:t>HG20571-2014</w:t>
            </w:r>
            <w:r>
              <w:rPr>
                <w:rFonts w:hint="eastAsia"/>
                <w:color w:val="000000" w:themeColor="text1"/>
                <w:sz w:val="21"/>
                <w:szCs w:val="21"/>
              </w:rPr>
              <w:t>）</w:t>
            </w:r>
          </w:p>
          <w:p>
            <w:pPr>
              <w:spacing w:line="240" w:lineRule="auto"/>
              <w:ind w:firstLine="0" w:firstLineChars="0"/>
              <w:jc w:val="center"/>
              <w:rPr>
                <w:color w:val="000000" w:themeColor="text1"/>
                <w:sz w:val="21"/>
                <w:szCs w:val="21"/>
              </w:rPr>
            </w:pPr>
            <w:r>
              <w:rPr>
                <w:rFonts w:hint="eastAsia"/>
                <w:color w:val="000000" w:themeColor="text1"/>
                <w:sz w:val="21"/>
                <w:szCs w:val="21"/>
              </w:rPr>
              <w:t>第</w:t>
            </w:r>
            <w:r>
              <w:rPr>
                <w:color w:val="000000" w:themeColor="text1"/>
                <w:sz w:val="21"/>
                <w:szCs w:val="21"/>
              </w:rPr>
              <w:t>4.5.1</w:t>
            </w:r>
            <w:r>
              <w:rPr>
                <w:rFonts w:hint="eastAsia"/>
                <w:color w:val="000000" w:themeColor="text1"/>
                <w:sz w:val="21"/>
                <w:szCs w:val="21"/>
              </w:rPr>
              <w:t>条</w:t>
            </w:r>
          </w:p>
        </w:tc>
        <w:tc>
          <w:tcPr>
            <w:tcW w:w="1920" w:type="dxa"/>
            <w:vAlign w:val="center"/>
          </w:tcPr>
          <w:p>
            <w:pPr>
              <w:spacing w:line="240" w:lineRule="auto"/>
              <w:ind w:firstLine="210" w:firstLineChars="100"/>
              <w:rPr>
                <w:rFonts w:hint="eastAsia" w:eastAsia="宋体"/>
                <w:color w:val="000000" w:themeColor="text1"/>
                <w:sz w:val="21"/>
                <w:szCs w:val="21"/>
                <w:lang w:eastAsia="zh-CN"/>
              </w:rPr>
            </w:pPr>
            <w:r>
              <w:rPr>
                <w:rFonts w:hint="eastAsia"/>
                <w:color w:val="000000" w:themeColor="text1"/>
                <w:sz w:val="21"/>
                <w:szCs w:val="21"/>
              </w:rPr>
              <w:t>氟化分公司</w:t>
            </w:r>
            <w:r>
              <w:rPr>
                <w:rFonts w:hint="eastAsia"/>
                <w:color w:val="000000" w:themeColor="text1"/>
                <w:sz w:val="21"/>
                <w:szCs w:val="21"/>
                <w:lang w:val="en-US" w:eastAsia="zh-CN"/>
              </w:rPr>
              <w:t>按要求</w:t>
            </w:r>
            <w:r>
              <w:rPr>
                <w:rFonts w:hint="eastAsia"/>
                <w:color w:val="000000" w:themeColor="text1"/>
                <w:sz w:val="21"/>
                <w:szCs w:val="21"/>
              </w:rPr>
              <w:t>设置</w:t>
            </w:r>
            <w:r>
              <w:rPr>
                <w:rFonts w:hint="eastAsia"/>
                <w:color w:val="000000" w:themeColor="text1"/>
                <w:sz w:val="21"/>
                <w:szCs w:val="21"/>
                <w:lang w:eastAsia="zh-CN"/>
              </w:rPr>
              <w:t>。</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bookmarkEnd w:id="2706"/>
      <w:bookmarkEnd w:id="2707"/>
      <w:bookmarkEnd w:id="2708"/>
    </w:tbl>
    <w:p>
      <w:pPr>
        <w:ind w:firstLine="560"/>
        <w:rPr>
          <w:color w:val="000000" w:themeColor="text1"/>
        </w:rPr>
      </w:pPr>
    </w:p>
    <w:p>
      <w:pPr>
        <w:ind w:firstLine="560"/>
        <w:rPr>
          <w:color w:val="000000" w:themeColor="text1"/>
        </w:rPr>
      </w:pPr>
      <w:r>
        <w:rPr>
          <w:rFonts w:hint="eastAsia"/>
          <w:color w:val="000000" w:themeColor="text1"/>
        </w:rPr>
        <w:t>通过检查表评价可知：</w:t>
      </w:r>
      <w:r>
        <w:rPr>
          <w:rFonts w:hint="eastAsia"/>
          <w:color w:val="000000" w:themeColor="text1"/>
          <w:lang w:eastAsia="zh-CN"/>
        </w:rPr>
        <w:t>昆明合起工贸有限公司澄江氟化分公司</w:t>
      </w:r>
      <w:r>
        <w:rPr>
          <w:rFonts w:hint="eastAsia"/>
          <w:color w:val="000000" w:themeColor="text1"/>
        </w:rPr>
        <w:t>危险化学品贮存设施</w:t>
      </w:r>
      <w:r>
        <w:rPr>
          <w:color w:val="000000" w:themeColor="text1"/>
        </w:rPr>
        <w:t>《危险化学品安全管理条例》</w:t>
      </w:r>
      <w:r>
        <w:rPr>
          <w:rFonts w:hint="eastAsia"/>
          <w:color w:val="000000" w:themeColor="text1"/>
        </w:rPr>
        <w:t>（国务院令第591号，第645号令修订）</w:t>
      </w:r>
      <w:r>
        <w:rPr>
          <w:color w:val="000000" w:themeColor="text1"/>
        </w:rPr>
        <w:t>等法律、法规及标准的</w:t>
      </w:r>
      <w:r>
        <w:rPr>
          <w:rFonts w:hint="eastAsia"/>
          <w:color w:val="000000" w:themeColor="text1"/>
        </w:rPr>
        <w:t>要求。</w:t>
      </w:r>
    </w:p>
    <w:p>
      <w:pPr>
        <w:ind w:firstLine="560"/>
        <w:rPr>
          <w:rFonts w:ascii="宋体" w:hAnsi="宋体"/>
          <w:snapToGrid/>
          <w:color w:val="000000" w:themeColor="text1"/>
          <w:kern w:val="2"/>
          <w:szCs w:val="28"/>
        </w:rPr>
      </w:pPr>
      <w:r>
        <w:rPr>
          <w:rFonts w:hint="eastAsia"/>
          <w:color w:val="000000" w:themeColor="text1"/>
        </w:rPr>
        <w:t>通过检查表评价可知：</w:t>
      </w:r>
      <w:r>
        <w:rPr>
          <w:rFonts w:hint="eastAsia"/>
          <w:color w:val="000000" w:themeColor="text1"/>
          <w:lang w:eastAsia="zh-CN"/>
        </w:rPr>
        <w:t>昆明合起工贸有限公司澄江氟化分公司</w:t>
      </w:r>
      <w:r>
        <w:rPr>
          <w:rFonts w:hint="eastAsia"/>
          <w:color w:val="000000" w:themeColor="text1"/>
        </w:rPr>
        <w:t>贮存设施满足</w:t>
      </w:r>
      <w:r>
        <w:rPr>
          <w:color w:val="000000" w:themeColor="text1"/>
        </w:rPr>
        <w:t>《危险化学品安全管理条例》</w:t>
      </w:r>
      <w:r>
        <w:rPr>
          <w:rFonts w:hint="eastAsia"/>
          <w:color w:val="000000" w:themeColor="text1"/>
        </w:rPr>
        <w:t>（国务院令第591号，第645号令修订）、《</w:t>
      </w:r>
      <w:r>
        <w:rPr>
          <w:rFonts w:hint="eastAsia"/>
          <w:color w:val="000000" w:themeColor="text1"/>
          <w:lang w:val="en-US" w:eastAsia="zh-CN"/>
        </w:rPr>
        <w:t>危险化学品仓库储存通则</w:t>
      </w:r>
      <w:r>
        <w:rPr>
          <w:rFonts w:hint="eastAsia"/>
          <w:color w:val="000000" w:themeColor="text1"/>
        </w:rPr>
        <w:t>》（</w:t>
      </w:r>
      <w:r>
        <w:rPr>
          <w:color w:val="000000" w:themeColor="text1"/>
        </w:rPr>
        <w:t>GB15603-</w:t>
      </w:r>
      <w:r>
        <w:rPr>
          <w:rFonts w:hint="eastAsia"/>
          <w:color w:val="000000" w:themeColor="text1"/>
          <w:lang w:val="en-US" w:eastAsia="zh-CN"/>
        </w:rPr>
        <w:t>2022</w:t>
      </w:r>
      <w:r>
        <w:rPr>
          <w:rFonts w:hint="eastAsia"/>
          <w:color w:val="000000" w:themeColor="text1"/>
        </w:rPr>
        <w:t>）</w:t>
      </w:r>
      <w:r>
        <w:rPr>
          <w:color w:val="000000" w:themeColor="text1"/>
        </w:rPr>
        <w:t>等法律、法规及标准的规定</w:t>
      </w:r>
      <w:r>
        <w:rPr>
          <w:rFonts w:hint="eastAsia"/>
          <w:color w:val="000000" w:themeColor="text1"/>
        </w:rPr>
        <w:t>。</w:t>
      </w:r>
      <w:bookmarkEnd w:id="2690"/>
      <w:bookmarkEnd w:id="2691"/>
    </w:p>
    <w:p>
      <w:pPr>
        <w:pStyle w:val="5"/>
        <w:keepNext w:val="0"/>
        <w:keepLines w:val="0"/>
        <w:ind w:firstLine="562"/>
      </w:pPr>
      <w:bookmarkStart w:id="2709" w:name="_Toc32624"/>
      <w:bookmarkStart w:id="2710" w:name="_Toc20418"/>
      <w:bookmarkStart w:id="2711" w:name="_Toc3888"/>
      <w:bookmarkStart w:id="2712" w:name="_Toc22116"/>
      <w:bookmarkStart w:id="2713" w:name="_Toc30625"/>
      <w:bookmarkStart w:id="2714" w:name="_Toc22188"/>
      <w:bookmarkStart w:id="2715" w:name="_Toc29654"/>
      <w:bookmarkStart w:id="2716" w:name="_Toc15280"/>
      <w:bookmarkStart w:id="2717" w:name="_Toc13550"/>
      <w:bookmarkStart w:id="2718" w:name="_Toc8228"/>
      <w:bookmarkStart w:id="2719" w:name="_Toc5723"/>
      <w:bookmarkStart w:id="2720" w:name="_Toc128056536"/>
      <w:bookmarkStart w:id="2721" w:name="_Toc24164"/>
      <w:bookmarkStart w:id="2722" w:name="_Toc18113"/>
      <w:r>
        <w:rPr>
          <w:rFonts w:hint="eastAsia"/>
        </w:rPr>
        <w:t>4.</w:t>
      </w:r>
      <w:r>
        <w:rPr>
          <w:rFonts w:hint="eastAsia"/>
          <w:lang w:val="en-US" w:eastAsia="zh-CN"/>
        </w:rPr>
        <w:t>2</w:t>
      </w:r>
      <w:r>
        <w:rPr>
          <w:rFonts w:hint="eastAsia"/>
        </w:rPr>
        <w:t>.</w:t>
      </w:r>
      <w:r>
        <w:rPr>
          <w:rFonts w:hint="eastAsia"/>
          <w:lang w:val="en-US" w:eastAsia="zh-CN"/>
        </w:rPr>
        <w:t>4</w:t>
      </w:r>
      <w:r>
        <w:rPr>
          <w:rFonts w:hint="eastAsia"/>
        </w:rPr>
        <w:t xml:space="preserve"> 单元小结</w:t>
      </w:r>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p>
    <w:p>
      <w:pPr>
        <w:topLinePunct/>
        <w:ind w:firstLine="560"/>
        <w:rPr>
          <w:rFonts w:ascii="宋体" w:hAnsi="宋体" w:cs="Tahoma"/>
          <w:color w:val="000000" w:themeColor="text1"/>
          <w:szCs w:val="28"/>
        </w:rPr>
      </w:pPr>
      <w:r>
        <w:rPr>
          <w:rFonts w:hint="eastAsia" w:ascii="宋体" w:hAnsi="宋体" w:cs="Tahoma"/>
          <w:color w:val="000000" w:themeColor="text1"/>
          <w:szCs w:val="28"/>
        </w:rPr>
        <w:t>氟化分公司</w:t>
      </w:r>
      <w:r>
        <w:rPr>
          <w:rFonts w:ascii="宋体" w:hAnsi="宋体" w:cs="Tahoma"/>
          <w:color w:val="000000" w:themeColor="text1"/>
          <w:szCs w:val="28"/>
        </w:rPr>
        <w:t>生产工艺</w:t>
      </w:r>
      <w:r>
        <w:rPr>
          <w:rFonts w:hint="eastAsia" w:ascii="宋体" w:hAnsi="宋体" w:cs="Tahoma"/>
          <w:color w:val="000000" w:themeColor="text1"/>
          <w:szCs w:val="28"/>
        </w:rPr>
        <w:t>、</w:t>
      </w:r>
      <w:r>
        <w:rPr>
          <w:rFonts w:ascii="宋体" w:hAnsi="宋体" w:cs="Tahoma"/>
          <w:color w:val="000000" w:themeColor="text1"/>
          <w:szCs w:val="28"/>
        </w:rPr>
        <w:t>设备为国内成熟工艺</w:t>
      </w:r>
      <w:r>
        <w:rPr>
          <w:rFonts w:hint="eastAsia" w:ascii="宋体" w:hAnsi="宋体" w:cs="Tahoma"/>
          <w:color w:val="000000" w:themeColor="text1"/>
          <w:szCs w:val="28"/>
        </w:rPr>
        <w:t>、设备生产，不属于国家明令禁止使用或淘汰的。生产设备为正规厂家生产，生产设施、设备安全维护符合相关要求，生产工艺过程及作业场所符合相关安全规范。</w:t>
      </w:r>
    </w:p>
    <w:p>
      <w:pPr>
        <w:topLinePunct/>
        <w:ind w:firstLine="560"/>
        <w:rPr>
          <w:rFonts w:ascii="宋体" w:hAnsi="宋体" w:cs="Tahoma"/>
          <w:color w:val="auto"/>
          <w:szCs w:val="28"/>
        </w:rPr>
      </w:pPr>
      <w:bookmarkStart w:id="2723" w:name="_Toc62740979"/>
      <w:bookmarkStart w:id="2724" w:name="_Toc5796"/>
      <w:bookmarkStart w:id="2725" w:name="_Toc29058"/>
      <w:bookmarkStart w:id="2726" w:name="_Toc128056537"/>
      <w:bookmarkStart w:id="2727" w:name="_Toc19864"/>
      <w:bookmarkStart w:id="2728" w:name="_Toc22409"/>
      <w:bookmarkStart w:id="2729" w:name="_Toc17695"/>
      <w:bookmarkStart w:id="2730" w:name="_Toc17454"/>
      <w:bookmarkStart w:id="2731" w:name="_Toc1004"/>
      <w:bookmarkStart w:id="2732" w:name="_Toc14766"/>
      <w:bookmarkStart w:id="2733" w:name="_Toc28135"/>
      <w:bookmarkStart w:id="2734" w:name="_Toc30696"/>
      <w:bookmarkStart w:id="2735" w:name="_Toc5070"/>
      <w:bookmarkStart w:id="2736" w:name="_Toc25410"/>
      <w:bookmarkStart w:id="2737" w:name="_Toc27734"/>
      <w:bookmarkStart w:id="2738" w:name="_Toc3785"/>
      <w:bookmarkStart w:id="2739" w:name="_Toc32601"/>
      <w:bookmarkStart w:id="2740" w:name="_Toc5466"/>
      <w:bookmarkStart w:id="2741" w:name="_Toc22681"/>
      <w:bookmarkStart w:id="2742" w:name="_Toc26848"/>
      <w:bookmarkStart w:id="2743" w:name="_Toc20960"/>
      <w:r>
        <w:rPr>
          <w:rFonts w:hint="eastAsia" w:ascii="宋体" w:hAnsi="宋体" w:cs="Tahoma"/>
          <w:color w:val="auto"/>
          <w:szCs w:val="28"/>
        </w:rPr>
        <w:t>根据作业条件危险性评价法评价知，生产过程中，中毒窒息、灼烫、机械伤害、爆炸、化学腐蚀为可能危险等级，粉尘、淹溺、触电、噪声为稍有危险等级；</w:t>
      </w:r>
      <w:r>
        <w:rPr>
          <w:rFonts w:hint="eastAsia" w:ascii="宋体" w:hAnsi="宋体" w:cs="Tahoma"/>
          <w:color w:val="auto"/>
          <w:szCs w:val="28"/>
        </w:rPr>
        <w:tab/>
      </w:r>
      <w:r>
        <w:rPr>
          <w:rFonts w:hint="eastAsia" w:ascii="宋体" w:hAnsi="宋体" w:cs="Tahoma"/>
          <w:color w:val="auto"/>
          <w:szCs w:val="28"/>
        </w:rPr>
        <w:t>其中若发生触电、淹溺事故，</w:t>
      </w:r>
      <w:r>
        <w:rPr>
          <w:rFonts w:hint="eastAsia" w:ascii="宋体" w:hAnsi="宋体" w:cs="Tahoma"/>
          <w:color w:val="auto"/>
          <w:szCs w:val="28"/>
          <w:lang w:val="en-US" w:eastAsia="zh-CN"/>
        </w:rPr>
        <w:t>机械伤害、</w:t>
      </w:r>
      <w:r>
        <w:rPr>
          <w:rFonts w:hint="eastAsia" w:ascii="宋体" w:hAnsi="宋体" w:cs="Tahoma"/>
          <w:color w:val="auto"/>
          <w:szCs w:val="28"/>
        </w:rPr>
        <w:t>灼烫</w:t>
      </w:r>
      <w:r>
        <w:rPr>
          <w:rFonts w:hint="eastAsia" w:ascii="宋体" w:hAnsi="宋体" w:cs="Tahoma"/>
          <w:color w:val="auto"/>
          <w:szCs w:val="28"/>
          <w:lang w:val="en-US" w:eastAsia="zh-CN"/>
        </w:rPr>
        <w:t>等</w:t>
      </w:r>
      <w:r>
        <w:rPr>
          <w:rFonts w:hint="eastAsia" w:ascii="宋体" w:hAnsi="宋体" w:cs="Tahoma"/>
          <w:color w:val="auto"/>
          <w:szCs w:val="28"/>
        </w:rPr>
        <w:t>可能造成人员伤亡，企业在</w:t>
      </w:r>
      <w:r>
        <w:rPr>
          <w:rFonts w:ascii="宋体" w:hAnsi="宋体" w:cs="Tahoma"/>
          <w:color w:val="auto"/>
          <w:szCs w:val="28"/>
        </w:rPr>
        <w:t>生产过程中</w:t>
      </w:r>
      <w:r>
        <w:rPr>
          <w:rFonts w:hint="eastAsia" w:ascii="宋体" w:hAnsi="宋体" w:cs="Tahoma"/>
          <w:color w:val="auto"/>
          <w:szCs w:val="28"/>
        </w:rPr>
        <w:t>的安全工作</w:t>
      </w:r>
      <w:r>
        <w:rPr>
          <w:rFonts w:ascii="宋体" w:hAnsi="宋体" w:cs="Tahoma"/>
          <w:color w:val="auto"/>
          <w:szCs w:val="28"/>
        </w:rPr>
        <w:t>予以高度重视</w:t>
      </w:r>
      <w:r>
        <w:rPr>
          <w:rFonts w:hint="eastAsia" w:ascii="宋体" w:hAnsi="宋体" w:cs="Tahoma"/>
          <w:color w:val="auto"/>
          <w:szCs w:val="28"/>
        </w:rPr>
        <w:t>，</w:t>
      </w:r>
      <w:r>
        <w:rPr>
          <w:rFonts w:hint="eastAsia" w:ascii="宋体" w:hAnsi="宋体" w:cs="Tahoma"/>
          <w:color w:val="auto"/>
          <w:szCs w:val="28"/>
          <w:lang w:val="en-US" w:eastAsia="zh-CN"/>
        </w:rPr>
        <w:t>加强</w:t>
      </w:r>
      <w:r>
        <w:rPr>
          <w:rFonts w:hint="eastAsia" w:ascii="宋体" w:hAnsi="宋体" w:cs="Tahoma"/>
          <w:color w:val="auto"/>
          <w:szCs w:val="28"/>
        </w:rPr>
        <w:t>作业场所的安全管理，防微杜渐，严防事故的发生</w:t>
      </w:r>
      <w:r>
        <w:rPr>
          <w:rFonts w:ascii="宋体" w:hAnsi="宋体" w:cs="Tahoma"/>
          <w:color w:val="auto"/>
          <w:szCs w:val="28"/>
        </w:rPr>
        <w:t>。</w:t>
      </w:r>
      <w:r>
        <w:rPr>
          <w:rFonts w:hint="eastAsia" w:ascii="宋体" w:hAnsi="宋体" w:cs="Tahoma"/>
          <w:color w:val="auto"/>
          <w:szCs w:val="28"/>
        </w:rPr>
        <w:t>日常还</w:t>
      </w:r>
      <w:r>
        <w:rPr>
          <w:rFonts w:ascii="宋体" w:hAnsi="宋体" w:cs="Tahoma"/>
          <w:color w:val="auto"/>
          <w:szCs w:val="28"/>
        </w:rPr>
        <w:t>要加强设备维护管理、精心操作，杜绝</w:t>
      </w:r>
      <w:r>
        <w:rPr>
          <w:rFonts w:hint="eastAsia" w:ascii="宋体" w:hAnsi="宋体" w:cs="Tahoma"/>
          <w:color w:val="auto"/>
          <w:szCs w:val="28"/>
        </w:rPr>
        <w:t>违章作业；不断加强对操作人员的技术、技能培训，提高操作水平和危险自救互救能力。</w:t>
      </w:r>
    </w:p>
    <w:p>
      <w:pPr>
        <w:pStyle w:val="4"/>
        <w:keepNext w:val="0"/>
        <w:keepLines w:val="0"/>
        <w:ind w:firstLine="562"/>
        <w:rPr>
          <w:color w:val="000000" w:themeColor="text1"/>
        </w:rPr>
      </w:pPr>
      <w:bookmarkStart w:id="2744" w:name="_Toc17784"/>
      <w:bookmarkStart w:id="2745" w:name="_Toc10625"/>
      <w:bookmarkStart w:id="2746" w:name="_Toc32055"/>
      <w:bookmarkStart w:id="2747" w:name="_Toc16665"/>
      <w:r>
        <w:rPr>
          <w:rFonts w:hint="eastAsia"/>
          <w:color w:val="000000" w:themeColor="text1"/>
        </w:rPr>
        <w:t>4.</w:t>
      </w:r>
      <w:bookmarkEnd w:id="2723"/>
      <w:r>
        <w:rPr>
          <w:rFonts w:hint="eastAsia"/>
          <w:color w:val="000000" w:themeColor="text1"/>
          <w:lang w:val="en-US" w:eastAsia="zh-CN"/>
        </w:rPr>
        <w:t>3</w:t>
      </w:r>
      <w:r>
        <w:rPr>
          <w:rFonts w:hint="eastAsia"/>
          <w:color w:val="000000" w:themeColor="text1"/>
        </w:rPr>
        <w:t xml:space="preserve"> 公用工程及辅助设施单元评价</w:t>
      </w:r>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p>
    <w:p>
      <w:pPr>
        <w:pStyle w:val="5"/>
        <w:ind w:firstLine="562"/>
      </w:pPr>
      <w:bookmarkStart w:id="2748" w:name="_Toc19691"/>
      <w:bookmarkStart w:id="2749" w:name="_Toc128056538"/>
      <w:bookmarkStart w:id="2750" w:name="_Toc32418"/>
      <w:bookmarkStart w:id="2751" w:name="_Toc18447"/>
      <w:bookmarkStart w:id="2752" w:name="_Toc21939"/>
      <w:bookmarkStart w:id="2753" w:name="_Toc32140"/>
      <w:bookmarkStart w:id="2754" w:name="_Toc26231"/>
      <w:bookmarkStart w:id="2755" w:name="_Toc30569"/>
      <w:bookmarkStart w:id="2756" w:name="_Toc22820"/>
      <w:bookmarkStart w:id="2757" w:name="_Toc6402"/>
      <w:bookmarkStart w:id="2758" w:name="_Toc636"/>
      <w:bookmarkStart w:id="2759" w:name="_Toc15780"/>
      <w:bookmarkStart w:id="2760" w:name="_Toc17641"/>
      <w:bookmarkStart w:id="2761" w:name="_Toc4672"/>
      <w:r>
        <w:rPr>
          <w:rFonts w:hint="eastAsia"/>
        </w:rPr>
        <w:t>4.</w:t>
      </w:r>
      <w:r>
        <w:rPr>
          <w:rFonts w:hint="eastAsia"/>
          <w:lang w:val="en-US" w:eastAsia="zh-CN"/>
        </w:rPr>
        <w:t>3</w:t>
      </w:r>
      <w:r>
        <w:rPr>
          <w:rFonts w:hint="eastAsia"/>
        </w:rPr>
        <w:t>.1 供配电安全检查</w:t>
      </w:r>
      <w:bookmarkEnd w:id="2748"/>
      <w:bookmarkEnd w:id="2749"/>
      <w:bookmarkEnd w:id="2750"/>
      <w:bookmarkEnd w:id="2751"/>
      <w:bookmarkEnd w:id="2752"/>
      <w:bookmarkEnd w:id="2753"/>
      <w:bookmarkEnd w:id="2754"/>
      <w:bookmarkEnd w:id="2755"/>
      <w:bookmarkEnd w:id="2756"/>
      <w:bookmarkEnd w:id="2757"/>
      <w:bookmarkEnd w:id="2758"/>
      <w:bookmarkEnd w:id="2759"/>
      <w:bookmarkEnd w:id="2760"/>
      <w:bookmarkEnd w:id="2761"/>
    </w:p>
    <w:p>
      <w:pPr>
        <w:ind w:firstLine="560"/>
        <w:rPr>
          <w:sz w:val="24"/>
          <w:szCs w:val="24"/>
        </w:rPr>
      </w:pPr>
      <w:r>
        <w:rPr>
          <w:rFonts w:hint="eastAsia"/>
          <w:color w:val="000000" w:themeColor="text1"/>
        </w:rPr>
        <w:t>根据</w:t>
      </w:r>
      <w:r>
        <w:rPr>
          <w:rFonts w:hint="eastAsia" w:cs="宋体"/>
          <w:color w:val="000000" w:themeColor="text1"/>
          <w:kern w:val="0"/>
          <w:szCs w:val="28"/>
        </w:rPr>
        <w:t>《用电安全导则》（GB/T13869-2017）</w:t>
      </w:r>
      <w:r>
        <w:rPr>
          <w:rFonts w:hint="eastAsia" w:cs="宋体"/>
          <w:color w:val="000000" w:themeColor="text1"/>
          <w:kern w:val="0"/>
          <w:sz w:val="21"/>
          <w:szCs w:val="21"/>
        </w:rPr>
        <w:t>、</w:t>
      </w:r>
      <w:r>
        <w:rPr>
          <w:rFonts w:hint="eastAsia" w:cs="宋体"/>
          <w:color w:val="000000" w:themeColor="text1"/>
          <w:kern w:val="0"/>
          <w:szCs w:val="28"/>
        </w:rPr>
        <w:t>《供配电系统设计规范》（GB50052-2009）</w:t>
      </w:r>
      <w:r>
        <w:rPr>
          <w:rFonts w:hint="eastAsia"/>
          <w:color w:val="000000" w:themeColor="text1"/>
        </w:rPr>
        <w:t>、《20kV及以下变电所设计规范》（GB50053-2013）等标准规范的规定，对该公司的供配电采用安全检查表法进行分析评价。</w:t>
      </w:r>
    </w:p>
    <w:p>
      <w:pPr>
        <w:pStyle w:val="89"/>
        <w:rPr>
          <w:sz w:val="24"/>
          <w:szCs w:val="24"/>
        </w:rPr>
      </w:pPr>
      <w:r>
        <w:rPr>
          <w:rFonts w:hint="eastAsia"/>
          <w:sz w:val="24"/>
          <w:szCs w:val="24"/>
        </w:rPr>
        <w:t>附表4.</w:t>
      </w:r>
      <w:r>
        <w:rPr>
          <w:rFonts w:hint="eastAsia"/>
          <w:sz w:val="24"/>
          <w:szCs w:val="24"/>
          <w:lang w:val="en-US" w:eastAsia="zh-CN"/>
        </w:rPr>
        <w:t>3</w:t>
      </w:r>
      <w:r>
        <w:rPr>
          <w:rFonts w:hint="eastAsia"/>
          <w:sz w:val="24"/>
          <w:szCs w:val="24"/>
        </w:rPr>
        <w:t>-1 供配电安全检查表</w:t>
      </w:r>
    </w:p>
    <w:tbl>
      <w:tblPr>
        <w:tblStyle w:val="86"/>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6"/>
        <w:gridCol w:w="3534"/>
        <w:gridCol w:w="2284"/>
        <w:gridCol w:w="2234"/>
        <w:gridCol w:w="5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序号</w:t>
            </w:r>
          </w:p>
        </w:tc>
        <w:tc>
          <w:tcPr>
            <w:tcW w:w="353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内  容</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依 据 标 准</w:t>
            </w:r>
          </w:p>
        </w:tc>
        <w:tc>
          <w:tcPr>
            <w:tcW w:w="223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情 况</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用电产品应具有符合规定的铭牌或标志，以满足安装、使用和维护的要求。</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hint="eastAsia" w:eastAsia="宋体" w:cs="宋体"/>
                <w:color w:val="000000" w:themeColor="text1"/>
                <w:kern w:val="0"/>
                <w:sz w:val="21"/>
                <w:szCs w:val="21"/>
                <w:lang w:val="en-US" w:eastAsia="zh-CN"/>
              </w:rPr>
            </w:pPr>
            <w:r>
              <w:rPr>
                <w:rFonts w:hint="eastAsia" w:cs="宋体"/>
                <w:color w:val="000000" w:themeColor="text1"/>
                <w:kern w:val="0"/>
                <w:sz w:val="21"/>
                <w:szCs w:val="21"/>
                <w:lang w:eastAsia="en-US"/>
              </w:rPr>
              <w:t>《用电安全导则》（GB/T13869-2017）</w:t>
            </w:r>
            <w:r>
              <w:rPr>
                <w:rFonts w:hint="eastAsia" w:cs="宋体"/>
                <w:color w:val="000000" w:themeColor="text1"/>
                <w:kern w:val="0"/>
                <w:sz w:val="21"/>
                <w:szCs w:val="21"/>
                <w:lang w:val="en-US" w:eastAsia="zh-CN"/>
              </w:rPr>
              <w:t>第</w:t>
            </w:r>
            <w:r>
              <w:rPr>
                <w:rFonts w:hint="eastAsia" w:cs="宋体"/>
                <w:color w:val="000000" w:themeColor="text1"/>
                <w:kern w:val="0"/>
                <w:sz w:val="21"/>
                <w:szCs w:val="21"/>
                <w:lang w:eastAsia="en-US"/>
              </w:rPr>
              <w:t>5.2</w:t>
            </w:r>
            <w:r>
              <w:rPr>
                <w:rFonts w:hint="eastAsia" w:cs="宋体"/>
                <w:color w:val="000000" w:themeColor="text1"/>
                <w:kern w:val="0"/>
                <w:sz w:val="21"/>
                <w:szCs w:val="21"/>
                <w:lang w:val="en-US" w:eastAsia="zh-CN"/>
              </w:rPr>
              <w:t>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氟化分公司厂内的用电产品均有符合相关规定的铭牌和标志。</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用电产品应该在规定使用寿命内使用，超过使用寿命期限的应及时报废或更换，必要时按照相关规定延长使用寿命。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hint="eastAsia" w:eastAsia="宋体" w:cs="宋体"/>
                <w:color w:val="000000" w:themeColor="text1"/>
                <w:kern w:val="0"/>
                <w:sz w:val="21"/>
                <w:szCs w:val="21"/>
                <w:lang w:val="en-US" w:eastAsia="zh-CN"/>
              </w:rPr>
            </w:pPr>
            <w:r>
              <w:rPr>
                <w:rFonts w:hint="eastAsia" w:cs="宋体"/>
                <w:color w:val="000000" w:themeColor="text1"/>
                <w:kern w:val="0"/>
                <w:sz w:val="21"/>
                <w:szCs w:val="21"/>
                <w:lang w:eastAsia="en-US"/>
              </w:rPr>
              <w:t>《用电安全导则》（GB/T13869-2017）</w:t>
            </w:r>
            <w:r>
              <w:rPr>
                <w:rFonts w:hint="eastAsia" w:cs="宋体"/>
                <w:color w:val="000000" w:themeColor="text1"/>
                <w:kern w:val="0"/>
                <w:sz w:val="21"/>
                <w:szCs w:val="21"/>
                <w:lang w:val="en-US" w:eastAsia="zh-CN"/>
              </w:rPr>
              <w:t>第</w:t>
            </w:r>
            <w:r>
              <w:rPr>
                <w:rFonts w:hint="eastAsia" w:cs="宋体"/>
                <w:color w:val="000000" w:themeColor="text1"/>
                <w:kern w:val="0"/>
                <w:sz w:val="21"/>
                <w:szCs w:val="21"/>
                <w:lang w:eastAsia="en-US"/>
              </w:rPr>
              <w:t>6.3</w:t>
            </w:r>
            <w:r>
              <w:rPr>
                <w:rFonts w:hint="eastAsia" w:cs="宋体"/>
                <w:color w:val="000000" w:themeColor="text1"/>
                <w:kern w:val="0"/>
                <w:sz w:val="21"/>
                <w:szCs w:val="21"/>
                <w:lang w:val="en-US" w:eastAsia="zh-CN"/>
              </w:rPr>
              <w:t>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氟化分公司厂区内的用电产品在规定使用寿命内使用，定期进行检查更换。</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3</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任何用电产品在运行过程中，应有必要的监控或监视措施；用电产品不允许超负荷运行。</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电气装置未超负荷运行或带故障使用。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用电产品和电气线路的周围应留有足够的安全通道和工作空间，且不应堆放易燃、易爆和腐蚀性物品。</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hint="eastAsia" w:eastAsia="宋体" w:cs="宋体"/>
                <w:color w:val="000000" w:themeColor="text1"/>
                <w:kern w:val="0"/>
                <w:sz w:val="21"/>
                <w:szCs w:val="21"/>
                <w:lang w:val="en-US" w:eastAsia="zh-CN"/>
              </w:rPr>
            </w:pPr>
            <w:r>
              <w:rPr>
                <w:rFonts w:hint="eastAsia" w:cs="宋体"/>
                <w:color w:val="000000" w:themeColor="text1"/>
                <w:kern w:val="0"/>
                <w:sz w:val="21"/>
                <w:szCs w:val="21"/>
                <w:lang w:eastAsia="en-US"/>
              </w:rPr>
              <w:t>《用电安全导则》（GB/T13869-2017）</w:t>
            </w:r>
            <w:r>
              <w:rPr>
                <w:rFonts w:hint="eastAsia" w:cs="宋体"/>
                <w:color w:val="000000" w:themeColor="text1"/>
                <w:kern w:val="0"/>
                <w:sz w:val="21"/>
                <w:szCs w:val="21"/>
                <w:lang w:val="en-US" w:eastAsia="zh-CN"/>
              </w:rPr>
              <w:t>第</w:t>
            </w:r>
            <w:r>
              <w:rPr>
                <w:rFonts w:hint="eastAsia" w:cs="宋体"/>
                <w:color w:val="000000" w:themeColor="text1"/>
                <w:kern w:val="0"/>
                <w:sz w:val="21"/>
                <w:szCs w:val="21"/>
                <w:lang w:eastAsia="en-US"/>
              </w:rPr>
              <w:t>6.5</w:t>
            </w:r>
            <w:r>
              <w:rPr>
                <w:rFonts w:hint="eastAsia" w:cs="宋体"/>
                <w:color w:val="000000" w:themeColor="text1"/>
                <w:kern w:val="0"/>
                <w:sz w:val="21"/>
                <w:szCs w:val="21"/>
                <w:lang w:val="en-US" w:eastAsia="zh-CN"/>
              </w:rPr>
              <w:t>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用电设备和电气线路周围有足够的安全通道和工作空间，附近不堆放危险物品。</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5</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正常运行时会产生飞溅火花或外壳表面温度较高的用电产品，使用时应远离可燃物质或采取相应的密闭、隔离等措施，用完后及时切断电源。</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w:t>
            </w:r>
            <w:r>
              <w:rPr>
                <w:rFonts w:hint="eastAsia" w:cs="宋体"/>
                <w:color w:val="000000" w:themeColor="text1"/>
                <w:kern w:val="0"/>
                <w:sz w:val="21"/>
                <w:szCs w:val="21"/>
                <w:lang w:val="en-US" w:eastAsia="zh-CN"/>
              </w:rPr>
              <w:t>第</w:t>
            </w:r>
            <w:r>
              <w:rPr>
                <w:rFonts w:hint="eastAsia" w:cs="宋体"/>
                <w:color w:val="000000" w:themeColor="text1"/>
                <w:kern w:val="0"/>
                <w:sz w:val="21"/>
                <w:szCs w:val="21"/>
                <w:lang w:eastAsia="en-US"/>
              </w:rPr>
              <w:t>6.6</w:t>
            </w:r>
            <w:r>
              <w:rPr>
                <w:rFonts w:hint="eastAsia" w:cs="宋体"/>
                <w:color w:val="000000" w:themeColor="text1"/>
                <w:kern w:val="0"/>
                <w:sz w:val="21"/>
                <w:szCs w:val="21"/>
                <w:lang w:val="en-US" w:eastAsia="zh-CN"/>
              </w:rPr>
              <w:t>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氟化分公司作业区周边无其他可燃物质。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6</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用电产品的电气线路须具备足够的绝缘强度、机械强度和导电能力并应定期检查。</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w:t>
            </w:r>
            <w:r>
              <w:rPr>
                <w:rFonts w:hint="eastAsia" w:cs="宋体"/>
                <w:color w:val="000000" w:themeColor="text1"/>
                <w:kern w:val="0"/>
                <w:sz w:val="21"/>
                <w:szCs w:val="21"/>
                <w:lang w:val="en-US" w:eastAsia="zh-CN"/>
              </w:rPr>
              <w:t>第</w:t>
            </w:r>
            <w:r>
              <w:rPr>
                <w:rFonts w:hint="eastAsia" w:cs="宋体"/>
                <w:color w:val="000000" w:themeColor="text1"/>
                <w:kern w:val="0"/>
                <w:sz w:val="21"/>
                <w:szCs w:val="21"/>
                <w:lang w:eastAsia="en-US"/>
              </w:rPr>
              <w:t>6.7</w:t>
            </w:r>
            <w:r>
              <w:rPr>
                <w:rFonts w:hint="eastAsia" w:cs="宋体"/>
                <w:color w:val="000000" w:themeColor="text1"/>
                <w:kern w:val="0"/>
                <w:sz w:val="21"/>
                <w:szCs w:val="21"/>
                <w:lang w:val="en-US" w:eastAsia="zh-CN"/>
              </w:rPr>
              <w:t>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氟化分公司厂区使用的电气线路具备足够的绝缘强度、机械强度和导电能力。</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7</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变电所的所址应根据下列要求，经技术经济等因素综合分析和比较后确定：</w:t>
            </w:r>
            <w:r>
              <w:rPr>
                <w:rFonts w:hint="eastAsia" w:cs="宋体"/>
                <w:color w:val="000000" w:themeColor="text1"/>
                <w:kern w:val="0"/>
                <w:sz w:val="21"/>
                <w:szCs w:val="21"/>
                <w:lang w:eastAsia="zh-CN"/>
              </w:rPr>
              <w:t>①</w:t>
            </w:r>
            <w:r>
              <w:rPr>
                <w:rFonts w:hint="eastAsia" w:cs="宋体"/>
                <w:color w:val="000000" w:themeColor="text1"/>
                <w:kern w:val="0"/>
                <w:sz w:val="21"/>
                <w:szCs w:val="21"/>
                <w:lang w:eastAsia="en-US"/>
              </w:rPr>
              <w:t>宜接近负荷中心；</w:t>
            </w:r>
            <w:r>
              <w:rPr>
                <w:rFonts w:hint="eastAsia" w:cs="宋体"/>
                <w:color w:val="000000" w:themeColor="text1"/>
                <w:kern w:val="0"/>
                <w:sz w:val="21"/>
                <w:szCs w:val="21"/>
                <w:lang w:eastAsia="zh-CN"/>
              </w:rPr>
              <w:t>②</w:t>
            </w:r>
            <w:r>
              <w:rPr>
                <w:rFonts w:hint="eastAsia" w:cs="宋体"/>
                <w:color w:val="000000" w:themeColor="text1"/>
                <w:kern w:val="0"/>
                <w:sz w:val="21"/>
                <w:szCs w:val="21"/>
                <w:lang w:eastAsia="en-US"/>
              </w:rPr>
              <w:t>宜接近电源侧；</w:t>
            </w:r>
            <w:r>
              <w:rPr>
                <w:rFonts w:hint="eastAsia" w:cs="宋体"/>
                <w:color w:val="000000" w:themeColor="text1"/>
                <w:kern w:val="0"/>
                <w:sz w:val="21"/>
                <w:szCs w:val="21"/>
                <w:lang w:eastAsia="zh-CN"/>
              </w:rPr>
              <w:t>③</w:t>
            </w:r>
            <w:r>
              <w:rPr>
                <w:rFonts w:hint="eastAsia" w:cs="宋体"/>
                <w:color w:val="000000" w:themeColor="text1"/>
                <w:kern w:val="0"/>
                <w:sz w:val="21"/>
                <w:szCs w:val="21"/>
                <w:lang w:eastAsia="en-US"/>
              </w:rPr>
              <w:t>应方便进出线；</w:t>
            </w:r>
            <w:r>
              <w:rPr>
                <w:rFonts w:hint="eastAsia" w:cs="宋体"/>
                <w:color w:val="000000" w:themeColor="text1"/>
                <w:kern w:val="0"/>
                <w:sz w:val="21"/>
                <w:szCs w:val="21"/>
                <w:lang w:eastAsia="zh-CN"/>
              </w:rPr>
              <w:t>④</w:t>
            </w:r>
            <w:r>
              <w:rPr>
                <w:rFonts w:hint="eastAsia" w:cs="宋体"/>
                <w:color w:val="000000" w:themeColor="text1"/>
                <w:kern w:val="0"/>
                <w:sz w:val="21"/>
                <w:szCs w:val="21"/>
                <w:lang w:eastAsia="en-US"/>
              </w:rPr>
              <w:t>应方便设备运输；</w:t>
            </w:r>
            <w:r>
              <w:rPr>
                <w:rFonts w:hint="eastAsia" w:cs="宋体"/>
                <w:color w:val="000000" w:themeColor="text1"/>
                <w:kern w:val="0"/>
                <w:sz w:val="21"/>
                <w:szCs w:val="21"/>
                <w:lang w:eastAsia="zh-CN"/>
              </w:rPr>
              <w:t>⑤</w:t>
            </w:r>
            <w:r>
              <w:rPr>
                <w:rFonts w:hint="eastAsia" w:cs="宋体"/>
                <w:color w:val="000000" w:themeColor="text1"/>
                <w:kern w:val="0"/>
                <w:sz w:val="21"/>
                <w:szCs w:val="21"/>
                <w:lang w:eastAsia="en-US"/>
              </w:rPr>
              <w:t>不应设在有剧烈振动或高温的场所；</w:t>
            </w:r>
            <w:r>
              <w:rPr>
                <w:rFonts w:hint="eastAsia" w:cs="宋体"/>
                <w:color w:val="000000" w:themeColor="text1"/>
                <w:kern w:val="0"/>
                <w:sz w:val="21"/>
                <w:szCs w:val="21"/>
                <w:lang w:eastAsia="zh-CN"/>
              </w:rPr>
              <w:t>⑥</w:t>
            </w:r>
            <w:r>
              <w:rPr>
                <w:rFonts w:hint="eastAsia" w:cs="宋体"/>
                <w:color w:val="000000" w:themeColor="text1"/>
                <w:kern w:val="0"/>
                <w:sz w:val="21"/>
                <w:szCs w:val="21"/>
                <w:lang w:eastAsia="en-US"/>
              </w:rPr>
              <w:t>不宜设在多尘或有腐蚀性气体的场所，当无法远离时，不应设在污染源盛行风向的下风侧；</w:t>
            </w:r>
            <w:r>
              <w:rPr>
                <w:rFonts w:hint="eastAsia" w:cs="宋体"/>
                <w:color w:val="000000" w:themeColor="text1"/>
                <w:kern w:val="0"/>
                <w:sz w:val="21"/>
                <w:szCs w:val="21"/>
                <w:lang w:eastAsia="zh-CN"/>
              </w:rPr>
              <w:t>⑦</w:t>
            </w:r>
            <w:r>
              <w:rPr>
                <w:rFonts w:hint="eastAsia" w:cs="宋体"/>
                <w:color w:val="000000" w:themeColor="text1"/>
                <w:kern w:val="0"/>
                <w:sz w:val="21"/>
                <w:szCs w:val="21"/>
                <w:lang w:eastAsia="en-US"/>
              </w:rPr>
              <w:t>不应设在厕所、浴室、厨房或其他经常积水场所的正下方，也不宜设在与上述场所相贴邻的地方，当贴临时，相邻的隔墙应做无渗漏、无结露的防水处理；</w:t>
            </w:r>
            <w:r>
              <w:rPr>
                <w:rFonts w:hint="eastAsia" w:cs="宋体"/>
                <w:color w:val="000000" w:themeColor="text1"/>
                <w:kern w:val="0"/>
                <w:sz w:val="21"/>
                <w:szCs w:val="21"/>
                <w:lang w:eastAsia="zh-CN"/>
              </w:rPr>
              <w:t>⑧</w:t>
            </w:r>
            <w:r>
              <w:rPr>
                <w:rFonts w:hint="eastAsia" w:cs="宋体"/>
                <w:color w:val="000000" w:themeColor="text1"/>
                <w:kern w:val="0"/>
                <w:sz w:val="21"/>
                <w:szCs w:val="21"/>
                <w:lang w:eastAsia="en-US"/>
              </w:rPr>
              <w:t>当与有爆炸或火灾危险环境的建筑物毗连时，变电所的所址应符合现行国家标准《爆炸和火灾危险环境电力装置设计规范》GB50058的有关规定；</w:t>
            </w:r>
            <w:r>
              <w:rPr>
                <w:rFonts w:hint="eastAsia" w:cs="宋体"/>
                <w:color w:val="000000" w:themeColor="text1"/>
                <w:kern w:val="0"/>
                <w:sz w:val="21"/>
                <w:szCs w:val="21"/>
                <w:lang w:eastAsia="zh-CN"/>
              </w:rPr>
              <w:t>⑨</w:t>
            </w:r>
            <w:r>
              <w:rPr>
                <w:rFonts w:hint="eastAsia" w:cs="宋体"/>
                <w:color w:val="000000" w:themeColor="text1"/>
                <w:kern w:val="0"/>
                <w:sz w:val="21"/>
                <w:szCs w:val="21"/>
                <w:lang w:eastAsia="en-US"/>
              </w:rPr>
              <w:t>不应设在地势低洼和可能积水的场所；</w:t>
            </w:r>
            <w:r>
              <w:rPr>
                <w:rFonts w:hint="eastAsia" w:cs="宋体"/>
                <w:color w:val="000000" w:themeColor="text1"/>
                <w:kern w:val="0"/>
                <w:sz w:val="21"/>
                <w:szCs w:val="21"/>
                <w:lang w:eastAsia="zh-CN"/>
              </w:rPr>
              <w:t>⑩</w:t>
            </w:r>
            <w:r>
              <w:rPr>
                <w:rFonts w:hint="eastAsia" w:cs="宋体"/>
                <w:color w:val="000000" w:themeColor="text1"/>
                <w:kern w:val="0"/>
                <w:sz w:val="21"/>
                <w:szCs w:val="21"/>
                <w:lang w:eastAsia="en-US"/>
              </w:rPr>
              <w:t>不宜设在对防电磁干扰有较高要求的设备机房的正上方、正下方或与其贴邻的场所，当需要设在上述场所时，应采取防电磁干扰</w:t>
            </w:r>
            <w:r>
              <w:rPr>
                <w:rFonts w:hint="eastAsia" w:cs="宋体"/>
                <w:color w:val="000000" w:themeColor="text1"/>
                <w:kern w:val="0"/>
                <w:sz w:val="21"/>
                <w:szCs w:val="21"/>
                <w:lang w:val="zh-CN" w:eastAsia="en-US"/>
              </w:rPr>
              <w:t>的措施。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《20kV及以下变电所设计规范》（GB50053-2013）第2.0.1条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配电室均接近负荷中心，进出方便，设备运输方便，周围无激烈振动或高温的场所，符合本条的规定。</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8</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油浸变压器的车间内变电所，不应设在三、四级耐火等级的建筑物内；当设在二级耐火等级的建筑物内时，建筑物应采取局部防火措施。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《20kV及以下变电所设计规范》（GB50053-2013）第2.0.2条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根据以往的安全评价报告结合现场调查，符合此条要求。</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9</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配电装置的布置和导体、电器、架构的选择，应符合正常运行、检修以及过电流和过电压等故障情况的要求。</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《20kV及以下变电所设计规范》（GB50053-2013）第3.1.1条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氟化分公司选用技术先进，经济适用和节能的设备，没有不符合国家或行业标准的产品。</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10</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配电所专用电源线的进线开关宜采用断路器或负荷开关-熔断器组合电器。当进线无继电保护和自动装置要求且无需须带负荷操作时，可采用隔离开关或隔离触头。</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《20kV及以下变电所设计规范》（GB50053-2013）第3.2.2条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氟化分公司进线开关采用相应的断路器。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11</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配电所的非专用电源线的进线侧，应装设断路器或负荷开关-熔断器组合电器。</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《20kV及以下变电所设计规范》（GB50053-2013）第3.2.4条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氟化分公司非专用电源线设置有带保护的开关设备。</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12</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变电所宜单层布置。当采用双层布置时，变压器应设在底层。设于二层的配电室应设搬运设备的通道、平台或孔洞。</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《20kV及以下变电所设计规范》（GB50053-2013）第4.1.7条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氟化分公司配电室布置合理。</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13</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设置于变电所内的非封闭式干式变压器，应装设高度不低于1.8m的固定围栏，围栏网孔不应大于40mm×40mm。变压器的外廓与遮栏的净距不宜小于0.6m，变压器之间的净距不应小于1.0m。</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《20kV及以下变电所设计规范》（GB50053-2013）第4.2.5条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氟化分公司所设置的变压器安全设施防护符合上述要求。</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14</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变压器室、配电室和电容器室的耐火等级不应低于二级。</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《20kV及以下变电所设计规范》（GB50053-2013）第6.1.1条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配电室的耐火等级为二级。</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15</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变压器室、配电室、电容器室的门应向外开启。相邻配电室之间有门</w:t>
            </w:r>
            <w:r>
              <w:rPr>
                <w:rFonts w:hint="eastAsia" w:cs="宋体"/>
                <w:color w:val="000000" w:themeColor="text1"/>
                <w:kern w:val="0"/>
                <w:sz w:val="21"/>
                <w:szCs w:val="21"/>
                <w:lang w:val="zh-CN" w:eastAsia="en-US"/>
              </w:rPr>
              <w:t>时，应采用不然材料制作的双向弹簧门。</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w:t>
            </w:r>
            <w:r>
              <w:rPr>
                <w:rFonts w:hint="eastAsia" w:cs="宋体"/>
                <w:color w:val="000000" w:themeColor="text1"/>
                <w:kern w:val="0"/>
                <w:sz w:val="21"/>
                <w:szCs w:val="21"/>
                <w:lang w:val="zh-CN" w:eastAsia="en-US"/>
              </w:rPr>
              <w:t>6.2.2条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氟化分公司配电室的</w:t>
            </w:r>
            <w:r>
              <w:rPr>
                <w:rFonts w:hint="eastAsia" w:cs="宋体"/>
                <w:color w:val="000000" w:themeColor="text1"/>
                <w:kern w:val="0"/>
                <w:sz w:val="21"/>
                <w:szCs w:val="21"/>
                <w:lang w:val="zh-CN" w:eastAsia="en-US"/>
              </w:rPr>
              <w:t>防火门向外开启。</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16</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变压器室、配电室、电容器室等房间应设置防止雨、雪和蛇、鼠等小动物从采光窗、通风窗、门、电缆等进入室内的设施。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《20kV及以下变电所设计规范》（GB50053-2013）第6.2.4条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配电室门窗设置防小动物进入措施。</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17</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高、低压配电室、变压器室、电容器室、控制室内不应有无关的管道和线路通过。</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《20kV及以下变电所设计规范》（GB50053-2013）第6.4.1条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无其他无关的管道和线路通过。</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18</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电力负荷应根据对供电可靠性的要求及中断供电在对人身安全、经济损失上所造成的影响程度进行分级，并应符合下列规定：符合下列情况之一时，应视为一级负荷</w:t>
            </w:r>
            <w:r>
              <w:rPr>
                <w:rFonts w:hint="eastAsia" w:cs="宋体"/>
                <w:color w:val="000000" w:themeColor="text1"/>
                <w:kern w:val="0"/>
                <w:sz w:val="21"/>
                <w:szCs w:val="21"/>
                <w:lang w:eastAsia="zh-CN"/>
              </w:rPr>
              <w:t>①</w:t>
            </w:r>
            <w:r>
              <w:rPr>
                <w:rFonts w:hint="eastAsia" w:cs="宋体"/>
                <w:color w:val="000000" w:themeColor="text1"/>
                <w:kern w:val="0"/>
                <w:sz w:val="21"/>
                <w:szCs w:val="21"/>
                <w:lang w:eastAsia="en-US"/>
              </w:rPr>
              <w:t>中断供电将造成人身伤亡时。</w:t>
            </w:r>
            <w:r>
              <w:rPr>
                <w:rFonts w:hint="eastAsia" w:cs="宋体"/>
                <w:color w:val="000000" w:themeColor="text1"/>
                <w:kern w:val="0"/>
                <w:sz w:val="21"/>
                <w:szCs w:val="21"/>
                <w:lang w:eastAsia="zh-CN"/>
              </w:rPr>
              <w:t>②</w:t>
            </w:r>
            <w:r>
              <w:rPr>
                <w:rFonts w:hint="eastAsia" w:cs="宋体"/>
                <w:color w:val="000000" w:themeColor="text1"/>
                <w:kern w:val="0"/>
                <w:sz w:val="21"/>
                <w:szCs w:val="21"/>
                <w:lang w:eastAsia="en-US"/>
              </w:rPr>
              <w:t>中断供电将在经济上造成重大损失时。</w:t>
            </w:r>
            <w:r>
              <w:rPr>
                <w:rFonts w:hint="eastAsia" w:cs="宋体"/>
                <w:color w:val="000000" w:themeColor="text1"/>
                <w:kern w:val="0"/>
                <w:sz w:val="21"/>
                <w:szCs w:val="21"/>
                <w:lang w:eastAsia="zh-CN"/>
              </w:rPr>
              <w:t>③</w:t>
            </w:r>
            <w:r>
              <w:rPr>
                <w:rFonts w:hint="eastAsia" w:cs="宋体"/>
                <w:color w:val="000000" w:themeColor="text1"/>
                <w:kern w:val="0"/>
                <w:sz w:val="21"/>
                <w:szCs w:val="21"/>
                <w:lang w:eastAsia="en-US"/>
              </w:rPr>
              <w:t>中断供电将影响重要用电单位的正常工作。在一级负荷中，当中断供电将造成重大设备损坏或发生中毒、爆炸和火灾等情况的负荷，以及特别重要场所的不允许中断供电的负荷，应视为一级负荷中特别重要的负荷。符合下列情况之一时，应视为二级负荷</w:t>
            </w:r>
            <w:r>
              <w:rPr>
                <w:rFonts w:hint="eastAsia" w:cs="宋体"/>
                <w:color w:val="000000" w:themeColor="text1"/>
                <w:kern w:val="0"/>
                <w:sz w:val="21"/>
                <w:szCs w:val="21"/>
                <w:lang w:eastAsia="zh-CN"/>
              </w:rPr>
              <w:t>①</w:t>
            </w:r>
            <w:r>
              <w:rPr>
                <w:rFonts w:hint="eastAsia" w:cs="宋体"/>
                <w:color w:val="000000" w:themeColor="text1"/>
                <w:kern w:val="0"/>
                <w:sz w:val="21"/>
                <w:szCs w:val="21"/>
                <w:lang w:eastAsia="en-US"/>
              </w:rPr>
              <w:t>中断供电将在经济上造成较大损失时。</w:t>
            </w:r>
            <w:r>
              <w:rPr>
                <w:rFonts w:hint="eastAsia" w:cs="宋体"/>
                <w:color w:val="000000" w:themeColor="text1"/>
                <w:kern w:val="0"/>
                <w:sz w:val="21"/>
                <w:szCs w:val="21"/>
                <w:lang w:eastAsia="zh-CN"/>
              </w:rPr>
              <w:t>②</w:t>
            </w:r>
            <w:r>
              <w:rPr>
                <w:rFonts w:hint="eastAsia" w:cs="宋体"/>
                <w:color w:val="000000" w:themeColor="text1"/>
                <w:kern w:val="0"/>
                <w:sz w:val="21"/>
                <w:szCs w:val="21"/>
                <w:lang w:eastAsia="en-US"/>
              </w:rPr>
              <w:t>中断供电将影响较重要用电单位的正常工作。不属于一级和二级负荷者应为三级负荷。</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《供配电系统设计规范》（GB50052-2009）第3.0.1条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氟化分公司的用电负荷等级为二级。</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供电电压大于等于35kV时，用户的</w:t>
            </w:r>
            <w:r>
              <w:rPr>
                <w:rFonts w:hint="eastAsia" w:cs="宋体"/>
                <w:color w:val="000000" w:themeColor="text1"/>
                <w:kern w:val="0"/>
                <w:sz w:val="21"/>
                <w:szCs w:val="21"/>
                <w:lang w:val="zh-CN" w:eastAsia="en-US"/>
              </w:rPr>
              <w:t>一级配电电压宜采用10kV；当6kV用电设备的总容量较大，选用6kV经济合理时，宜采用6kV；低压配电电压宜采用220/380V，工矿企业亦可采用660V；当安全需要时，应采用小于50V电压。</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《供配电系统设计规范》</w:t>
            </w:r>
            <w:r>
              <w:rPr>
                <w:rFonts w:hint="eastAsia" w:cs="宋体"/>
                <w:color w:val="000000" w:themeColor="text1"/>
                <w:kern w:val="0"/>
                <w:sz w:val="21"/>
                <w:szCs w:val="21"/>
                <w:lang w:val="zh-CN" w:eastAsia="en-US"/>
              </w:rPr>
              <w:t>（GB50052-2009）第5.0.2条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w:t>
            </w:r>
            <w:r>
              <w:rPr>
                <w:rFonts w:hint="eastAsia" w:cs="宋体"/>
                <w:color w:val="000000" w:themeColor="text1"/>
                <w:kern w:val="0"/>
                <w:sz w:val="21"/>
                <w:szCs w:val="21"/>
                <w:lang w:val="zh-CN" w:eastAsia="en-US"/>
              </w:rPr>
              <w:t>一级配电采用10kV，低压配电采用220/380V。</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560"/>
        <w:rPr>
          <w:color w:val="000000" w:themeColor="text1"/>
        </w:rPr>
      </w:pPr>
    </w:p>
    <w:p>
      <w:pPr>
        <w:ind w:firstLine="560"/>
        <w:rPr>
          <w:color w:val="000000" w:themeColor="text1"/>
        </w:rPr>
      </w:pPr>
      <w:r>
        <w:rPr>
          <w:rFonts w:hint="eastAsia"/>
          <w:color w:val="000000" w:themeColor="text1"/>
        </w:rPr>
        <w:t>由上述安全检查表的检查结果可知：</w:t>
      </w:r>
      <w:r>
        <w:rPr>
          <w:rFonts w:hint="eastAsia"/>
          <w:color w:val="000000" w:themeColor="text1"/>
          <w:lang w:eastAsia="zh-CN"/>
        </w:rPr>
        <w:t>昆明合起工贸有限公司澄江氟化分公司</w:t>
      </w:r>
      <w:r>
        <w:rPr>
          <w:rFonts w:hint="eastAsia"/>
          <w:color w:val="000000" w:themeColor="text1"/>
        </w:rPr>
        <w:t>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pStyle w:val="5"/>
        <w:ind w:firstLine="562"/>
      </w:pPr>
      <w:bookmarkStart w:id="2762" w:name="_Toc31421"/>
      <w:bookmarkStart w:id="2763" w:name="_Toc2036"/>
      <w:bookmarkStart w:id="2764" w:name="_Toc28827"/>
      <w:bookmarkStart w:id="2765" w:name="_Toc128056539"/>
      <w:bookmarkStart w:id="2766" w:name="_Toc9792"/>
      <w:bookmarkStart w:id="2767" w:name="_Toc26825"/>
      <w:bookmarkStart w:id="2768" w:name="_Toc12324"/>
      <w:bookmarkStart w:id="2769" w:name="_Toc118131180"/>
      <w:bookmarkStart w:id="2770" w:name="_Toc10520"/>
      <w:bookmarkStart w:id="2771" w:name="_Toc27062"/>
      <w:bookmarkStart w:id="2772" w:name="_Toc6692"/>
      <w:bookmarkStart w:id="2773" w:name="_Toc118298038"/>
      <w:bookmarkStart w:id="2774" w:name="_Toc117866126"/>
      <w:bookmarkStart w:id="2775" w:name="_Toc7176"/>
      <w:bookmarkStart w:id="2776" w:name="_Toc11065"/>
      <w:bookmarkStart w:id="2777" w:name="_Toc22832"/>
      <w:bookmarkStart w:id="2778" w:name="_Toc18735"/>
      <w:bookmarkStart w:id="2779" w:name="_Toc31539"/>
      <w:r>
        <w:rPr>
          <w:rFonts w:hint="eastAsia"/>
        </w:rPr>
        <w:t>4.</w:t>
      </w:r>
      <w:r>
        <w:rPr>
          <w:rFonts w:hint="eastAsia"/>
          <w:lang w:val="en-US" w:eastAsia="zh-CN"/>
        </w:rPr>
        <w:t>3</w:t>
      </w:r>
      <w:r>
        <w:rPr>
          <w:rFonts w:hint="eastAsia"/>
        </w:rPr>
        <w:t>.2 给排水检查</w:t>
      </w:r>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bookmarkEnd w:id="2778"/>
      <w:bookmarkEnd w:id="2779"/>
    </w:p>
    <w:p>
      <w:pPr>
        <w:ind w:firstLine="560"/>
        <w:rPr>
          <w:color w:val="000000" w:themeColor="text1"/>
        </w:rPr>
      </w:pPr>
      <w:r>
        <w:rPr>
          <w:rFonts w:hint="eastAsia"/>
          <w:color w:val="000000" w:themeColor="text1"/>
        </w:rPr>
        <w:t>根据《工业企业总平面设计规范》（GB50187-2012）等相关要求，编制检查表对氟化分公司的给排水情况进行检查，其检查结果见下表。</w:t>
      </w:r>
    </w:p>
    <w:p>
      <w:pPr>
        <w:pStyle w:val="89"/>
        <w:rPr>
          <w:sz w:val="24"/>
          <w:szCs w:val="24"/>
        </w:rPr>
      </w:pPr>
      <w:r>
        <w:rPr>
          <w:rFonts w:hint="eastAsia"/>
          <w:sz w:val="24"/>
          <w:szCs w:val="24"/>
        </w:rPr>
        <w:t>附表4.</w:t>
      </w:r>
      <w:r>
        <w:rPr>
          <w:rFonts w:hint="eastAsia"/>
          <w:sz w:val="24"/>
          <w:szCs w:val="24"/>
          <w:lang w:val="en-US" w:eastAsia="zh-CN"/>
        </w:rPr>
        <w:t>3</w:t>
      </w:r>
      <w:r>
        <w:rPr>
          <w:rFonts w:hint="eastAsia"/>
          <w:sz w:val="24"/>
          <w:szCs w:val="24"/>
        </w:rPr>
        <w:t>-2 给排水安全检查表</w:t>
      </w:r>
    </w:p>
    <w:tbl>
      <w:tblPr>
        <w:tblStyle w:val="86"/>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3478"/>
        <w:gridCol w:w="2046"/>
        <w:gridCol w:w="2536"/>
        <w:gridCol w:w="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3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序号</w:t>
            </w:r>
          </w:p>
        </w:tc>
        <w:tc>
          <w:tcPr>
            <w:tcW w:w="3478"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内  容</w:t>
            </w:r>
          </w:p>
        </w:tc>
        <w:tc>
          <w:tcPr>
            <w:tcW w:w="204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依 据 标 准</w:t>
            </w:r>
          </w:p>
        </w:tc>
        <w:tc>
          <w:tcPr>
            <w:tcW w:w="253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情 况</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3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w:t>
            </w:r>
          </w:p>
        </w:tc>
        <w:tc>
          <w:tcPr>
            <w:tcW w:w="3478"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场地应有完整、有效的雨水排水系统。场地雨水的排除方式，应结合工业企业所在地区的雨水排除方式、建筑密度、环境卫生要求、地质和气候条件等因素，合理选择暗管、明沟或地面自然排渗等方式。</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《工业企业总平面设计规范》（GB50187-2012）第7.4.1条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氟化分公司厂内按设计要求对排水系统进行了施工，有较完整、有效的雨水排水系统。</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3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w:t>
            </w:r>
          </w:p>
        </w:tc>
        <w:tc>
          <w:tcPr>
            <w:tcW w:w="3478"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场地雨水排水设计流量计算，应符合现行国家标准《室外排水设计标准》GB50014-2021规定。</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《工业企业总平面设计规范》（GB50187-2012）第7.4.2条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氟化分公司厂内按设计要求对排水系统进行了施工，场地雨水排水符合有关规定要求。</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3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3</w:t>
            </w:r>
          </w:p>
        </w:tc>
        <w:tc>
          <w:tcPr>
            <w:tcW w:w="3478"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当采用明沟排水时，排水沟宜沿铁路、道路布置，并宜避免与其交叉。排出厂外的雨水，应避免对其它工程设施或农田造成危害。</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《工业企业总平面设计规范》（GB50187-2012）第7.4.3条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明沟排水沟沿厂内道路布置，排出厂外的雨水，没有对其它工程设施造成危害。</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3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478"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排水明沟的铺砌方式，应根据所处地段的土质和流速等情况确定，应符合下列规定：厂区明沟宜加铺砌；对厂容、卫生和安全要求较高的地段，尚应铺设盖板；矿山及厂区的边缘地段，可采用土明沟。</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《工业企业总平面设计规范》（GB50187-2012）第7.4.4条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氟化分公司内的排水沟采用明沟。</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0" w:firstLineChars="0"/>
        <w:rPr>
          <w:rFonts w:ascii="宋体" w:hAnsi="宋体" w:cs="宋体"/>
          <w:color w:val="000000" w:themeColor="text1"/>
          <w:szCs w:val="28"/>
        </w:rPr>
      </w:pPr>
    </w:p>
    <w:p>
      <w:pPr>
        <w:ind w:firstLine="560"/>
        <w:rPr>
          <w:color w:val="000000" w:themeColor="text1"/>
        </w:rPr>
      </w:pPr>
      <w:r>
        <w:rPr>
          <w:rFonts w:hint="eastAsia"/>
          <w:color w:val="000000" w:themeColor="text1"/>
        </w:rPr>
        <w:t>由上述安全检查表的检查结果可知：</w:t>
      </w:r>
      <w:r>
        <w:rPr>
          <w:rFonts w:hint="eastAsia"/>
          <w:color w:val="000000" w:themeColor="text1"/>
          <w:lang w:eastAsia="zh-CN"/>
        </w:rPr>
        <w:t>昆明合起工贸有限公司澄江氟化分公司</w:t>
      </w:r>
      <w:r>
        <w:rPr>
          <w:rFonts w:hint="eastAsia"/>
          <w:color w:val="000000" w:themeColor="text1"/>
        </w:rPr>
        <w:t>的给排水系统均按国家相关的标准规范进行了安装、使用，符合《工业企业总平面设计规范》（GB50187-2012）等相关的规范要求，能满足生产的需要。</w:t>
      </w:r>
    </w:p>
    <w:p>
      <w:pPr>
        <w:pStyle w:val="5"/>
        <w:ind w:firstLine="562"/>
      </w:pPr>
      <w:bookmarkStart w:id="2780" w:name="_Toc32752"/>
      <w:bookmarkStart w:id="2781" w:name="_Toc24766"/>
      <w:bookmarkStart w:id="2782" w:name="_Toc9496"/>
      <w:bookmarkStart w:id="2783" w:name="_Toc17786"/>
      <w:bookmarkStart w:id="2784" w:name="_Toc28705"/>
      <w:bookmarkStart w:id="2785" w:name="_Toc28639"/>
      <w:bookmarkStart w:id="2786" w:name="_Toc128056540"/>
      <w:bookmarkStart w:id="2787" w:name="_Toc118298039"/>
      <w:bookmarkStart w:id="2788" w:name="_Toc30101"/>
      <w:bookmarkStart w:id="2789" w:name="_Toc9411"/>
      <w:bookmarkStart w:id="2790" w:name="_Toc13939"/>
      <w:bookmarkStart w:id="2791" w:name="_Toc118131181"/>
      <w:bookmarkStart w:id="2792" w:name="_Toc117866127"/>
      <w:bookmarkStart w:id="2793" w:name="_Toc21725"/>
      <w:bookmarkStart w:id="2794" w:name="_Toc11874"/>
      <w:bookmarkStart w:id="2795" w:name="_Toc28985"/>
      <w:bookmarkStart w:id="2796" w:name="_Toc24870"/>
      <w:bookmarkStart w:id="2797" w:name="_Toc32496"/>
      <w:r>
        <w:rPr>
          <w:rFonts w:hint="eastAsia"/>
        </w:rPr>
        <w:t>4.</w:t>
      </w:r>
      <w:r>
        <w:rPr>
          <w:rFonts w:hint="eastAsia"/>
          <w:lang w:val="en-US" w:eastAsia="zh-CN"/>
        </w:rPr>
        <w:t>3</w:t>
      </w:r>
      <w:r>
        <w:rPr>
          <w:rFonts w:hint="eastAsia"/>
        </w:rPr>
        <w:t>.3 消防设施检查</w:t>
      </w:r>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p>
    <w:p>
      <w:pPr>
        <w:ind w:firstLine="560"/>
        <w:rPr>
          <w:color w:val="000000" w:themeColor="text1"/>
        </w:rPr>
      </w:pPr>
      <w:r>
        <w:rPr>
          <w:rFonts w:hint="eastAsia"/>
          <w:color w:val="000000" w:themeColor="text1"/>
        </w:rPr>
        <w:t>根据《中华人民共和国消防法》（中华人民共和国主席令第81号）、《建筑灭火器配置设计规范》（GB50140-2005）、《建筑设计防火规范（2018年版）》（GB50016-2014）等法规、标准的相关要求，对氟化分公司消防安全检查情况见下表。</w:t>
      </w:r>
    </w:p>
    <w:p>
      <w:pPr>
        <w:pStyle w:val="89"/>
        <w:rPr>
          <w:sz w:val="24"/>
          <w:szCs w:val="24"/>
        </w:rPr>
      </w:pPr>
      <w:r>
        <w:rPr>
          <w:rFonts w:hint="eastAsia"/>
          <w:sz w:val="24"/>
          <w:szCs w:val="24"/>
        </w:rPr>
        <w:t>附表4.</w:t>
      </w:r>
      <w:r>
        <w:rPr>
          <w:rFonts w:hint="eastAsia"/>
          <w:sz w:val="24"/>
          <w:szCs w:val="24"/>
          <w:lang w:val="en-US" w:eastAsia="zh-CN"/>
        </w:rPr>
        <w:t>3</w:t>
      </w:r>
      <w:r>
        <w:rPr>
          <w:rFonts w:hint="eastAsia"/>
          <w:sz w:val="24"/>
          <w:szCs w:val="24"/>
        </w:rPr>
        <w:t>-3 消防安全检查表</w:t>
      </w:r>
    </w:p>
    <w:tbl>
      <w:tblPr>
        <w:tblStyle w:val="86"/>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6"/>
        <w:gridCol w:w="3328"/>
        <w:gridCol w:w="2456"/>
        <w:gridCol w:w="2226"/>
        <w:gridCol w:w="6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序号</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  查  内  容</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依 据 标 准</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 查 情 况</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1</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按照国家标准、行业标准配置消防设施、器材，设置消防安全标志，并定期组织检验、维修，确保完好有效。</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《中华人民共和国消防法》</w:t>
            </w:r>
            <w:r>
              <w:rPr>
                <w:rFonts w:hint="eastAsia"/>
                <w:color w:val="000000" w:themeColor="text1"/>
                <w:sz w:val="21"/>
                <w:szCs w:val="21"/>
                <w:lang w:eastAsia="en-US"/>
              </w:rPr>
              <w:t>（中华人民共和国主席令第81号）</w:t>
            </w:r>
            <w:r>
              <w:rPr>
                <w:rFonts w:hint="eastAsia" w:ascii="宋体" w:hAnsi="宋体" w:cs="宋体"/>
                <w:color w:val="000000" w:themeColor="text1"/>
                <w:kern w:val="0"/>
                <w:sz w:val="21"/>
                <w:szCs w:val="21"/>
                <w:lang w:eastAsia="en-US"/>
              </w:rPr>
              <w:t>第十六条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hint="eastAsia" w:ascii="宋体" w:hAnsi="宋体" w:eastAsia="宋体" w:cs="宋体"/>
                <w:color w:val="000000" w:themeColor="text1"/>
                <w:kern w:val="0"/>
                <w:sz w:val="21"/>
                <w:szCs w:val="21"/>
                <w:lang w:eastAsia="zh-CN"/>
              </w:rPr>
            </w:pPr>
            <w:r>
              <w:rPr>
                <w:rFonts w:hint="eastAsia" w:ascii="宋体" w:hAnsi="宋体" w:cs="宋体"/>
                <w:color w:val="000000" w:themeColor="text1"/>
                <w:kern w:val="0"/>
                <w:sz w:val="21"/>
                <w:szCs w:val="21"/>
                <w:lang w:eastAsia="en-US"/>
              </w:rPr>
              <w:t>氟化分公司设置有消火栓，生产车间均已配置灭火器</w:t>
            </w:r>
            <w:r>
              <w:rPr>
                <w:rFonts w:hint="eastAsia" w:ascii="宋体" w:hAnsi="宋体" w:cs="宋体"/>
                <w:color w:val="000000" w:themeColor="text1"/>
                <w:kern w:val="0"/>
                <w:sz w:val="21"/>
                <w:szCs w:val="21"/>
                <w:lang w:eastAsia="zh-CN"/>
              </w:rPr>
              <w:t>。</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2</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灭火器应设置在位置明显和便于取用的地点，且不得影响安全疏散。</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《建筑灭火器配置设计规范》（GB50140-2005）第5.1.1条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氟化分公司灭火器设置在明显和便于取用的地点，不影响安全疏散。</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3</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灭火器的摆放应稳固，其铭牌应朝外。手提式灭火器宜设置在灭火器箱内或挂钩、托架上，其顶部离地面高度不应大于1.50m；底部离地面高度不宜小于0.08m。灭火器箱不得上锁。</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《建筑灭火器配置设计规范》（GB50140-2005）第5.1.3条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灭火器的摆放稳固，其铭牌朝外。手提式灭火器设置在灭火器箱内，灭火器箱未上锁。</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4</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在开关站、变配电室、控制室、液压站等按规定配有足够数量的干粉灭火器。</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氟化分公司在配电室、柴油发电机房、生产车间、装卸区均配置了灭</w:t>
            </w:r>
            <w:r>
              <w:rPr>
                <w:rFonts w:hint="eastAsia" w:ascii="宋体" w:hAnsi="宋体" w:cs="宋体"/>
                <w:color w:val="000000" w:themeColor="text1"/>
                <w:kern w:val="0"/>
                <w:sz w:val="21"/>
                <w:szCs w:val="21"/>
                <w:lang w:val="zh-CN" w:eastAsia="en-US"/>
              </w:rPr>
              <w:t>火器等消防设施。</w:t>
            </w:r>
            <w:r>
              <w:rPr>
                <w:rFonts w:hint="eastAsia" w:ascii="宋体" w:hAnsi="宋体" w:cs="宋体"/>
                <w:color w:val="000000" w:themeColor="text1"/>
                <w:kern w:val="0"/>
                <w:sz w:val="21"/>
                <w:szCs w:val="21"/>
                <w:lang w:eastAsia="en-US"/>
              </w:rPr>
              <w:t>、</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5</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在主要生产区域设有室内消火栓、室外消火栓及消防管网。</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《建筑设计防火规范（2018年版）》（GB50016-2014）</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氟化分公司生产车间设置有室内消火栓，消防管采用直埋敷设。</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6</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除住宅外的民用建筑、厂房（仓库）、储罐（区）、堆场应设置灭火器；住宅宜设置灭火器或轻便消防水龙。灭火器的配置设计应符合现行国家标准《建筑灭火器配置设计规范》GB50140的有关规定。</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hint="eastAsia" w:ascii="宋体" w:eastAsia="宋体" w:cs="宋体"/>
                <w:color w:val="000000" w:themeColor="text1"/>
                <w:sz w:val="21"/>
                <w:szCs w:val="21"/>
                <w:lang w:val="en-US" w:eastAsia="zh-CN"/>
              </w:rPr>
            </w:pPr>
            <w:r>
              <w:rPr>
                <w:rFonts w:hint="eastAsia" w:ascii="宋体" w:eastAsia="宋体" w:cs="宋体"/>
                <w:color w:val="000000" w:themeColor="text1"/>
                <w:sz w:val="21"/>
                <w:szCs w:val="21"/>
                <w:lang w:eastAsia="en-US"/>
              </w:rPr>
              <w:t>《建筑设计防火规范（2018年版）》（GB50016-2014）</w:t>
            </w:r>
            <w:r>
              <w:rPr>
                <w:rFonts w:hint="eastAsia" w:ascii="宋体" w:eastAsia="宋体" w:cs="宋体"/>
                <w:color w:val="000000" w:themeColor="text1"/>
                <w:sz w:val="21"/>
                <w:szCs w:val="21"/>
                <w:lang w:val="en-US" w:eastAsia="zh-CN"/>
              </w:rPr>
              <w:t>第</w:t>
            </w:r>
            <w:r>
              <w:rPr>
                <w:rFonts w:hint="eastAsia" w:ascii="宋体" w:eastAsia="宋体" w:cs="宋体"/>
                <w:color w:val="000000" w:themeColor="text1"/>
                <w:sz w:val="21"/>
                <w:szCs w:val="21"/>
                <w:lang w:eastAsia="en-US"/>
              </w:rPr>
              <w:t>8.1.6</w:t>
            </w:r>
            <w:r>
              <w:rPr>
                <w:rFonts w:hint="eastAsia" w:ascii="宋体" w:eastAsia="宋体" w:cs="宋体"/>
                <w:color w:val="000000" w:themeColor="text1"/>
                <w:sz w:val="21"/>
                <w:szCs w:val="21"/>
                <w:lang w:val="en-US" w:eastAsia="zh-CN"/>
              </w:rPr>
              <w:t>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氟化分公司灭火器的配置设计符合现行国家标准《建筑灭火器配置设计规范》GB50140的有关规定。</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7</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厂房（仓库）的消防给水系统应设室外消防栓和室内消防栓。</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hint="eastAsia" w:ascii="宋体" w:eastAsia="宋体" w:cs="宋体"/>
                <w:color w:val="000000" w:themeColor="text1"/>
                <w:sz w:val="21"/>
                <w:szCs w:val="21"/>
                <w:lang w:val="en-US" w:eastAsia="zh-CN"/>
              </w:rPr>
            </w:pPr>
            <w:r>
              <w:rPr>
                <w:rFonts w:hint="eastAsia" w:ascii="宋体" w:eastAsia="宋体" w:cs="宋体"/>
                <w:color w:val="000000" w:themeColor="text1"/>
                <w:sz w:val="21"/>
                <w:szCs w:val="21"/>
                <w:lang w:eastAsia="en-US"/>
              </w:rPr>
              <w:t>《建筑设计防火规范（2018年版）》（GB50016-2014）</w:t>
            </w:r>
            <w:r>
              <w:rPr>
                <w:rFonts w:hint="eastAsia" w:ascii="宋体" w:eastAsia="宋体" w:cs="宋体"/>
                <w:color w:val="000000" w:themeColor="text1"/>
                <w:sz w:val="21"/>
                <w:szCs w:val="21"/>
                <w:lang w:val="en-US" w:eastAsia="zh-CN"/>
              </w:rPr>
              <w:t>第</w:t>
            </w:r>
            <w:r>
              <w:rPr>
                <w:rFonts w:hint="eastAsia" w:ascii="宋体" w:eastAsia="宋体" w:cs="宋体"/>
                <w:color w:val="000000" w:themeColor="text1"/>
                <w:sz w:val="21"/>
                <w:szCs w:val="21"/>
                <w:lang w:eastAsia="en-US"/>
              </w:rPr>
              <w:t>8.1.2</w:t>
            </w:r>
            <w:r>
              <w:rPr>
                <w:rFonts w:hint="eastAsia" w:ascii="宋体" w:eastAsia="宋体" w:cs="宋体"/>
                <w:color w:val="000000" w:themeColor="text1"/>
                <w:sz w:val="21"/>
                <w:szCs w:val="21"/>
                <w:lang w:val="en-US" w:eastAsia="zh-CN"/>
              </w:rPr>
              <w:t>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消防给水系统设有室外消防栓和室内消防栓。</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bl>
    <w:p>
      <w:pPr>
        <w:ind w:firstLine="560"/>
        <w:rPr>
          <w:color w:val="000000" w:themeColor="text1"/>
        </w:rPr>
      </w:pPr>
    </w:p>
    <w:p>
      <w:pPr>
        <w:ind w:firstLine="560"/>
        <w:rPr>
          <w:color w:val="000000" w:themeColor="text1"/>
        </w:rPr>
      </w:pPr>
      <w:r>
        <w:rPr>
          <w:rFonts w:hint="eastAsia"/>
          <w:color w:val="000000" w:themeColor="text1"/>
        </w:rPr>
        <w:t>由上述安全检查表的检查结果可知：</w:t>
      </w:r>
      <w:r>
        <w:rPr>
          <w:rFonts w:hint="eastAsia"/>
          <w:color w:val="000000" w:themeColor="text1"/>
          <w:lang w:eastAsia="zh-CN"/>
        </w:rPr>
        <w:t>昆明合起工贸有限公司澄江氟化分公司</w:t>
      </w:r>
      <w:r>
        <w:rPr>
          <w:rFonts w:hint="eastAsia"/>
          <w:color w:val="000000" w:themeColor="text1"/>
        </w:rPr>
        <w:t>的消防设施符合《中华人民共和国消防法》</w:t>
      </w:r>
      <w:r>
        <w:rPr>
          <w:rFonts w:hint="eastAsia"/>
          <w:color w:val="000000" w:themeColor="text1"/>
          <w:szCs w:val="28"/>
        </w:rPr>
        <w:t>（中华人民共和国主席令第81号）</w:t>
      </w:r>
      <w:r>
        <w:rPr>
          <w:rFonts w:hint="eastAsia"/>
          <w:color w:val="000000" w:themeColor="text1"/>
        </w:rPr>
        <w:t>、《建筑灭火器配置设计规范》（GB50140-2005）、《建筑设计防火规范</w:t>
      </w:r>
      <w:r>
        <w:rPr>
          <w:rFonts w:hint="eastAsia" w:ascii="宋体" w:cs="宋体"/>
          <w:color w:val="000000" w:themeColor="text1"/>
          <w:szCs w:val="28"/>
        </w:rPr>
        <w:t>（2018年版）</w:t>
      </w:r>
      <w:r>
        <w:rPr>
          <w:rFonts w:hint="eastAsia"/>
          <w:color w:val="000000" w:themeColor="text1"/>
        </w:rPr>
        <w:t>》（GB50016-2014）等规范的相关要求。</w:t>
      </w:r>
    </w:p>
    <w:p>
      <w:pPr>
        <w:pStyle w:val="5"/>
        <w:ind w:firstLine="562"/>
      </w:pPr>
      <w:bookmarkStart w:id="2798" w:name="_Toc22213"/>
      <w:bookmarkStart w:id="2799" w:name="_Toc5091"/>
      <w:bookmarkStart w:id="2800" w:name="_Toc23761"/>
      <w:bookmarkStart w:id="2801" w:name="_Toc26177"/>
      <w:bookmarkStart w:id="2802" w:name="_Toc22060"/>
      <w:bookmarkStart w:id="2803" w:name="_Toc117866128"/>
      <w:bookmarkStart w:id="2804" w:name="_Toc12043"/>
      <w:bookmarkStart w:id="2805" w:name="_Toc22765"/>
      <w:bookmarkStart w:id="2806" w:name="_Toc13372"/>
      <w:bookmarkStart w:id="2807" w:name="_Toc118131182"/>
      <w:bookmarkStart w:id="2808" w:name="_Toc23874"/>
      <w:bookmarkStart w:id="2809" w:name="_Toc118298040"/>
      <w:bookmarkStart w:id="2810" w:name="_Toc30087"/>
      <w:bookmarkStart w:id="2811" w:name="_Toc9002"/>
      <w:bookmarkStart w:id="2812" w:name="_Toc128056541"/>
      <w:bookmarkStart w:id="2813" w:name="_Toc28536"/>
      <w:bookmarkStart w:id="2814" w:name="_Toc5240"/>
      <w:bookmarkStart w:id="2815" w:name="_Toc8088"/>
      <w:r>
        <w:rPr>
          <w:rFonts w:hint="eastAsia"/>
        </w:rPr>
        <w:t>4.</w:t>
      </w:r>
      <w:r>
        <w:rPr>
          <w:rFonts w:hint="eastAsia"/>
          <w:lang w:val="en-US" w:eastAsia="zh-CN"/>
        </w:rPr>
        <w:t>3</w:t>
      </w:r>
      <w:r>
        <w:rPr>
          <w:rFonts w:hint="eastAsia"/>
        </w:rPr>
        <w:t>.4 单元小结</w:t>
      </w:r>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p>
    <w:p>
      <w:pPr>
        <w:ind w:firstLine="560"/>
        <w:rPr>
          <w:color w:val="000000" w:themeColor="text1"/>
        </w:rPr>
      </w:pPr>
      <w:r>
        <w:rPr>
          <w:rFonts w:hint="eastAsia"/>
        </w:rPr>
        <w:t>1）</w:t>
      </w:r>
      <w:r>
        <w:rPr>
          <w:rFonts w:hint="eastAsia"/>
          <w:color w:val="000000" w:themeColor="text1"/>
          <w:lang w:eastAsia="zh-CN"/>
        </w:rPr>
        <w:t>昆明合起工贸有限公司澄江氟化分公司</w:t>
      </w:r>
      <w:r>
        <w:rPr>
          <w:rFonts w:hint="eastAsia"/>
          <w:color w:val="000000" w:themeColor="text1"/>
        </w:rPr>
        <w:t>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ind w:firstLine="560"/>
        <w:rPr>
          <w:color w:val="000000" w:themeColor="text1"/>
        </w:rPr>
      </w:pPr>
      <w:r>
        <w:rPr>
          <w:rFonts w:hint="eastAsia"/>
        </w:rPr>
        <w:t>2）</w:t>
      </w:r>
      <w:r>
        <w:rPr>
          <w:rFonts w:hint="eastAsia"/>
          <w:color w:val="000000" w:themeColor="text1"/>
          <w:lang w:eastAsia="zh-CN"/>
        </w:rPr>
        <w:t>昆明合起工贸有限公司澄江氟化分公司</w:t>
      </w:r>
      <w:r>
        <w:rPr>
          <w:rFonts w:hint="eastAsia"/>
          <w:color w:val="000000" w:themeColor="text1"/>
        </w:rPr>
        <w:t>的给排水系统均按国家相关的标准规范进行了安装、使用，符合《工业企业总平面设计规范》（GB50187-2012）等相关的规范要求，能满足生产的需要。</w:t>
      </w:r>
    </w:p>
    <w:p>
      <w:pPr>
        <w:ind w:firstLine="560"/>
        <w:rPr>
          <w:color w:val="000000" w:themeColor="text1"/>
        </w:rPr>
      </w:pPr>
      <w:r>
        <w:rPr>
          <w:rFonts w:hint="eastAsia"/>
        </w:rPr>
        <w:t>3）</w:t>
      </w:r>
      <w:r>
        <w:rPr>
          <w:rFonts w:hint="eastAsia"/>
          <w:color w:val="000000" w:themeColor="text1"/>
          <w:lang w:eastAsia="zh-CN"/>
        </w:rPr>
        <w:t>昆明合起工贸有限公司澄江氟化分公司</w:t>
      </w:r>
      <w:r>
        <w:rPr>
          <w:rFonts w:hint="eastAsia"/>
          <w:color w:val="000000" w:themeColor="text1"/>
        </w:rPr>
        <w:t>的消防设施符合《中华人民共和国消防法</w:t>
      </w:r>
      <w:r>
        <w:rPr>
          <w:rFonts w:hint="eastAsia"/>
          <w:color w:val="000000" w:themeColor="text1"/>
          <w:szCs w:val="28"/>
        </w:rPr>
        <w:t>》（中华人民共和国主席令第81号）</w:t>
      </w:r>
      <w:r>
        <w:rPr>
          <w:rFonts w:hint="eastAsia"/>
          <w:color w:val="000000" w:themeColor="text1"/>
        </w:rPr>
        <w:t>、《建筑灭火器配置设计规范》（GB50140-2005）、《建筑设计防火规范（2018年版）》（GB50016-2014）等规范的相关要求。</w:t>
      </w:r>
    </w:p>
    <w:p>
      <w:pPr>
        <w:pStyle w:val="4"/>
        <w:keepNext w:val="0"/>
        <w:keepLines w:val="0"/>
        <w:ind w:firstLine="562"/>
        <w:rPr>
          <w:color w:val="000000" w:themeColor="text1"/>
        </w:rPr>
      </w:pPr>
      <w:bookmarkStart w:id="2816" w:name="_Toc62219379"/>
      <w:bookmarkStart w:id="2817" w:name="_Toc16657"/>
      <w:bookmarkStart w:id="2818" w:name="_Toc29280"/>
      <w:bookmarkStart w:id="2819" w:name="_Toc32018"/>
      <w:bookmarkStart w:id="2820" w:name="_Toc4649"/>
      <w:bookmarkStart w:id="2821" w:name="_Toc4134"/>
      <w:bookmarkStart w:id="2822" w:name="_Toc14893"/>
      <w:bookmarkStart w:id="2823" w:name="_Toc14972"/>
      <w:bookmarkStart w:id="2824" w:name="_Toc8752"/>
      <w:bookmarkStart w:id="2825" w:name="_Toc15340"/>
      <w:bookmarkStart w:id="2826" w:name="_Toc21769"/>
      <w:bookmarkStart w:id="2827" w:name="_Toc8453"/>
      <w:bookmarkStart w:id="2828" w:name="_Toc62740980"/>
      <w:bookmarkStart w:id="2829" w:name="_Toc11776"/>
      <w:bookmarkStart w:id="2830" w:name="_Toc32699"/>
      <w:bookmarkStart w:id="2831" w:name="_Toc28286"/>
      <w:bookmarkStart w:id="2832" w:name="_Toc951"/>
      <w:bookmarkStart w:id="2833" w:name="_Toc128056542"/>
      <w:bookmarkStart w:id="2834" w:name="_Toc19862"/>
      <w:bookmarkStart w:id="2835" w:name="_Toc27704"/>
      <w:bookmarkStart w:id="2836" w:name="_Toc24488"/>
      <w:bookmarkStart w:id="2837" w:name="_Toc14263"/>
      <w:bookmarkStart w:id="2838" w:name="_Toc6562"/>
      <w:bookmarkStart w:id="2839" w:name="_Toc22226"/>
      <w:bookmarkStart w:id="2840" w:name="_Toc6242"/>
      <w:bookmarkStart w:id="2841" w:name="_Toc19298"/>
      <w:r>
        <w:rPr>
          <w:rFonts w:hint="eastAsia"/>
          <w:bCs w:val="0"/>
          <w:color w:val="000000" w:themeColor="text1"/>
        </w:rPr>
        <w:t>4.</w:t>
      </w:r>
      <w:r>
        <w:rPr>
          <w:rFonts w:hint="eastAsia"/>
          <w:bCs w:val="0"/>
          <w:color w:val="000000" w:themeColor="text1"/>
          <w:lang w:val="en-US" w:eastAsia="zh-CN"/>
        </w:rPr>
        <w:t>4</w:t>
      </w:r>
      <w:r>
        <w:rPr>
          <w:rFonts w:hint="eastAsia"/>
          <w:bCs w:val="0"/>
          <w:color w:val="000000" w:themeColor="text1"/>
        </w:rPr>
        <w:t xml:space="preserve"> </w:t>
      </w:r>
      <w:r>
        <w:rPr>
          <w:rFonts w:hint="eastAsia"/>
          <w:color w:val="000000" w:themeColor="text1"/>
        </w:rPr>
        <w:t>安全管理及应急救援单元评价</w:t>
      </w:r>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p>
    <w:p>
      <w:pPr>
        <w:pStyle w:val="5"/>
        <w:keepNext w:val="0"/>
        <w:keepLines w:val="0"/>
        <w:ind w:firstLine="562"/>
      </w:pPr>
      <w:bookmarkStart w:id="2842" w:name="_Toc20852"/>
      <w:bookmarkStart w:id="2843" w:name="_Toc16744"/>
      <w:bookmarkStart w:id="2844" w:name="_Toc10586"/>
      <w:bookmarkStart w:id="2845" w:name="_Toc20557"/>
      <w:bookmarkStart w:id="2846" w:name="_Toc5219"/>
      <w:bookmarkStart w:id="2847" w:name="_Toc24214"/>
      <w:bookmarkStart w:id="2848" w:name="_Toc19600"/>
      <w:bookmarkStart w:id="2849" w:name="_Toc2360"/>
      <w:bookmarkStart w:id="2850" w:name="_Toc24355"/>
      <w:bookmarkStart w:id="2851" w:name="_Toc26152"/>
      <w:bookmarkStart w:id="2852" w:name="_Toc128056543"/>
      <w:bookmarkStart w:id="2853" w:name="_Toc874"/>
      <w:bookmarkStart w:id="2854" w:name="_Toc10408"/>
      <w:bookmarkStart w:id="2855" w:name="_Toc2191"/>
      <w:r>
        <w:rPr>
          <w:rFonts w:hint="eastAsia"/>
        </w:rPr>
        <w:t>4.</w:t>
      </w:r>
      <w:r>
        <w:rPr>
          <w:rFonts w:hint="eastAsia"/>
          <w:lang w:val="en-US" w:eastAsia="zh-CN"/>
        </w:rPr>
        <w:t>4</w:t>
      </w:r>
      <w:r>
        <w:rPr>
          <w:rFonts w:hint="eastAsia"/>
        </w:rPr>
        <w:t>.1 安全管理安全评价</w:t>
      </w:r>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p>
    <w:p>
      <w:pPr>
        <w:ind w:firstLine="560"/>
        <w:rPr>
          <w:color w:val="000000" w:themeColor="text1"/>
        </w:rPr>
      </w:pPr>
      <w:r>
        <w:rPr>
          <w:rFonts w:hint="eastAsia"/>
          <w:color w:val="000000" w:themeColor="text1"/>
        </w:rPr>
        <w:t>本节根据《中华人民共和国安全生产法》（中华人民共和国主席令第88号）、《生产经营单位安全培训规定》（</w:t>
      </w:r>
      <w:r>
        <w:rPr>
          <w:color w:val="000000" w:themeColor="text1"/>
        </w:rPr>
        <w:t>国家安全生产监管总局令〔2015〕第80号</w:t>
      </w:r>
      <w:r>
        <w:rPr>
          <w:rFonts w:hint="eastAsia"/>
          <w:color w:val="000000" w:themeColor="text1"/>
        </w:rPr>
        <w:t>）等法律、法规的要求，对公司安全管理现状进行检查评价，具体检查情况见附表4.</w:t>
      </w:r>
      <w:r>
        <w:rPr>
          <w:rFonts w:hint="eastAsia"/>
          <w:color w:val="000000" w:themeColor="text1"/>
          <w:lang w:val="en-US" w:eastAsia="zh-CN"/>
        </w:rPr>
        <w:t>4</w:t>
      </w:r>
      <w:r>
        <w:rPr>
          <w:rFonts w:hint="eastAsia"/>
          <w:color w:val="000000" w:themeColor="text1"/>
        </w:rPr>
        <w:t>-1。</w:t>
      </w:r>
    </w:p>
    <w:p>
      <w:pPr>
        <w:pStyle w:val="89"/>
        <w:rPr>
          <w:sz w:val="24"/>
          <w:szCs w:val="24"/>
          <w:lang w:val="zh-CN"/>
        </w:rPr>
      </w:pPr>
      <w:r>
        <w:rPr>
          <w:rFonts w:hint="eastAsia"/>
          <w:sz w:val="24"/>
          <w:szCs w:val="24"/>
        </w:rPr>
        <w:t>附</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lang w:val="en-US" w:eastAsia="zh-CN"/>
        </w:rPr>
        <w:t>4</w:t>
      </w:r>
      <w:r>
        <w:rPr>
          <w:rFonts w:hint="eastAsia"/>
          <w:sz w:val="24"/>
          <w:szCs w:val="24"/>
          <w:lang w:val="zh-CN"/>
        </w:rPr>
        <w:t>-</w:t>
      </w:r>
      <w:r>
        <w:rPr>
          <w:rFonts w:hint="eastAsia"/>
          <w:sz w:val="24"/>
          <w:szCs w:val="24"/>
        </w:rPr>
        <w:t>1 安全管理</w:t>
      </w:r>
      <w:r>
        <w:rPr>
          <w:rFonts w:hint="eastAsia"/>
          <w:sz w:val="24"/>
          <w:szCs w:val="24"/>
          <w:lang w:val="zh-CN"/>
        </w:rPr>
        <w:t>安全检查表</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3507"/>
        <w:gridCol w:w="1728"/>
        <w:gridCol w:w="2576"/>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序号</w:t>
            </w:r>
          </w:p>
        </w:tc>
        <w:tc>
          <w:tcPr>
            <w:tcW w:w="1888"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检  查  内  容</w:t>
            </w:r>
          </w:p>
        </w:tc>
        <w:tc>
          <w:tcPr>
            <w:tcW w:w="930"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依 据 标 准</w:t>
            </w:r>
          </w:p>
        </w:tc>
        <w:tc>
          <w:tcPr>
            <w:tcW w:w="1387"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实 际 情 况</w:t>
            </w:r>
          </w:p>
        </w:tc>
        <w:tc>
          <w:tcPr>
            <w:tcW w:w="404"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安全管理组织机构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矿山、金属冶炼、建筑施工、运输单位和危险物品的生产、经营、储存、装卸单位，应当设置安全生产管理机构或者配备专职安全生产管理人员。</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安全生产法》（中华人民共和国主席令第88号）第24条</w:t>
            </w:r>
          </w:p>
        </w:tc>
        <w:tc>
          <w:tcPr>
            <w:tcW w:w="1387" w:type="pct"/>
            <w:shd w:val="clear" w:color="auto" w:fill="FEFEFE"/>
            <w:vAlign w:val="center"/>
          </w:tcPr>
          <w:p>
            <w:pPr>
              <w:spacing w:line="240" w:lineRule="auto"/>
              <w:ind w:firstLine="210" w:firstLineChars="100"/>
              <w:jc w:val="left"/>
              <w:rPr>
                <w:rFonts w:hint="default" w:ascii="宋体" w:hAnsi="宋体" w:eastAsia="宋体" w:cs="宋体"/>
                <w:color w:val="auto"/>
                <w:sz w:val="21"/>
                <w:szCs w:val="21"/>
                <w:lang w:val="en-US" w:eastAsia="zh-CN"/>
              </w:rPr>
            </w:pPr>
            <w:r>
              <w:rPr>
                <w:rFonts w:hint="eastAsia" w:ascii="宋体" w:hAnsi="宋体" w:cs="宋体"/>
                <w:color w:val="auto"/>
                <w:sz w:val="21"/>
                <w:szCs w:val="21"/>
              </w:rPr>
              <w:t>公司设有安全生产领导小组，配备专职安全员1人，取得安全管理资格证。</w:t>
            </w:r>
            <w:r>
              <w:rPr>
                <w:rFonts w:hint="eastAsia" w:ascii="宋体" w:hAnsi="宋体" w:cs="宋体"/>
                <w:color w:val="auto"/>
                <w:sz w:val="21"/>
                <w:szCs w:val="21"/>
                <w:lang w:val="en-US" w:eastAsia="zh-CN"/>
              </w:rPr>
              <w:t>详见企业原始资料附件6.11；6.8。</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2</w:t>
            </w:r>
          </w:p>
        </w:tc>
        <w:tc>
          <w:tcPr>
            <w:tcW w:w="1888"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生产经营单位应当设置安全生产管理机构或者配备专职安全生产管理人员。</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olor w:val="000000" w:themeColor="text1"/>
                <w:spacing w:val="-6"/>
                <w:sz w:val="21"/>
                <w:szCs w:val="21"/>
              </w:rPr>
              <w:t>《危险化学品生产企业安全生产许可证实施办法》（国家安全生产监督管理总局令第41号）</w:t>
            </w:r>
            <w:r>
              <w:rPr>
                <w:rFonts w:hint="eastAsia" w:cs="宋体"/>
                <w:spacing w:val="-6"/>
                <w:kern w:val="0"/>
                <w:sz w:val="21"/>
                <w:szCs w:val="21"/>
              </w:rPr>
              <w:t>第8条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公司设有安全生产领导小组，配备专职安全员1人，取得安全管理资格证。</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生产经营单位必须遵守本法和其他有关安全生产的法律、法规，加强</w:t>
            </w:r>
            <w:r>
              <w:fldChar w:fldCharType="begin"/>
            </w:r>
            <w:r>
              <w:instrText xml:space="preserve"> HYPERLINK "https://baike.sogou.com/lemma/ShowInnerLink.htm?lemmaId=1301914&amp;ss_c=ssc.citiao.link" \t "https://baike.sogou.com/_blank" </w:instrText>
            </w:r>
            <w:r>
              <w:fldChar w:fldCharType="separate"/>
            </w:r>
            <w:r>
              <w:rPr>
                <w:rStyle w:val="44"/>
                <w:rFonts w:hint="eastAsia" w:ascii="宋体" w:eastAsia="宋体" w:cs="宋体"/>
                <w:color w:val="auto"/>
                <w:sz w:val="21"/>
                <w:szCs w:val="21"/>
                <w:shd w:val="clear" w:color="auto" w:fill="FFFFFF"/>
              </w:rPr>
              <w:t>安全生产管理</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，建立健全全员</w:t>
            </w:r>
            <w:r>
              <w:fldChar w:fldCharType="begin"/>
            </w:r>
            <w:r>
              <w:instrText xml:space="preserve"> HYPERLINK "https://baike.sogou.com/lemma/ShowInnerLink.htm?lemmaId=4523509&amp;ss_c=ssc.citiao.link" \t "https://baike.sogou.com/_blank" </w:instrText>
            </w:r>
            <w:r>
              <w:fldChar w:fldCharType="separate"/>
            </w:r>
            <w:r>
              <w:rPr>
                <w:rStyle w:val="44"/>
                <w:rFonts w:hint="eastAsia" w:ascii="宋体" w:eastAsia="宋体" w:cs="宋体"/>
                <w:color w:val="auto"/>
                <w:sz w:val="21"/>
                <w:szCs w:val="21"/>
                <w:shd w:val="clear" w:color="auto" w:fill="FFFFFF"/>
              </w:rPr>
              <w:t>安全生产责任制</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和安全生产规章制度，加大对安全生产资金、物资、技术、人员的投入保障力度，改善安全生产条件，加强</w:t>
            </w:r>
            <w:r>
              <w:fldChar w:fldCharType="begin"/>
            </w:r>
            <w:r>
              <w:instrText xml:space="preserve"> HYPERLINK "https://baike.sogou.com/lemma/ShowInnerLink.htm?lemmaId=44064803&amp;ss_c=ssc.citiao.link" \t "https://baike.sogou.com/_blank" </w:instrText>
            </w:r>
            <w:r>
              <w:fldChar w:fldCharType="separate"/>
            </w:r>
            <w:r>
              <w:rPr>
                <w:rStyle w:val="44"/>
                <w:rFonts w:hint="eastAsia" w:ascii="宋体" w:eastAsia="宋体" w:cs="宋体"/>
                <w:color w:val="auto"/>
                <w:sz w:val="21"/>
                <w:szCs w:val="21"/>
                <w:shd w:val="clear" w:color="auto" w:fill="FFFFFF"/>
              </w:rPr>
              <w:t>安全生产标准化</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、信息化建设，构建安全风险分级管控和</w:t>
            </w:r>
            <w:r>
              <w:fldChar w:fldCharType="begin"/>
            </w:r>
            <w:r>
              <w:instrText xml:space="preserve"> HYPERLINK "https://baike.sogou.com/lemma/ShowInnerLink.htm?lemmaId=61759501&amp;ss_c=ssc.citiao.link" \t "https://baike.sogou.com/_blank" </w:instrText>
            </w:r>
            <w:r>
              <w:fldChar w:fldCharType="separate"/>
            </w:r>
            <w:r>
              <w:rPr>
                <w:rStyle w:val="44"/>
                <w:rFonts w:hint="eastAsia" w:ascii="宋体" w:eastAsia="宋体" w:cs="宋体"/>
                <w:color w:val="auto"/>
                <w:sz w:val="21"/>
                <w:szCs w:val="21"/>
                <w:shd w:val="clear" w:color="auto" w:fill="FFFFFF"/>
              </w:rPr>
              <w:t>隐患排查治理</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双重预防机制，健全风险防范化解机制，提高安全生产水平，确保安全生产。</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安全生产法》（中华人民共和国主席令第88号）第4条</w:t>
            </w:r>
          </w:p>
        </w:tc>
        <w:tc>
          <w:tcPr>
            <w:tcW w:w="1387" w:type="pct"/>
            <w:shd w:val="clear" w:color="auto" w:fill="FEFEFE"/>
            <w:vAlign w:val="center"/>
          </w:tcPr>
          <w:p>
            <w:pPr>
              <w:spacing w:line="240" w:lineRule="auto"/>
              <w:ind w:firstLine="210" w:firstLineChars="100"/>
              <w:jc w:val="left"/>
              <w:rPr>
                <w:rFonts w:hint="default" w:ascii="宋体" w:hAnsi="宋体" w:eastAsia="宋体" w:cs="宋体"/>
                <w:color w:val="auto"/>
                <w:sz w:val="21"/>
                <w:szCs w:val="21"/>
                <w:lang w:val="en-US" w:eastAsia="zh-CN"/>
              </w:rPr>
            </w:pPr>
            <w:r>
              <w:rPr>
                <w:rFonts w:hint="eastAsia" w:ascii="宋体" w:hAnsi="宋体" w:cs="宋体"/>
                <w:color w:val="auto"/>
                <w:sz w:val="21"/>
                <w:szCs w:val="21"/>
              </w:rPr>
              <w:t>检查：氟化分公司建立了安全生产标准化管理制度，建立安全风险</w:t>
            </w:r>
            <w:r>
              <w:rPr>
                <w:rFonts w:hint="eastAsia" w:ascii="宋体" w:hAnsi="宋体" w:cs="宋体"/>
                <w:color w:val="auto"/>
                <w:sz w:val="21"/>
                <w:szCs w:val="21"/>
                <w:shd w:val="clear" w:color="auto" w:fill="FFFFFF"/>
              </w:rPr>
              <w:t>险分级管控和</w:t>
            </w:r>
            <w:r>
              <w:fldChar w:fldCharType="begin"/>
            </w:r>
            <w:r>
              <w:instrText xml:space="preserve"> HYPERLINK "https://baike.sogou.com/lemma/ShowInnerLink.htm?lemmaId=61759501&amp;ss_c=ssc.citiao.link" \t "https://baike.sogou.com/_blank" </w:instrText>
            </w:r>
            <w:r>
              <w:fldChar w:fldCharType="separate"/>
            </w:r>
            <w:r>
              <w:rPr>
                <w:rStyle w:val="44"/>
                <w:rFonts w:hint="eastAsia" w:ascii="宋体" w:hAnsi="宋体" w:cs="宋体"/>
                <w:color w:val="auto"/>
                <w:sz w:val="21"/>
                <w:szCs w:val="21"/>
                <w:shd w:val="clear" w:color="auto" w:fill="FFFFFF"/>
              </w:rPr>
              <w:t>隐患排查治理</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双重预防机制。详见企业原始资料附件</w:t>
            </w:r>
            <w:r>
              <w:rPr>
                <w:rFonts w:hint="eastAsia" w:ascii="宋体" w:hAnsi="宋体" w:cs="宋体"/>
                <w:color w:val="auto"/>
                <w:sz w:val="21"/>
                <w:szCs w:val="21"/>
                <w:shd w:val="clear" w:color="auto" w:fill="FFFFFF"/>
                <w:lang w:val="en-US" w:eastAsia="zh-CN"/>
              </w:rPr>
              <w:t>6.30。</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shd w:val="clear" w:color="auto" w:fill="FFFFFF"/>
              </w:rPr>
            </w:pPr>
            <w:r>
              <w:rPr>
                <w:rFonts w:hint="eastAsia" w:ascii="宋体" w:eastAsia="宋体" w:cs="宋体"/>
                <w:color w:val="auto"/>
                <w:sz w:val="21"/>
                <w:szCs w:val="21"/>
                <w:shd w:val="clear" w:color="auto" w:fill="FFFFFF"/>
              </w:rPr>
              <w:t>生产经营单位的主要负责人是本单位安全生产第一责任人，对本单位的安全生产工作全面负责。其他负责人对职责范围内的安全生产工作负责。</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公司安全生产责任作了规定。</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生产经营单位应当建立安全风险分级管控制度，按照安全风险分级采取相应的管控措施。</w:t>
            </w:r>
          </w:p>
          <w:p>
            <w:pPr>
              <w:pStyle w:val="32"/>
              <w:shd w:val="clear" w:color="auto" w:fill="FFFFFF"/>
              <w:spacing w:line="240" w:lineRule="auto"/>
              <w:ind w:firstLine="210" w:firstLineChars="100"/>
              <w:rPr>
                <w:rFonts w:ascii="宋体" w:eastAsia="宋体" w:cs="宋体"/>
                <w:color w:val="auto"/>
                <w:sz w:val="21"/>
                <w:szCs w:val="21"/>
                <w:shd w:val="clear" w:color="auto" w:fill="FFFFFF"/>
              </w:rPr>
            </w:pPr>
            <w:r>
              <w:rPr>
                <w:rFonts w:hint="eastAsia" w:ascii="宋体" w:eastAsia="宋体" w:cs="宋体"/>
                <w:color w:val="auto"/>
                <w:sz w:val="21"/>
                <w:szCs w:val="21"/>
                <w:shd w:val="clear" w:color="auto" w:fill="FFFFFF"/>
              </w:rPr>
              <w:t>生产经营单位应当建立健全并落实生产安全事故隐患排查治理制度，采取技术、管理措施，及时发现并消除事故隐患。事故隐患排查治理情况应当如实记录，并通过职工大会或者</w:t>
            </w:r>
            <w:r>
              <w:fldChar w:fldCharType="begin"/>
            </w:r>
            <w:r>
              <w:instrText xml:space="preserve"> HYPERLINK "https://baike.sogou.com/lemma/ShowInnerLink.htm?lemmaId=167477&amp;ss_c=ssc.citiao.link" \t "https://baike.sogou.com/_blank" </w:instrText>
            </w:r>
            <w:r>
              <w:fldChar w:fldCharType="separate"/>
            </w:r>
            <w:r>
              <w:rPr>
                <w:rStyle w:val="44"/>
                <w:rFonts w:hint="eastAsia" w:ascii="宋体" w:eastAsia="宋体" w:cs="宋体"/>
                <w:color w:val="auto"/>
                <w:sz w:val="21"/>
                <w:szCs w:val="21"/>
                <w:shd w:val="clear" w:color="auto" w:fill="FFFFFF"/>
              </w:rPr>
              <w:t>职工代表大会</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、信息公示栏等方式向从业人员通报。其中，重大事故隐患排查治理情况应当及时向负有安全生产监督管理职责的部门和职工大会或者职工代表大会报告。</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氟化分公司已建立安全风险</w:t>
            </w:r>
            <w:r>
              <w:rPr>
                <w:rFonts w:hint="eastAsia" w:ascii="宋体" w:hAnsi="宋体" w:cs="宋体"/>
                <w:color w:val="auto"/>
                <w:sz w:val="21"/>
                <w:szCs w:val="21"/>
                <w:shd w:val="clear" w:color="auto" w:fill="FFFFFF"/>
              </w:rPr>
              <w:t>险分级管控和</w:t>
            </w:r>
            <w:r>
              <w:fldChar w:fldCharType="begin"/>
            </w:r>
            <w:r>
              <w:instrText xml:space="preserve"> HYPERLINK "https://baike.sogou.com/lemma/ShowInnerLink.htm?lemmaId=61759501&amp;ss_c=ssc.citiao.link" \t "https://baike.sogou.com/_blank" </w:instrText>
            </w:r>
            <w:r>
              <w:fldChar w:fldCharType="separate"/>
            </w:r>
            <w:r>
              <w:rPr>
                <w:rStyle w:val="44"/>
                <w:rFonts w:hint="eastAsia" w:ascii="宋体" w:hAnsi="宋体" w:cs="宋体"/>
                <w:color w:val="auto"/>
                <w:sz w:val="21"/>
                <w:szCs w:val="21"/>
                <w:shd w:val="clear" w:color="auto" w:fill="FFFFFF"/>
              </w:rPr>
              <w:t>隐患排查治理</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双重预防机制。详见企业原始资料附件</w:t>
            </w:r>
            <w:r>
              <w:rPr>
                <w:rFonts w:hint="eastAsia" w:ascii="宋体" w:hAnsi="宋体" w:cs="宋体"/>
                <w:color w:val="auto"/>
                <w:sz w:val="21"/>
                <w:szCs w:val="21"/>
                <w:shd w:val="clear" w:color="auto" w:fill="FFFFFF"/>
                <w:lang w:val="en-US" w:eastAsia="zh-CN"/>
              </w:rPr>
              <w:t>6.30。</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4</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企业应当建立全员安全生产责任制，保证每位从业人员的安全生产责任与职务、岗位相匹配。</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olor w:val="000000" w:themeColor="text1"/>
                <w:sz w:val="21"/>
                <w:szCs w:val="21"/>
              </w:rPr>
              <w:t>《危险化学品生产企业安全生产许可证实施办法》（</w:t>
            </w:r>
            <w:r>
              <w:rPr>
                <w:rFonts w:hint="eastAsia"/>
                <w:sz w:val="21"/>
                <w:szCs w:val="21"/>
              </w:rPr>
              <w:t>国家安全生产监督管理总局令第41号）</w:t>
            </w:r>
            <w:r>
              <w:rPr>
                <w:rFonts w:hint="eastAsia" w:cs="宋体"/>
                <w:kern w:val="0"/>
                <w:sz w:val="21"/>
                <w:szCs w:val="21"/>
              </w:rPr>
              <w:t>第13条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企业根据实际生产情况，制度了相应从业人员的安全职责。</w:t>
            </w:r>
          </w:p>
        </w:tc>
        <w:tc>
          <w:tcPr>
            <w:tcW w:w="404"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5</w:t>
            </w:r>
          </w:p>
        </w:tc>
        <w:tc>
          <w:tcPr>
            <w:tcW w:w="1888" w:type="pct"/>
            <w:shd w:val="clear" w:color="auto" w:fill="FEFEFE"/>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left"/>
              <w:textAlignment w:val="auto"/>
              <w:rPr>
                <w:rFonts w:ascii="宋体" w:hAnsi="宋体" w:cs="宋体"/>
                <w:color w:val="auto"/>
                <w:kern w:val="0"/>
                <w:sz w:val="21"/>
                <w:szCs w:val="21"/>
              </w:rPr>
            </w:pPr>
            <w:r>
              <w:rPr>
                <w:rFonts w:hint="eastAsia" w:ascii="宋体" w:hAnsi="宋体" w:cs="宋体"/>
                <w:color w:val="auto"/>
                <w:kern w:val="0"/>
                <w:sz w:val="21"/>
                <w:szCs w:val="21"/>
              </w:rPr>
              <w:t>企业应当根据化工工艺、装置、设施等实际情况，制定完善下列主要安全生产规章制度</w:t>
            </w:r>
            <w:r>
              <w:rPr>
                <w:rFonts w:hint="eastAsia" w:ascii="宋体" w:hAnsi="宋体" w:cs="宋体"/>
                <w:color w:val="auto"/>
                <w:kern w:val="0"/>
                <w:sz w:val="21"/>
                <w:szCs w:val="21"/>
                <w:lang w:eastAsia="zh-CN"/>
              </w:rPr>
              <w:t>①</w:t>
            </w:r>
            <w:r>
              <w:rPr>
                <w:rFonts w:hint="eastAsia" w:ascii="宋体" w:hAnsi="宋体" w:cs="宋体"/>
                <w:color w:val="auto"/>
                <w:kern w:val="0"/>
                <w:sz w:val="21"/>
                <w:szCs w:val="21"/>
              </w:rPr>
              <w:t>安全生产例会等安全生产会议制度；</w:t>
            </w:r>
            <w:r>
              <w:rPr>
                <w:rFonts w:hint="eastAsia" w:ascii="宋体" w:hAnsi="宋体" w:cs="宋体"/>
                <w:color w:val="auto"/>
                <w:kern w:val="0"/>
                <w:sz w:val="21"/>
                <w:szCs w:val="21"/>
                <w:lang w:eastAsia="zh-CN"/>
              </w:rPr>
              <w:t>②</w:t>
            </w:r>
            <w:r>
              <w:rPr>
                <w:rFonts w:hint="eastAsia" w:ascii="宋体" w:hAnsi="宋体" w:cs="宋体"/>
                <w:color w:val="auto"/>
                <w:kern w:val="0"/>
                <w:sz w:val="21"/>
                <w:szCs w:val="21"/>
              </w:rPr>
              <w:t>安全投入保障制度；</w:t>
            </w:r>
            <w:r>
              <w:rPr>
                <w:rFonts w:hint="eastAsia" w:ascii="宋体" w:hAnsi="宋体" w:cs="宋体"/>
                <w:color w:val="auto"/>
                <w:kern w:val="0"/>
                <w:sz w:val="21"/>
                <w:szCs w:val="21"/>
                <w:lang w:eastAsia="zh-CN"/>
              </w:rPr>
              <w:t>③</w:t>
            </w:r>
            <w:r>
              <w:rPr>
                <w:rFonts w:hint="eastAsia" w:ascii="宋体" w:hAnsi="宋体" w:cs="宋体"/>
                <w:color w:val="auto"/>
                <w:kern w:val="0"/>
                <w:sz w:val="21"/>
                <w:szCs w:val="21"/>
              </w:rPr>
              <w:t>安全生产奖惩制度；</w:t>
            </w:r>
            <w:r>
              <w:rPr>
                <w:rFonts w:hint="eastAsia" w:ascii="宋体" w:hAnsi="宋体" w:cs="宋体"/>
                <w:color w:val="auto"/>
                <w:kern w:val="0"/>
                <w:sz w:val="21"/>
                <w:szCs w:val="21"/>
                <w:lang w:eastAsia="zh-CN"/>
              </w:rPr>
              <w:t>④</w:t>
            </w:r>
            <w:r>
              <w:rPr>
                <w:rFonts w:hint="eastAsia" w:ascii="宋体" w:hAnsi="宋体" w:cs="宋体"/>
                <w:color w:val="auto"/>
                <w:kern w:val="0"/>
                <w:sz w:val="21"/>
                <w:szCs w:val="21"/>
              </w:rPr>
              <w:t>安全培训教育制度；</w:t>
            </w:r>
            <w:r>
              <w:rPr>
                <w:rFonts w:hint="eastAsia" w:ascii="宋体" w:hAnsi="宋体" w:cs="宋体"/>
                <w:color w:val="auto"/>
                <w:kern w:val="0"/>
                <w:sz w:val="21"/>
                <w:szCs w:val="21"/>
                <w:lang w:eastAsia="zh-CN"/>
              </w:rPr>
              <w:t>⑤</w:t>
            </w:r>
            <w:r>
              <w:rPr>
                <w:rFonts w:hint="eastAsia" w:ascii="宋体" w:hAnsi="宋体" w:cs="宋体"/>
                <w:color w:val="auto"/>
                <w:kern w:val="0"/>
                <w:sz w:val="21"/>
                <w:szCs w:val="21"/>
              </w:rPr>
              <w:t>领导干部轮流现场带班制度；</w:t>
            </w:r>
            <w:r>
              <w:rPr>
                <w:rFonts w:hint="eastAsia" w:ascii="宋体" w:hAnsi="宋体" w:cs="宋体"/>
                <w:color w:val="auto"/>
                <w:kern w:val="0"/>
                <w:sz w:val="21"/>
                <w:szCs w:val="21"/>
                <w:lang w:eastAsia="zh-CN"/>
              </w:rPr>
              <w:t>⑥</w:t>
            </w:r>
            <w:r>
              <w:rPr>
                <w:rFonts w:hint="eastAsia" w:ascii="宋体" w:hAnsi="宋体" w:cs="宋体"/>
                <w:color w:val="auto"/>
                <w:kern w:val="0"/>
                <w:sz w:val="21"/>
                <w:szCs w:val="21"/>
              </w:rPr>
              <w:t>特种作业人员管理制度；</w:t>
            </w:r>
            <w:r>
              <w:rPr>
                <w:rFonts w:hint="eastAsia" w:ascii="宋体" w:hAnsi="宋体" w:cs="宋体"/>
                <w:color w:val="auto"/>
                <w:kern w:val="0"/>
                <w:sz w:val="21"/>
                <w:szCs w:val="21"/>
                <w:lang w:eastAsia="zh-CN"/>
              </w:rPr>
              <w:t>⑦</w:t>
            </w:r>
            <w:r>
              <w:rPr>
                <w:rFonts w:hint="eastAsia" w:ascii="宋体" w:hAnsi="宋体" w:cs="宋体"/>
                <w:color w:val="auto"/>
                <w:kern w:val="0"/>
                <w:sz w:val="21"/>
                <w:szCs w:val="21"/>
              </w:rPr>
              <w:t>安全检查和隐患排查治理制度；</w:t>
            </w:r>
            <w:r>
              <w:rPr>
                <w:rFonts w:hint="eastAsia" w:ascii="宋体" w:hAnsi="宋体" w:cs="宋体"/>
                <w:color w:val="auto"/>
                <w:kern w:val="0"/>
                <w:sz w:val="21"/>
                <w:szCs w:val="21"/>
                <w:lang w:eastAsia="zh-CN"/>
              </w:rPr>
              <w:t>⑧</w:t>
            </w:r>
            <w:r>
              <w:rPr>
                <w:rFonts w:hint="eastAsia" w:ascii="宋体" w:hAnsi="宋体" w:cs="宋体"/>
                <w:color w:val="auto"/>
                <w:kern w:val="0"/>
                <w:sz w:val="21"/>
                <w:szCs w:val="21"/>
              </w:rPr>
              <w:t>重大危险源评估和安全管理制度；</w:t>
            </w:r>
            <w:r>
              <w:rPr>
                <w:rFonts w:hint="eastAsia" w:ascii="宋体" w:hAnsi="宋体" w:cs="宋体"/>
                <w:color w:val="auto"/>
                <w:kern w:val="0"/>
                <w:sz w:val="21"/>
                <w:szCs w:val="21"/>
                <w:lang w:eastAsia="zh-CN"/>
              </w:rPr>
              <w:t>⑨</w:t>
            </w:r>
            <w:r>
              <w:rPr>
                <w:rFonts w:hint="eastAsia" w:ascii="宋体" w:hAnsi="宋体" w:cs="宋体"/>
                <w:color w:val="auto"/>
                <w:kern w:val="0"/>
                <w:sz w:val="21"/>
                <w:szCs w:val="21"/>
              </w:rPr>
              <w:t>变更管理制度；</w:t>
            </w:r>
            <w:r>
              <w:rPr>
                <w:rFonts w:hint="eastAsia" w:ascii="宋体" w:hAnsi="宋体" w:cs="宋体"/>
                <w:color w:val="auto"/>
                <w:kern w:val="0"/>
                <w:sz w:val="21"/>
                <w:szCs w:val="21"/>
                <w:lang w:eastAsia="zh-CN"/>
              </w:rPr>
              <w:t>⑩</w:t>
            </w:r>
            <w:r>
              <w:rPr>
                <w:rFonts w:hint="eastAsia" w:ascii="宋体" w:hAnsi="宋体" w:cs="宋体"/>
                <w:color w:val="auto"/>
                <w:kern w:val="0"/>
                <w:sz w:val="21"/>
                <w:szCs w:val="21"/>
              </w:rPr>
              <w:t>应急管理制</w:t>
            </w:r>
            <w:r>
              <w:rPr>
                <w:rFonts w:hint="eastAsia" w:ascii="宋体" w:hAnsi="宋体" w:eastAsia="宋体" w:cs="宋体"/>
                <w:color w:val="auto"/>
                <w:kern w:val="0"/>
                <w:sz w:val="21"/>
                <w:szCs w:val="21"/>
              </w:rPr>
              <w:t>度；</w:t>
            </w:r>
            <w:r>
              <w:rPr>
                <w:rFonts w:hint="eastAsia" w:ascii="宋体" w:hAnsi="宋体" w:eastAsia="宋体" w:cs="宋体"/>
                <w:color w:val="auto"/>
                <w:kern w:val="0"/>
                <w:sz w:val="21"/>
                <w:szCs w:val="21"/>
                <w:lang w:val="en-US" w:eastAsia="zh-CN"/>
              </w:rPr>
              <w:t>⑪</w:t>
            </w:r>
            <w:r>
              <w:rPr>
                <w:rFonts w:hint="eastAsia" w:ascii="宋体" w:hAnsi="宋体" w:eastAsia="宋体" w:cs="宋体"/>
                <w:color w:val="auto"/>
                <w:kern w:val="0"/>
                <w:sz w:val="21"/>
                <w:szCs w:val="21"/>
              </w:rPr>
              <w:t>生产安全事故或者重大事件管理制度；</w:t>
            </w:r>
            <w:r>
              <w:rPr>
                <w:rFonts w:hint="eastAsia" w:ascii="宋体" w:hAnsi="宋体" w:eastAsia="宋体" w:cs="宋体"/>
                <w:color w:val="auto"/>
                <w:kern w:val="0"/>
                <w:sz w:val="21"/>
                <w:szCs w:val="21"/>
                <w:lang w:val="en-US" w:eastAsia="zh-CN"/>
              </w:rPr>
              <w:t>⑫</w:t>
            </w:r>
            <w:r>
              <w:rPr>
                <w:rFonts w:hint="eastAsia" w:ascii="宋体" w:hAnsi="宋体" w:eastAsia="宋体" w:cs="宋体"/>
                <w:color w:val="auto"/>
                <w:kern w:val="0"/>
                <w:sz w:val="21"/>
                <w:szCs w:val="21"/>
              </w:rPr>
              <w:t>防火、防爆、防中毒、防泄漏管理制度；</w:t>
            </w:r>
            <w:r>
              <w:rPr>
                <w:rFonts w:hint="eastAsia" w:ascii="宋体" w:hAnsi="宋体" w:eastAsia="宋体" w:cs="宋体"/>
                <w:color w:val="auto"/>
                <w:kern w:val="0"/>
                <w:sz w:val="21"/>
                <w:szCs w:val="21"/>
                <w:lang w:val="en-US" w:eastAsia="zh-CN"/>
              </w:rPr>
              <w:t>⑬</w:t>
            </w:r>
            <w:r>
              <w:rPr>
                <w:rFonts w:hint="eastAsia" w:ascii="宋体" w:hAnsi="宋体" w:eastAsia="宋体" w:cs="宋体"/>
                <w:color w:val="auto"/>
                <w:kern w:val="0"/>
                <w:sz w:val="21"/>
                <w:szCs w:val="21"/>
              </w:rPr>
              <w:t>工艺、设备、电气仪表、公用工程安全管理制度；</w:t>
            </w:r>
            <w:r>
              <w:rPr>
                <w:rFonts w:hint="eastAsia" w:ascii="宋体" w:hAnsi="宋体" w:eastAsia="宋体" w:cs="宋体"/>
                <w:color w:val="auto"/>
                <w:kern w:val="0"/>
                <w:sz w:val="21"/>
                <w:szCs w:val="21"/>
                <w:lang w:val="en-US" w:eastAsia="zh-CN"/>
              </w:rPr>
              <w:t>⑭</w:t>
            </w:r>
            <w:r>
              <w:rPr>
                <w:rFonts w:hint="eastAsia" w:ascii="宋体" w:hAnsi="宋体" w:eastAsia="宋体" w:cs="宋体"/>
                <w:color w:val="auto"/>
                <w:kern w:val="0"/>
                <w:sz w:val="21"/>
                <w:szCs w:val="21"/>
              </w:rPr>
              <w:t>动火、进入受限空间、吊装、高处、盲板抽堵、动土、断路、设备检维修等作业安全管理制度；</w:t>
            </w:r>
            <w:r>
              <w:rPr>
                <w:rFonts w:hint="eastAsia" w:ascii="宋体" w:hAnsi="宋体" w:eastAsia="宋体" w:cs="宋体"/>
                <w:color w:val="auto"/>
                <w:kern w:val="0"/>
                <w:sz w:val="21"/>
                <w:szCs w:val="21"/>
                <w:lang w:val="en-US" w:eastAsia="zh-CN"/>
              </w:rPr>
              <w:t>⑮</w:t>
            </w:r>
            <w:r>
              <w:rPr>
                <w:rFonts w:hint="eastAsia" w:ascii="宋体" w:hAnsi="宋体" w:eastAsia="宋体" w:cs="宋体"/>
                <w:color w:val="auto"/>
                <w:kern w:val="0"/>
                <w:sz w:val="21"/>
                <w:szCs w:val="21"/>
              </w:rPr>
              <w:t>危险化学品安全管理制度；</w:t>
            </w:r>
            <w:r>
              <w:rPr>
                <w:rFonts w:hint="eastAsia" w:ascii="宋体" w:hAnsi="宋体" w:eastAsia="宋体" w:cs="宋体"/>
                <w:color w:val="auto"/>
                <w:kern w:val="0"/>
                <w:sz w:val="21"/>
                <w:szCs w:val="21"/>
                <w:lang w:val="en-US" w:eastAsia="zh-CN"/>
              </w:rPr>
              <w:t>⑯</w:t>
            </w:r>
            <w:r>
              <w:rPr>
                <w:rFonts w:hint="eastAsia" w:ascii="宋体" w:hAnsi="宋体" w:eastAsia="宋体" w:cs="宋体"/>
                <w:color w:val="auto"/>
                <w:kern w:val="0"/>
                <w:sz w:val="21"/>
                <w:szCs w:val="21"/>
              </w:rPr>
              <w:t>职业健康相关管理制度；</w:t>
            </w:r>
            <w:r>
              <w:rPr>
                <w:rFonts w:hint="eastAsia" w:ascii="宋体" w:hAnsi="宋体" w:eastAsia="宋体" w:cs="宋体"/>
                <w:color w:val="auto"/>
                <w:kern w:val="0"/>
                <w:sz w:val="21"/>
                <w:szCs w:val="21"/>
                <w:lang w:val="en-US" w:eastAsia="zh-CN"/>
              </w:rPr>
              <w:t>⑰</w:t>
            </w:r>
            <w:r>
              <w:rPr>
                <w:rFonts w:hint="eastAsia" w:ascii="宋体" w:hAnsi="宋体" w:eastAsia="宋体" w:cs="宋体"/>
                <w:color w:val="auto"/>
                <w:kern w:val="0"/>
                <w:sz w:val="21"/>
                <w:szCs w:val="21"/>
              </w:rPr>
              <w:t>劳动防护用品使用维护管理制度；</w:t>
            </w:r>
            <w:r>
              <w:rPr>
                <w:rFonts w:hint="eastAsia" w:ascii="宋体" w:hAnsi="宋体" w:eastAsia="宋体" w:cs="宋体"/>
                <w:color w:val="auto"/>
                <w:kern w:val="0"/>
                <w:sz w:val="21"/>
                <w:szCs w:val="21"/>
                <w:lang w:val="en-US" w:eastAsia="zh-CN"/>
              </w:rPr>
              <w:t>⑱</w:t>
            </w:r>
            <w:r>
              <w:rPr>
                <w:rFonts w:hint="eastAsia" w:ascii="宋体" w:hAnsi="宋体" w:eastAsia="宋体" w:cs="宋体"/>
                <w:color w:val="auto"/>
                <w:kern w:val="0"/>
                <w:sz w:val="21"/>
                <w:szCs w:val="21"/>
              </w:rPr>
              <w:t>承包商管理制度；</w:t>
            </w:r>
            <w:r>
              <w:rPr>
                <w:rFonts w:hint="eastAsia" w:ascii="宋体" w:hAnsi="宋体" w:eastAsia="宋体" w:cs="宋体"/>
                <w:color w:val="auto"/>
                <w:kern w:val="0"/>
                <w:sz w:val="21"/>
                <w:szCs w:val="21"/>
                <w:lang w:val="en-US" w:eastAsia="zh-CN"/>
              </w:rPr>
              <w:t>⑲</w:t>
            </w:r>
            <w:r>
              <w:rPr>
                <w:rFonts w:hint="eastAsia" w:ascii="宋体" w:hAnsi="宋体" w:eastAsia="宋体" w:cs="宋体"/>
                <w:color w:val="auto"/>
                <w:kern w:val="0"/>
                <w:sz w:val="21"/>
                <w:szCs w:val="21"/>
              </w:rPr>
              <w:t>安全管理制度及操作规程定期</w:t>
            </w:r>
            <w:r>
              <w:rPr>
                <w:rFonts w:hint="eastAsia" w:ascii="宋体" w:hAnsi="宋体" w:eastAsia="宋体" w:cs="宋体"/>
                <w:color w:val="auto"/>
                <w:kern w:val="0"/>
                <w:sz w:val="21"/>
                <w:szCs w:val="21"/>
                <w:lang w:val="zh-CN"/>
              </w:rPr>
              <w:t>修订制度。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《危险化学品生产企业安全生产许可证实施办法》（国家安全生产监督管理总局41号令）第14条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企业根据生产情况制定了安全标准化制度汇编，包含以上制度。</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6.19。</w:t>
            </w:r>
          </w:p>
        </w:tc>
        <w:tc>
          <w:tcPr>
            <w:tcW w:w="404"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6</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企业应当根据危险化学品的生产工艺、技术、设备特点和原辅料、产品的危险性编制岗位</w:t>
            </w:r>
            <w:r>
              <w:rPr>
                <w:rFonts w:hint="eastAsia" w:ascii="宋体" w:hAnsi="宋体" w:cs="宋体"/>
                <w:color w:val="auto"/>
                <w:kern w:val="0"/>
                <w:sz w:val="21"/>
                <w:szCs w:val="21"/>
                <w:lang w:val="zh-CN"/>
              </w:rPr>
              <w:t>操作安全规程。</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spacing w:val="-6"/>
                <w:kern w:val="0"/>
                <w:sz w:val="21"/>
                <w:szCs w:val="21"/>
              </w:rPr>
              <w:t>《危险化学品生产企业安全生产许可证实施办法》（国家安全生产监督管理总局41号令）第15条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公司根据实际需求，制定了生产工艺操作规程。</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6.19。</w:t>
            </w:r>
          </w:p>
        </w:tc>
        <w:tc>
          <w:tcPr>
            <w:tcW w:w="404"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生产经营单位应当建立健全下列制度：</w:t>
            </w:r>
            <w:r>
              <w:rPr>
                <w:rFonts w:hint="eastAsia" w:ascii="宋体" w:hAnsi="宋体" w:cs="宋体"/>
                <w:color w:val="auto"/>
                <w:kern w:val="0"/>
                <w:sz w:val="21"/>
                <w:szCs w:val="21"/>
                <w:lang w:eastAsia="zh-CN"/>
              </w:rPr>
              <w:t>①</w:t>
            </w:r>
            <w:r>
              <w:rPr>
                <w:rFonts w:hint="eastAsia" w:ascii="宋体" w:hAnsi="宋体" w:cs="宋体"/>
                <w:color w:val="auto"/>
                <w:kern w:val="0"/>
                <w:sz w:val="21"/>
                <w:szCs w:val="21"/>
              </w:rPr>
              <w:t>安全生产责任制度；</w:t>
            </w:r>
            <w:r>
              <w:rPr>
                <w:rFonts w:hint="eastAsia" w:ascii="宋体" w:hAnsi="宋体" w:cs="宋体"/>
                <w:color w:val="auto"/>
                <w:kern w:val="0"/>
                <w:sz w:val="21"/>
                <w:szCs w:val="21"/>
                <w:lang w:eastAsia="zh-CN"/>
              </w:rPr>
              <w:t>②</w:t>
            </w:r>
            <w:r>
              <w:rPr>
                <w:rFonts w:hint="eastAsia" w:ascii="宋体" w:hAnsi="宋体" w:cs="宋体"/>
                <w:color w:val="auto"/>
                <w:kern w:val="0"/>
                <w:sz w:val="21"/>
                <w:szCs w:val="21"/>
              </w:rPr>
              <w:t>安全生产例会制度；</w:t>
            </w:r>
            <w:r>
              <w:rPr>
                <w:rFonts w:hint="eastAsia" w:ascii="宋体" w:hAnsi="宋体" w:cs="宋体"/>
                <w:color w:val="auto"/>
                <w:kern w:val="0"/>
                <w:sz w:val="21"/>
                <w:szCs w:val="21"/>
                <w:lang w:eastAsia="zh-CN"/>
              </w:rPr>
              <w:t>③</w:t>
            </w:r>
            <w:r>
              <w:rPr>
                <w:rFonts w:hint="eastAsia" w:ascii="宋体" w:hAnsi="宋体" w:cs="宋体"/>
                <w:color w:val="auto"/>
                <w:kern w:val="0"/>
                <w:sz w:val="21"/>
                <w:szCs w:val="21"/>
              </w:rPr>
              <w:t>安全生产奖惩制度；</w:t>
            </w:r>
            <w:r>
              <w:rPr>
                <w:rFonts w:hint="eastAsia" w:ascii="宋体" w:hAnsi="宋体" w:cs="宋体"/>
                <w:color w:val="auto"/>
                <w:kern w:val="0"/>
                <w:sz w:val="21"/>
                <w:szCs w:val="21"/>
                <w:lang w:eastAsia="zh-CN"/>
              </w:rPr>
              <w:t>④</w:t>
            </w:r>
            <w:r>
              <w:rPr>
                <w:rFonts w:hint="eastAsia" w:ascii="宋体" w:hAnsi="宋体" w:cs="宋体"/>
                <w:color w:val="auto"/>
                <w:kern w:val="0"/>
                <w:sz w:val="21"/>
                <w:szCs w:val="21"/>
              </w:rPr>
              <w:t>安全生产教育培训制度；</w:t>
            </w:r>
            <w:r>
              <w:rPr>
                <w:rFonts w:hint="eastAsia" w:ascii="宋体" w:hAnsi="宋体" w:cs="宋体"/>
                <w:color w:val="auto"/>
                <w:kern w:val="0"/>
                <w:sz w:val="21"/>
                <w:szCs w:val="21"/>
                <w:lang w:eastAsia="zh-CN"/>
              </w:rPr>
              <w:t>⑤</w:t>
            </w:r>
            <w:r>
              <w:rPr>
                <w:rFonts w:hint="eastAsia" w:ascii="宋体" w:hAnsi="宋体" w:cs="宋体"/>
                <w:color w:val="auto"/>
                <w:kern w:val="0"/>
                <w:sz w:val="21"/>
                <w:szCs w:val="21"/>
              </w:rPr>
              <w:t>安全生产检查制度；</w:t>
            </w:r>
            <w:r>
              <w:rPr>
                <w:rFonts w:hint="eastAsia" w:ascii="宋体" w:hAnsi="宋体" w:cs="宋体"/>
                <w:color w:val="auto"/>
                <w:kern w:val="0"/>
                <w:sz w:val="21"/>
                <w:szCs w:val="21"/>
                <w:lang w:eastAsia="zh-CN"/>
              </w:rPr>
              <w:t>⑥</w:t>
            </w:r>
            <w:r>
              <w:rPr>
                <w:rFonts w:hint="eastAsia" w:ascii="宋体" w:hAnsi="宋体" w:cs="宋体"/>
                <w:color w:val="auto"/>
                <w:kern w:val="0"/>
                <w:sz w:val="21"/>
                <w:szCs w:val="21"/>
              </w:rPr>
              <w:t>生产经营场所、设备、设施安全管理制度；</w:t>
            </w:r>
            <w:r>
              <w:rPr>
                <w:rFonts w:hint="eastAsia" w:ascii="宋体" w:hAnsi="宋体" w:cs="宋体"/>
                <w:color w:val="auto"/>
                <w:kern w:val="0"/>
                <w:sz w:val="21"/>
                <w:szCs w:val="21"/>
                <w:lang w:eastAsia="zh-CN"/>
              </w:rPr>
              <w:t>⑦</w:t>
            </w:r>
            <w:r>
              <w:rPr>
                <w:rFonts w:hint="eastAsia" w:ascii="宋体" w:hAnsi="宋体" w:cs="宋体"/>
                <w:color w:val="auto"/>
                <w:kern w:val="0"/>
                <w:sz w:val="21"/>
                <w:szCs w:val="21"/>
              </w:rPr>
              <w:t>安全生产风险分级管理控制制度；</w:t>
            </w:r>
            <w:r>
              <w:rPr>
                <w:rFonts w:hint="eastAsia" w:ascii="宋体" w:hAnsi="宋体" w:cs="宋体"/>
                <w:color w:val="auto"/>
                <w:kern w:val="0"/>
                <w:sz w:val="21"/>
                <w:szCs w:val="21"/>
                <w:lang w:eastAsia="zh-CN"/>
              </w:rPr>
              <w:t>⑧</w:t>
            </w:r>
            <w:r>
              <w:rPr>
                <w:rFonts w:hint="eastAsia" w:ascii="宋体" w:hAnsi="宋体" w:cs="宋体"/>
                <w:color w:val="auto"/>
                <w:kern w:val="0"/>
                <w:sz w:val="21"/>
                <w:szCs w:val="21"/>
              </w:rPr>
              <w:t>危险源管理制度；</w:t>
            </w:r>
            <w:r>
              <w:rPr>
                <w:rFonts w:hint="eastAsia" w:ascii="宋体" w:hAnsi="宋体" w:cs="宋体"/>
                <w:color w:val="auto"/>
                <w:kern w:val="0"/>
                <w:sz w:val="21"/>
                <w:szCs w:val="21"/>
                <w:lang w:eastAsia="zh-CN"/>
              </w:rPr>
              <w:t>⑨</w:t>
            </w:r>
            <w:r>
              <w:rPr>
                <w:rFonts w:hint="eastAsia" w:ascii="宋体" w:hAnsi="宋体" w:cs="宋体"/>
                <w:color w:val="auto"/>
                <w:kern w:val="0"/>
                <w:sz w:val="21"/>
                <w:szCs w:val="21"/>
              </w:rPr>
              <w:t>安全生产应急管理和事故报告处理制度；</w:t>
            </w:r>
            <w:r>
              <w:rPr>
                <w:rFonts w:hint="eastAsia" w:ascii="宋体" w:hAnsi="宋体" w:cs="宋体"/>
                <w:color w:val="auto"/>
                <w:kern w:val="0"/>
                <w:sz w:val="21"/>
                <w:szCs w:val="21"/>
                <w:lang w:eastAsia="zh-CN"/>
              </w:rPr>
              <w:t>⑩</w:t>
            </w:r>
            <w:r>
              <w:rPr>
                <w:rFonts w:hint="eastAsia" w:ascii="宋体" w:hAnsi="宋体" w:cs="宋体"/>
                <w:color w:val="auto"/>
                <w:kern w:val="0"/>
                <w:sz w:val="21"/>
                <w:szCs w:val="21"/>
              </w:rPr>
              <w:t>危险作业、特种作业人员、劳动防护用品管理制度；</w:t>
            </w:r>
            <w:r>
              <w:rPr>
                <w:rFonts w:hint="eastAsia" w:ascii="宋体" w:hAnsi="宋体" w:eastAsia="宋体" w:cs="宋体"/>
                <w:color w:val="auto"/>
                <w:kern w:val="0"/>
                <w:sz w:val="21"/>
                <w:szCs w:val="21"/>
                <w:lang w:val="en-US" w:eastAsia="zh-CN"/>
              </w:rPr>
              <w:t>⑪</w:t>
            </w:r>
            <w:r>
              <w:rPr>
                <w:rFonts w:hint="eastAsia" w:ascii="宋体" w:hAnsi="宋体" w:cs="宋体"/>
                <w:color w:val="auto"/>
                <w:kern w:val="0"/>
                <w:sz w:val="21"/>
                <w:szCs w:val="21"/>
              </w:rPr>
              <w:t>法律法规规定的其他</w:t>
            </w:r>
            <w:r>
              <w:rPr>
                <w:rFonts w:hint="eastAsia" w:ascii="宋体" w:hAnsi="宋体" w:cs="宋体"/>
                <w:color w:val="auto"/>
                <w:kern w:val="0"/>
                <w:sz w:val="21"/>
                <w:szCs w:val="21"/>
                <w:lang w:val="zh-CN"/>
              </w:rPr>
              <w:t>安全生产制度。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《云南省安全生产条例》（已由云南省第十二届人民代表大会常务委员会第三十八次会议于2017年11月30日修订通过）第</w:t>
            </w:r>
            <w:r>
              <w:rPr>
                <w:rFonts w:hint="eastAsia" w:cs="宋体"/>
                <w:kern w:val="0"/>
                <w:sz w:val="21"/>
                <w:szCs w:val="21"/>
                <w:lang w:val="zh-CN"/>
              </w:rPr>
              <w:t>十八条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企业制定了相应的安全职责、安全培训教育制度、安全劳动防护用品（具）以及其他相应的安全管理制度。</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8</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危险化学品安全管理，应当坚持安全第一、预防为主、综合治理的方针，强化和落实企业的主体责任。</w:t>
            </w:r>
          </w:p>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生产、储存、使用、经营、运输危险化学品的单位（以下统称危险化学品单位）的主要负责人对本单位的危险化学品安全管理工作全面负责。</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333333"/>
                <w:sz w:val="21"/>
                <w:szCs w:val="21"/>
                <w:shd w:val="clear" w:color="auto" w:fill="FFFFFF"/>
              </w:rPr>
              <w:t>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p>
        </w:tc>
        <w:tc>
          <w:tcPr>
            <w:tcW w:w="930" w:type="pct"/>
            <w:shd w:val="clear" w:color="auto" w:fill="FEFEFE"/>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color w:val="000000" w:themeColor="text1"/>
                <w:sz w:val="21"/>
                <w:szCs w:val="21"/>
              </w:rPr>
              <w:t>《危险化学品安全管理条例》（国务院令第344号公布，第591号第一次修正，第645号第二次修正）第4条</w:t>
            </w:r>
          </w:p>
        </w:tc>
        <w:tc>
          <w:tcPr>
            <w:tcW w:w="1387" w:type="pct"/>
            <w:shd w:val="clear" w:color="auto" w:fill="FEFEFE"/>
            <w:vAlign w:val="center"/>
          </w:tcPr>
          <w:p>
            <w:pPr>
              <w:autoSpaceDE w:val="0"/>
              <w:autoSpaceDN w:val="0"/>
              <w:spacing w:line="240" w:lineRule="auto"/>
              <w:ind w:firstLine="210" w:firstLineChars="100"/>
              <w:jc w:val="left"/>
              <w:rPr>
                <w:rFonts w:ascii="宋体" w:hAnsi="宋体" w:cs="宋体"/>
                <w:kern w:val="0"/>
                <w:sz w:val="21"/>
                <w:szCs w:val="21"/>
                <w:lang w:eastAsia="en-US"/>
              </w:rPr>
            </w:pPr>
            <w:r>
              <w:rPr>
                <w:rFonts w:hint="eastAsia" w:cs="宋体"/>
                <w:kern w:val="0"/>
                <w:sz w:val="21"/>
                <w:szCs w:val="21"/>
              </w:rPr>
              <w:t>企业根据生产情况制定了安全标准化制度汇编，严格按制度执行。</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6.19。</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建立安全教育、培训制度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生产经营单位的主要负责人和安全生产管理人员必须具备与本单位所从事的生产经营活动相应的安全生产知识和管理能力。</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安全生产法》（中华人民共和国主席令第88号）第27条；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公司主要负责人</w:t>
            </w:r>
            <w:r>
              <w:rPr>
                <w:rFonts w:hint="eastAsia" w:ascii="宋体" w:hAnsi="宋体" w:cs="宋体"/>
                <w:color w:val="auto"/>
                <w:sz w:val="21"/>
                <w:szCs w:val="21"/>
                <w:shd w:val="clear" w:color="auto" w:fill="FFFFFF"/>
              </w:rPr>
              <w:t>和安全生产管理人员</w:t>
            </w:r>
            <w:r>
              <w:rPr>
                <w:rFonts w:hint="eastAsia" w:ascii="宋体" w:hAnsi="宋体" w:cs="宋体"/>
                <w:color w:val="auto"/>
                <w:sz w:val="21"/>
                <w:szCs w:val="21"/>
                <w:shd w:val="clear" w:color="auto" w:fill="FFFFFF"/>
                <w:lang w:val="en-US" w:eastAsia="zh-CN"/>
              </w:rPr>
              <w:t>有</w:t>
            </w:r>
            <w:r>
              <w:rPr>
                <w:rFonts w:hint="eastAsia" w:ascii="宋体" w:hAnsi="宋体" w:cs="宋体"/>
                <w:color w:val="auto"/>
                <w:sz w:val="21"/>
                <w:szCs w:val="21"/>
              </w:rPr>
              <w:t>安全生产知识和管理能力考核合格证。</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6.8。</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生产经营单位应当对从业人员进行安全生产教育和培训，保证从业人员具备必要的安全生产知识，熟悉有关的安全生产规章制度和</w:t>
            </w:r>
            <w:r>
              <w:fldChar w:fldCharType="begin"/>
            </w:r>
            <w:r>
              <w:instrText xml:space="preserve"> HYPERLINK "https://baike.sogou.com/lemma/ShowInnerLink.htm?lemmaId=46113114&amp;ss_c=ssc.citiao.link" \t "https://baike.sogou.com/_blank" </w:instrText>
            </w:r>
            <w:r>
              <w:fldChar w:fldCharType="separate"/>
            </w:r>
            <w:r>
              <w:rPr>
                <w:rStyle w:val="44"/>
                <w:rFonts w:hint="eastAsia" w:ascii="宋体" w:hAnsi="宋体" w:cs="宋体"/>
                <w:color w:val="auto"/>
                <w:sz w:val="21"/>
                <w:szCs w:val="21"/>
                <w:shd w:val="clear" w:color="auto" w:fill="FFFFFF"/>
              </w:rPr>
              <w:t>安全操作规程</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，掌握本岗位的安全操作技能，了解事故应急处理措施，知悉自身在安全生产方面的权利和义务。未经安全生产教育和培训合格的从业人员，不得上岗作业。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安全生产法》（中华人民共和国主席令第88号）第28条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公司“安全培训教育制度”作了相应规定。</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生产经营单位采用新工艺、新技术、新材料或者使用新设备，必须了解、掌握其安全技术特性，采取有效的安全防护措施，并对从业人员进行专门的安全生产教育和培训。</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安全生产法》（中华人民共和国主席令第88号）第29条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公司“安全培训教育制度”作了相应规定。</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生产经营单位的</w:t>
            </w:r>
            <w:r>
              <w:fldChar w:fldCharType="begin"/>
            </w:r>
            <w:r>
              <w:instrText xml:space="preserve"> HYPERLINK "https://baike.sogou.com/lemma/ShowInnerLink.htm?lemmaId=34571610&amp;ss_c=ssc.citiao.link" \t "https://baike.sogou.com/_blank" </w:instrText>
            </w:r>
            <w:r>
              <w:fldChar w:fldCharType="separate"/>
            </w:r>
            <w:r>
              <w:rPr>
                <w:rStyle w:val="44"/>
                <w:rFonts w:hint="eastAsia" w:ascii="宋体" w:hAnsi="宋体" w:cs="宋体"/>
                <w:color w:val="auto"/>
                <w:sz w:val="21"/>
                <w:szCs w:val="21"/>
                <w:u w:val="single"/>
                <w:shd w:val="clear" w:color="auto" w:fill="FFFFFF"/>
              </w:rPr>
              <w:t>特种作业人员</w:t>
            </w:r>
            <w:r>
              <w:rPr>
                <w:rStyle w:val="44"/>
                <w:rFonts w:hint="eastAsia" w:ascii="宋体" w:hAnsi="宋体" w:cs="宋体"/>
                <w:color w:val="auto"/>
                <w:sz w:val="21"/>
                <w:szCs w:val="21"/>
                <w:u w:val="single"/>
                <w:shd w:val="clear" w:color="auto" w:fill="FFFFFF"/>
              </w:rPr>
              <w:fldChar w:fldCharType="end"/>
            </w:r>
            <w:r>
              <w:rPr>
                <w:rFonts w:hint="eastAsia" w:ascii="宋体" w:hAnsi="宋体" w:cs="宋体"/>
                <w:color w:val="auto"/>
                <w:sz w:val="21"/>
                <w:szCs w:val="21"/>
                <w:shd w:val="clear" w:color="auto" w:fill="FFFFFF"/>
              </w:rPr>
              <w:t>必须按照国家有关规定经专门的安全作业培训，取得相应资格，方可上岗作业。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安全生产法》（中华人民共和国主席令第88号）第30条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特种作业人员按要求培训并取证。</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6.9。</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5</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生产经营单位主要负责人和安全生产管理人员应当接受安全培训，具备与所从事的生产经营活动相适应的安全生产知识和管理能力。</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《生产经营单位安全培训规定》（国家安监总局令第3号）第六条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公司主要负责人</w:t>
            </w:r>
            <w:r>
              <w:rPr>
                <w:rFonts w:hint="eastAsia" w:cs="宋体"/>
                <w:kern w:val="0"/>
                <w:sz w:val="21"/>
                <w:szCs w:val="21"/>
                <w:lang w:eastAsia="zh-CN"/>
              </w:rPr>
              <w:t>、</w:t>
            </w:r>
            <w:r>
              <w:rPr>
                <w:rFonts w:hint="eastAsia" w:cs="宋体"/>
                <w:kern w:val="0"/>
                <w:sz w:val="21"/>
                <w:szCs w:val="21"/>
              </w:rPr>
              <w:t>安全生产管理人员已经过安全教育培训，并取得相应上岗资格证书。</w:t>
            </w:r>
            <w:r>
              <w:rPr>
                <w:rFonts w:hint="eastAsia" w:ascii="宋体" w:hAnsi="宋体" w:cs="宋体"/>
                <w:color w:val="auto"/>
                <w:sz w:val="21"/>
                <w:szCs w:val="21"/>
                <w:shd w:val="clear" w:color="auto" w:fill="FFFFFF"/>
              </w:rPr>
              <w:t>详见企业原始资料附件</w:t>
            </w:r>
            <w:r>
              <w:rPr>
                <w:rFonts w:hint="eastAsia" w:ascii="宋体" w:hAnsi="宋体" w:cs="宋体"/>
                <w:color w:val="auto"/>
                <w:sz w:val="21"/>
                <w:szCs w:val="21"/>
                <w:shd w:val="clear" w:color="auto" w:fill="FFFFFF"/>
                <w:lang w:val="en-US" w:eastAsia="zh-CN"/>
              </w:rPr>
              <w:t>6.8。</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6</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锅炉、压力容器、电梯、起重机械、客运索道、大型游乐设施、场（厂）内专用机动车辆的作业人员及其相关管理人员（以下统称特种设备作业人员），应当按照国家有关规定经特种设备安全监督管理部门</w:t>
            </w:r>
            <w:r>
              <w:rPr>
                <w:rFonts w:hint="eastAsia" w:ascii="宋体" w:hAnsi="宋体" w:cs="宋体"/>
                <w:color w:val="auto"/>
                <w:kern w:val="0"/>
                <w:sz w:val="21"/>
                <w:szCs w:val="21"/>
                <w:lang w:val="zh-CN"/>
              </w:rPr>
              <w:t>考核合格，取得国家统一格式的特种作业人员证书，方可从事相应的作业或者管理工作。</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《特种设备安全监察条例》（国务院令第594号）第三十八条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该项目涉及的特种作业人员持证上岗。详</w:t>
            </w:r>
            <w:r>
              <w:rPr>
                <w:rFonts w:hint="eastAsia" w:ascii="宋体" w:hAnsi="宋体" w:cs="宋体"/>
                <w:color w:val="auto"/>
                <w:sz w:val="21"/>
                <w:szCs w:val="21"/>
              </w:rPr>
              <w:t>见</w:t>
            </w:r>
            <w:r>
              <w:rPr>
                <w:rFonts w:hint="eastAsia"/>
                <w:sz w:val="21"/>
                <w:szCs w:val="21"/>
              </w:rPr>
              <w:t>企业原始资料</w:t>
            </w:r>
            <w:r>
              <w:rPr>
                <w:rFonts w:hint="eastAsia" w:ascii="宋体" w:hAnsi="宋体" w:cs="宋体"/>
                <w:color w:val="auto"/>
                <w:sz w:val="21"/>
                <w:szCs w:val="21"/>
              </w:rPr>
              <w:t>6.9。</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sz w:val="21"/>
                <w:szCs w:val="21"/>
                <w:shd w:val="clear" w:color="auto" w:fill="FFFFFF"/>
              </w:rPr>
              <w:t>企业主要负责人、分管</w:t>
            </w:r>
            <w:r>
              <w:fldChar w:fldCharType="begin"/>
            </w:r>
            <w:r>
              <w:instrText xml:space="preserve"> HYPERLINK "https://baike.sogou.com/lemma/ShowInnerLink.htm?lemmaId=75900541&amp;ss_c=ssc.citiao.link" \t "https://baike.sogou.com/_blank" </w:instrText>
            </w:r>
            <w:r>
              <w:fldChar w:fldCharType="separate"/>
            </w:r>
            <w:r>
              <w:rPr>
                <w:rStyle w:val="44"/>
                <w:rFonts w:hint="eastAsia" w:ascii="宋体" w:hAnsi="宋体" w:cs="宋体"/>
                <w:color w:val="auto"/>
                <w:sz w:val="21"/>
                <w:szCs w:val="21"/>
                <w:shd w:val="clear" w:color="auto" w:fill="FFFFFF"/>
              </w:rPr>
              <w:t>安全负责人</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和安全生产管理人员必须具备与其从事的生产经营活动相适应的安全生产知识和管理能力，依法参加安全生产培训，并经考核合格，取得安全合格证书。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《危险化学品生产企业安全生产许可证实施办法》（国家安全生产监督管理总局41号令）第16条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ascii="宋体" w:hAnsi="宋体" w:cs="宋体"/>
                <w:color w:val="auto"/>
                <w:sz w:val="21"/>
                <w:szCs w:val="21"/>
                <w:shd w:val="clear" w:color="auto" w:fill="FFFFFF"/>
              </w:rPr>
              <w:t>企业主要负责人</w:t>
            </w:r>
            <w:r>
              <w:rPr>
                <w:rFonts w:hint="eastAsia" w:ascii="宋体" w:hAnsi="宋体" w:cs="宋体"/>
                <w:color w:val="auto"/>
                <w:sz w:val="21"/>
                <w:szCs w:val="21"/>
                <w:shd w:val="clear" w:color="auto" w:fill="FFFFFF"/>
                <w:lang w:eastAsia="zh-CN"/>
              </w:rPr>
              <w:t>、</w:t>
            </w:r>
            <w:r>
              <w:rPr>
                <w:rFonts w:hint="eastAsia" w:cs="宋体"/>
                <w:kern w:val="0"/>
                <w:sz w:val="21"/>
                <w:szCs w:val="21"/>
              </w:rPr>
              <w:t>专职安全员均已取得安全资格证书。</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8</w:t>
            </w:r>
          </w:p>
        </w:tc>
        <w:tc>
          <w:tcPr>
            <w:tcW w:w="1888"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sz w:val="21"/>
                <w:szCs w:val="21"/>
                <w:shd w:val="clear" w:color="auto" w:fill="FFFFFF"/>
              </w:rPr>
              <w:t>特种作业人员应当依照《</w:t>
            </w:r>
            <w:r>
              <w:fldChar w:fldCharType="begin"/>
            </w:r>
            <w:r>
              <w:instrText xml:space="preserve"> HYPERLINK "https://baike.sogou.com/lemma/ShowInnerLink.htm?lemmaId=63555817&amp;ss_c=ssc.citiao.link" \t "https://baike.sogou.com/_blank" </w:instrText>
            </w:r>
            <w:r>
              <w:fldChar w:fldCharType="separate"/>
            </w:r>
            <w:r>
              <w:rPr>
                <w:rStyle w:val="44"/>
                <w:rFonts w:hint="eastAsia" w:ascii="宋体" w:hAnsi="宋体" w:cs="宋体"/>
                <w:color w:val="auto"/>
                <w:sz w:val="21"/>
                <w:szCs w:val="21"/>
                <w:shd w:val="clear" w:color="auto" w:fill="FFFFFF"/>
              </w:rPr>
              <w:t>特种作业人员安全技术培训考核管理规定</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》，经专门的安全技术培训并考核合格，取得特种作业操作证书。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spacing w:val="-6"/>
                <w:kern w:val="0"/>
                <w:sz w:val="21"/>
                <w:szCs w:val="21"/>
              </w:rPr>
              <w:t>《危险化学品生产企业安全生产许可证实施办法》（国家安全生产监督管理总局41号令）第16条</w:t>
            </w:r>
          </w:p>
        </w:tc>
        <w:tc>
          <w:tcPr>
            <w:tcW w:w="1387"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氟化分公司涉及的特种作业人员持证上岗。</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9</w:t>
            </w:r>
          </w:p>
        </w:tc>
        <w:tc>
          <w:tcPr>
            <w:tcW w:w="1888" w:type="pct"/>
            <w:shd w:val="clear" w:color="auto" w:fill="FEFEFE"/>
            <w:vAlign w:val="center"/>
          </w:tcPr>
          <w:p>
            <w:pPr>
              <w:pStyle w:val="32"/>
              <w:shd w:val="clear" w:color="auto" w:fill="FAFBFD"/>
              <w:wordWrap w:val="0"/>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AFBFD"/>
              </w:rPr>
              <w:t>生产经营单位应当按照有关规定对从业人员、被派遣劳动者和实习人员，以及离岗后重新上岗、换岗和采用新工艺、新技术、新材料或者使用新设备人员进行安全生产教育和培训。未经安全生产教育和培训合格的，不得安排上岗作业。</w:t>
            </w:r>
          </w:p>
          <w:p>
            <w:pPr>
              <w:pStyle w:val="32"/>
              <w:shd w:val="clear" w:color="auto" w:fill="FAFBFD"/>
              <w:wordWrap w:val="0"/>
              <w:spacing w:line="240" w:lineRule="auto"/>
              <w:ind w:firstLine="210" w:firstLineChars="100"/>
              <w:rPr>
                <w:rFonts w:ascii="宋体" w:eastAsia="宋体" w:cs="宋体"/>
                <w:color w:val="auto"/>
                <w:kern w:val="2"/>
                <w:sz w:val="21"/>
                <w:szCs w:val="21"/>
              </w:rPr>
            </w:pPr>
            <w:r>
              <w:rPr>
                <w:rFonts w:hint="eastAsia" w:ascii="宋体" w:eastAsia="宋体" w:cs="宋体"/>
                <w:color w:val="auto"/>
                <w:sz w:val="21"/>
                <w:szCs w:val="21"/>
                <w:shd w:val="clear" w:color="auto" w:fill="FAFBFD"/>
              </w:rPr>
              <w:t>生产经营单位应当建立安全生产教育和培训档案，如实记录安全生产教育和培训的时间、地点、内容、师资、参加人员、考核结果等情况。</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rPr>
              <w:t>《云南省安全生产条例》（已由云南省第十二届人民代表大会常务委员会第三十八次会议于2017年11月30日修订通过）第二</w:t>
            </w:r>
            <w:r>
              <w:rPr>
                <w:rFonts w:hint="eastAsia" w:cs="宋体"/>
                <w:kern w:val="0"/>
                <w:sz w:val="21"/>
                <w:szCs w:val="21"/>
                <w:lang w:val="zh-CN"/>
              </w:rPr>
              <w:t>十</w:t>
            </w:r>
            <w:r>
              <w:rPr>
                <w:rFonts w:hint="eastAsia" w:cs="宋体"/>
                <w:kern w:val="0"/>
                <w:sz w:val="21"/>
                <w:szCs w:val="21"/>
              </w:rPr>
              <w:t>二</w:t>
            </w:r>
            <w:r>
              <w:rPr>
                <w:rFonts w:hint="eastAsia" w:cs="宋体"/>
                <w:kern w:val="0"/>
                <w:sz w:val="21"/>
                <w:szCs w:val="21"/>
                <w:lang w:val="zh-CN"/>
              </w:rPr>
              <w:t>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氟化分公司建立了《安全培训教育制度》，并严格按制度执行。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安全生产检查制度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888" w:type="pct"/>
            <w:shd w:val="clear" w:color="auto" w:fill="FEFEF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commentRangeStart w:id="10"/>
            <w:r>
              <w:rPr>
                <w:rFonts w:hint="eastAsia" w:ascii="宋体" w:hAnsi="宋体" w:cs="宋体"/>
                <w:color w:val="auto"/>
                <w:sz w:val="21"/>
                <w:szCs w:val="21"/>
                <w:shd w:val="clear" w:color="auto" w:fill="FFFFFF"/>
              </w:rPr>
              <w:t>生产经营单位的主要负责人对本单位安全生产工作负有下列职责:</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①</w:t>
            </w:r>
            <w:r>
              <w:rPr>
                <w:rFonts w:hint="eastAsia" w:ascii="宋体" w:hAnsi="宋体" w:cs="宋体"/>
                <w:color w:val="auto"/>
                <w:sz w:val="21"/>
                <w:szCs w:val="21"/>
                <w:shd w:val="clear" w:color="auto" w:fill="FFFFFF"/>
              </w:rPr>
              <w:t>建立健全并落实本单位全员安全生产责任制，加强安全生产标准化建设;</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②</w:t>
            </w:r>
            <w:r>
              <w:rPr>
                <w:rFonts w:hint="eastAsia" w:ascii="宋体" w:hAnsi="宋体" w:cs="宋体"/>
                <w:color w:val="auto"/>
                <w:sz w:val="21"/>
                <w:szCs w:val="21"/>
                <w:shd w:val="clear" w:color="auto" w:fill="FFFFFF"/>
              </w:rPr>
              <w:t>组织制定并实施本单位安全生产规章制度和操作规程;</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③</w:t>
            </w:r>
            <w:r>
              <w:rPr>
                <w:rFonts w:hint="eastAsia" w:ascii="宋体" w:hAnsi="宋体" w:cs="宋体"/>
                <w:color w:val="auto"/>
                <w:sz w:val="21"/>
                <w:szCs w:val="21"/>
                <w:shd w:val="clear" w:color="auto" w:fill="FFFFFF"/>
              </w:rPr>
              <w:t>组织制定并实施本单位安全生产教育和培训计划;</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④</w:t>
            </w:r>
            <w:r>
              <w:rPr>
                <w:rFonts w:hint="eastAsia" w:ascii="宋体" w:hAnsi="宋体" w:cs="宋体"/>
                <w:color w:val="auto"/>
                <w:sz w:val="21"/>
                <w:szCs w:val="21"/>
                <w:shd w:val="clear" w:color="auto" w:fill="FFFFFF"/>
              </w:rPr>
              <w:t>保证本单位安全生产投入的有效实施;</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⑤</w:t>
            </w:r>
            <w:r>
              <w:rPr>
                <w:rFonts w:hint="eastAsia" w:ascii="宋体" w:hAnsi="宋体" w:cs="宋体"/>
                <w:color w:val="auto"/>
                <w:sz w:val="21"/>
                <w:szCs w:val="21"/>
                <w:shd w:val="clear" w:color="auto" w:fill="FFFFFF"/>
              </w:rPr>
              <w:t>组织建立并落实安全风险分级管控和隐患排查治理双重预防工作机制，督促、检查本单位的安全生产工作，及时消除生产安全事故隐患;</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⑥</w:t>
            </w:r>
            <w:r>
              <w:rPr>
                <w:rFonts w:hint="eastAsia" w:ascii="宋体" w:hAnsi="宋体" w:cs="宋体"/>
                <w:color w:val="auto"/>
                <w:sz w:val="21"/>
                <w:szCs w:val="21"/>
                <w:shd w:val="clear" w:color="auto" w:fill="FFFFFF"/>
              </w:rPr>
              <w:t>组织制定并实施本单位的生产安全事故应急救援预案;</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ascii="宋体" w:hAnsi="宋体" w:cs="宋体"/>
                <w:color w:val="auto"/>
                <w:sz w:val="21"/>
                <w:szCs w:val="21"/>
              </w:rPr>
            </w:pPr>
            <w:r>
              <w:rPr>
                <w:rFonts w:hint="eastAsia" w:ascii="宋体" w:hAnsi="宋体" w:cs="宋体"/>
                <w:color w:val="auto"/>
                <w:sz w:val="21"/>
                <w:szCs w:val="21"/>
                <w:shd w:val="clear" w:color="auto" w:fill="FFFFFF"/>
                <w:lang w:eastAsia="zh-CN"/>
              </w:rPr>
              <w:t>⑦</w:t>
            </w:r>
            <w:r>
              <w:rPr>
                <w:rFonts w:hint="eastAsia" w:ascii="宋体" w:hAnsi="宋体" w:cs="宋体"/>
                <w:color w:val="auto"/>
                <w:sz w:val="21"/>
                <w:szCs w:val="21"/>
                <w:shd w:val="clear" w:color="auto" w:fill="FFFFFF"/>
              </w:rPr>
              <w:t>及时、如实报告生产安全事故。</w:t>
            </w:r>
            <w:commentRangeEnd w:id="10"/>
            <w:r>
              <w:commentReference w:id="10"/>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生产经营单位应当建立安全风险分级管控制度，按照安全风险分级采取相应的管控措施。</w:t>
            </w:r>
          </w:p>
          <w:p>
            <w:pPr>
              <w:pStyle w:val="32"/>
              <w:shd w:val="clear" w:color="auto" w:fill="FFFFFF"/>
              <w:spacing w:line="240" w:lineRule="auto"/>
              <w:ind w:firstLine="210" w:firstLineChars="100"/>
              <w:rPr>
                <w:rFonts w:ascii="宋体" w:eastAsia="宋体" w:cs="宋体"/>
                <w:color w:val="auto"/>
                <w:kern w:val="2"/>
                <w:sz w:val="21"/>
                <w:szCs w:val="21"/>
              </w:rPr>
            </w:pPr>
            <w:r>
              <w:rPr>
                <w:rFonts w:hint="eastAsia" w:ascii="宋体" w:eastAsia="宋体" w:cs="宋体"/>
                <w:color w:val="auto"/>
                <w:sz w:val="21"/>
                <w:szCs w:val="21"/>
                <w:shd w:val="clear" w:color="auto" w:fill="FFFFFF"/>
              </w:rPr>
              <w:t>生产经营单位应当建立健全并落实生产安全事故隐患排查治理制度，采取技术、管理措施，及时发现并消除事故隐患。事故隐患排查治理情况应当如实记录，并通过职工大会或者</w:t>
            </w:r>
            <w:r>
              <w:fldChar w:fldCharType="begin"/>
            </w:r>
            <w:r>
              <w:instrText xml:space="preserve"> HYPERLINK "https://baike.sogou.com/lemma/ShowInnerLink.htm?lemmaId=167477&amp;ss_c=ssc.citiao.link" \t "https://baike.sogou.com/_blank" </w:instrText>
            </w:r>
            <w:r>
              <w:fldChar w:fldCharType="separate"/>
            </w:r>
            <w:r>
              <w:rPr>
                <w:rStyle w:val="44"/>
                <w:rFonts w:hint="eastAsia" w:ascii="宋体" w:eastAsia="宋体" w:cs="宋体"/>
                <w:color w:val="auto"/>
                <w:sz w:val="21"/>
                <w:szCs w:val="21"/>
                <w:shd w:val="clear" w:color="auto" w:fill="FFFFFF"/>
              </w:rPr>
              <w:t>职工代表大会</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、信息公示栏等方式向从业人员通报。其中，重大事故隐患排查治理情况应当及时向负有安全生产监督管理职责的部门和职工大会或者职工代表大会报告。</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spacing w:line="240" w:lineRule="auto"/>
              <w:ind w:firstLine="210" w:firstLineChars="100"/>
              <w:jc w:val="left"/>
              <w:rPr>
                <w:rFonts w:ascii="宋体" w:hAnsi="宋体" w:cs="宋体"/>
                <w:color w:val="auto"/>
                <w:sz w:val="21"/>
                <w:szCs w:val="21"/>
              </w:rPr>
            </w:pPr>
            <w:r>
              <w:rPr>
                <w:rFonts w:ascii="Arial" w:hAnsi="Arial" w:cs="Arial"/>
                <w:color w:val="333333"/>
                <w:sz w:val="21"/>
                <w:szCs w:val="21"/>
                <w:shd w:val="clear" w:color="auto"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安全生产法》（中华人民共和国主席令第88号）第46条；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ascii="Arial" w:hAnsi="Arial" w:cs="Arial"/>
                <w:color w:val="auto"/>
                <w:sz w:val="21"/>
                <w:szCs w:val="21"/>
                <w:shd w:val="clear" w:color="auto" w:fill="FFFFFF"/>
              </w:rPr>
              <w:t>从业人员发现事故隐患或者其他</w:t>
            </w:r>
            <w:r>
              <w:fldChar w:fldCharType="begin"/>
            </w:r>
            <w:r>
              <w:instrText xml:space="preserve"> HYPERLINK "https://baike.sogou.com/lemma/ShowInnerLink.htm?lemmaId=66262208&amp;ss_c=ssc.citiao.link" \t "https://baike.sogou.com/_blank" </w:instrText>
            </w:r>
            <w:r>
              <w:fldChar w:fldCharType="separate"/>
            </w:r>
            <w:r>
              <w:rPr>
                <w:rStyle w:val="44"/>
                <w:rFonts w:ascii="Arial" w:hAnsi="Arial" w:cs="Arial"/>
                <w:color w:val="auto"/>
                <w:sz w:val="21"/>
                <w:szCs w:val="21"/>
                <w:shd w:val="clear" w:color="auto" w:fill="FFFFFF"/>
              </w:rPr>
              <w:t>不安全因素</w:t>
            </w:r>
            <w:r>
              <w:rPr>
                <w:rStyle w:val="44"/>
                <w:rFonts w:ascii="Arial" w:hAnsi="Arial" w:cs="Arial"/>
                <w:color w:val="auto"/>
                <w:sz w:val="21"/>
                <w:szCs w:val="21"/>
                <w:shd w:val="clear" w:color="auto" w:fill="FFFFFF"/>
              </w:rPr>
              <w:fldChar w:fldCharType="end"/>
            </w:r>
            <w:r>
              <w:rPr>
                <w:rFonts w:ascii="Arial" w:hAnsi="Arial" w:cs="Arial"/>
                <w:color w:val="auto"/>
                <w:sz w:val="21"/>
                <w:szCs w:val="21"/>
                <w:shd w:val="clear" w:color="auto" w:fill="FFFFFF"/>
              </w:rPr>
              <w:t>，应当立即向现场安全生产管理人员或者本</w:t>
            </w:r>
            <w:r>
              <w:fldChar w:fldCharType="begin"/>
            </w:r>
            <w:r>
              <w:instrText xml:space="preserve"> HYPERLINK "https://baike.sogou.com/lemma/ShowInnerLink.htm?lemmaId=7885306&amp;ss_c=ssc.citiao.link" \t "https://baike.sogou.com/_blank" </w:instrText>
            </w:r>
            <w:r>
              <w:fldChar w:fldCharType="separate"/>
            </w:r>
            <w:r>
              <w:rPr>
                <w:rStyle w:val="44"/>
                <w:rFonts w:ascii="Arial" w:hAnsi="Arial" w:cs="Arial"/>
                <w:color w:val="auto"/>
                <w:sz w:val="21"/>
                <w:szCs w:val="21"/>
                <w:shd w:val="clear" w:color="auto" w:fill="FFFFFF"/>
              </w:rPr>
              <w:t>单位负责人</w:t>
            </w:r>
            <w:r>
              <w:rPr>
                <w:rStyle w:val="44"/>
                <w:rFonts w:ascii="Arial" w:hAnsi="Arial" w:cs="Arial"/>
                <w:color w:val="auto"/>
                <w:sz w:val="21"/>
                <w:szCs w:val="21"/>
                <w:shd w:val="clear" w:color="auto" w:fill="FFFFFF"/>
              </w:rPr>
              <w:fldChar w:fldCharType="end"/>
            </w:r>
            <w:r>
              <w:rPr>
                <w:rFonts w:ascii="Arial" w:hAnsi="Arial" w:cs="Arial"/>
                <w:color w:val="auto"/>
                <w:sz w:val="21"/>
                <w:szCs w:val="21"/>
                <w:shd w:val="clear" w:color="auto" w:fill="FFFFFF"/>
              </w:rPr>
              <w:t>报告；接到报告的人员应当及时予以</w:t>
            </w:r>
            <w:r>
              <w:rPr>
                <w:rFonts w:ascii="Arial" w:hAnsi="Arial" w:cs="Arial"/>
                <w:color w:val="333333"/>
                <w:sz w:val="21"/>
                <w:szCs w:val="21"/>
                <w:shd w:val="clear" w:color="auto" w:fill="FFFFFF"/>
              </w:rPr>
              <w:t>处理。</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安全生产法》（中华人民共和国主席令第88号）第59条；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检查：氟化分公司建立了《隐患治理管理制度》，并严格按制度执行。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5</w:t>
            </w:r>
          </w:p>
        </w:tc>
        <w:tc>
          <w:tcPr>
            <w:tcW w:w="1888" w:type="pct"/>
            <w:shd w:val="clear" w:color="auto" w:fill="FEFEFE"/>
            <w:vAlign w:val="center"/>
          </w:tcPr>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生产经营单位应当制定符合有关法律法规规定的安全生产自检自查标准，建立事故隐患排查治理长效机制。</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生产经营单位应当实行事故隐患清单管理，及时消除事故隐患;不能及时消除的，应当采取安全防范措施，制定治理方案，落实整改措施、责任、资金、时限和应急预案。</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生产经营单位可以委托具备相应能力的技术服务机构进行安全风险分析和事故隐患排查。</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生产经营单位应当如实记录事故隐患排查治理情况，按照规定向有关部门报告，并向从业人员通报。</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rPr>
              <w:t>《云南省安全生产条例》（已由云南省第十二届人民代表大会常务委员会第三十八次会议于2017年11月30日修订通过）第</w:t>
            </w:r>
            <w:r>
              <w:rPr>
                <w:rFonts w:hint="eastAsia" w:cs="宋体"/>
                <w:kern w:val="0"/>
                <w:sz w:val="21"/>
                <w:szCs w:val="21"/>
                <w:lang w:val="zh-CN"/>
              </w:rPr>
              <w:t>十</w:t>
            </w:r>
            <w:r>
              <w:rPr>
                <w:rFonts w:hint="eastAsia" w:cs="宋体"/>
                <w:kern w:val="0"/>
                <w:sz w:val="21"/>
                <w:szCs w:val="21"/>
              </w:rPr>
              <w:t>九</w:t>
            </w:r>
            <w:r>
              <w:rPr>
                <w:rFonts w:hint="eastAsia" w:cs="宋体"/>
                <w:kern w:val="0"/>
                <w:sz w:val="21"/>
                <w:szCs w:val="21"/>
                <w:lang w:val="zh-CN"/>
              </w:rPr>
              <w:t>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检查：氟化分公司建立了《隐患治理管理制度》，并严格按制度执行。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安全费用投入保障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888" w:type="pct"/>
            <w:shd w:val="clear" w:color="auto" w:fill="FEFEF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rPr>
              <w:t>生产经营单位的主要负责人对本单</w:t>
            </w:r>
            <w:commentRangeStart w:id="11"/>
            <w:r>
              <w:rPr>
                <w:rFonts w:hint="eastAsia" w:ascii="宋体" w:hAnsi="宋体" w:cs="宋体"/>
                <w:color w:val="auto"/>
                <w:sz w:val="21"/>
                <w:szCs w:val="21"/>
                <w:shd w:val="clear" w:color="auto" w:fill="FFFFFF"/>
              </w:rPr>
              <w:t>位安全生产工作负有下列职责:</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①</w:t>
            </w:r>
            <w:r>
              <w:rPr>
                <w:rFonts w:hint="eastAsia" w:ascii="宋体" w:hAnsi="宋体" w:cs="宋体"/>
                <w:color w:val="auto"/>
                <w:sz w:val="21"/>
                <w:szCs w:val="21"/>
                <w:shd w:val="clear" w:color="auto" w:fill="FFFFFF"/>
              </w:rPr>
              <w:t>建立健全并落实本单位全员安全生产责任制，加强安全生产标准化建设;</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②</w:t>
            </w:r>
            <w:r>
              <w:rPr>
                <w:rFonts w:hint="eastAsia" w:ascii="宋体" w:hAnsi="宋体" w:cs="宋体"/>
                <w:color w:val="auto"/>
                <w:sz w:val="21"/>
                <w:szCs w:val="21"/>
                <w:shd w:val="clear" w:color="auto" w:fill="FFFFFF"/>
              </w:rPr>
              <w:t>组织制定并实施本单位安全生产规章制度和操作规程;</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③</w:t>
            </w:r>
            <w:r>
              <w:rPr>
                <w:rFonts w:hint="eastAsia" w:ascii="宋体" w:hAnsi="宋体" w:cs="宋体"/>
                <w:color w:val="auto"/>
                <w:sz w:val="21"/>
                <w:szCs w:val="21"/>
                <w:shd w:val="clear" w:color="auto" w:fill="FFFFFF"/>
              </w:rPr>
              <w:t>组织制定并实施本单位安全生产教育和培训计划;</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④</w:t>
            </w:r>
            <w:r>
              <w:rPr>
                <w:rFonts w:hint="eastAsia" w:ascii="宋体" w:hAnsi="宋体" w:cs="宋体"/>
                <w:color w:val="auto"/>
                <w:sz w:val="21"/>
                <w:szCs w:val="21"/>
                <w:shd w:val="clear" w:color="auto" w:fill="FFFFFF"/>
              </w:rPr>
              <w:t>保证本单位安全生产投入的有效实施;</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⑤</w:t>
            </w:r>
            <w:r>
              <w:rPr>
                <w:rFonts w:hint="eastAsia" w:ascii="宋体" w:hAnsi="宋体" w:cs="宋体"/>
                <w:color w:val="auto"/>
                <w:sz w:val="21"/>
                <w:szCs w:val="21"/>
                <w:shd w:val="clear" w:color="auto" w:fill="FFFFFF"/>
              </w:rPr>
              <w:t>组织建立并落实安全风险分级管控和隐患排查治理双重预防工作机制，督促、检查本单位</w:t>
            </w:r>
            <w:commentRangeEnd w:id="11"/>
            <w:r>
              <w:commentReference w:id="11"/>
            </w:r>
            <w:r>
              <w:rPr>
                <w:rFonts w:hint="eastAsia" w:ascii="宋体" w:hAnsi="宋体" w:cs="宋体"/>
                <w:color w:val="auto"/>
                <w:sz w:val="21"/>
                <w:szCs w:val="21"/>
                <w:shd w:val="clear" w:color="auto" w:fill="FFFFFF"/>
              </w:rPr>
              <w:t>的安全生产工作，及时消除生产安全事故隐患;</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jc w:val="left"/>
              <w:textAlignment w:val="auto"/>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lang w:eastAsia="zh-CN"/>
              </w:rPr>
              <w:t>⑥</w:t>
            </w:r>
            <w:r>
              <w:rPr>
                <w:rFonts w:hint="eastAsia" w:ascii="宋体" w:hAnsi="宋体" w:cs="宋体"/>
                <w:color w:val="auto"/>
                <w:sz w:val="21"/>
                <w:szCs w:val="21"/>
                <w:shd w:val="clear" w:color="auto" w:fill="FFFFFF"/>
              </w:rPr>
              <w:t>组织制定并实施本单位的生产安全事故应急救援预案;</w:t>
            </w:r>
          </w:p>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lang w:eastAsia="zh-CN"/>
              </w:rPr>
              <w:t>⑦</w:t>
            </w:r>
            <w:r>
              <w:rPr>
                <w:rFonts w:hint="eastAsia" w:ascii="宋体" w:hAnsi="宋体" w:cs="宋体"/>
                <w:color w:val="auto"/>
                <w:sz w:val="21"/>
                <w:szCs w:val="21"/>
                <w:shd w:val="clear" w:color="auto" w:fill="FFFFFF"/>
              </w:rPr>
              <w:t>及时、如实报告生产安全事故。</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检查：氟化分公司建立了《安全生产费用管理制度》，并严格按制度执行。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生产经营单位应当具备的安全生产条件所必需的资金投入，由生产经营单位的决策机构、主要负责人或者个人经营的投资人予以保证，并对由于安全生产所必需的资金投入不足导致的后果承担责任。</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有关生产经营单位应当按照规定提取和使用</w:t>
            </w:r>
            <w:r>
              <w:fldChar w:fldCharType="begin"/>
            </w:r>
            <w:r>
              <w:instrText xml:space="preserve"> HYPERLINK "https://baike.sogou.com/lemma/ShowInnerLink.htm?lemmaId=7594915&amp;ss_c=ssc.citiao.link" \t "https://baike.sogou.com/_blank" </w:instrText>
            </w:r>
            <w:r>
              <w:fldChar w:fldCharType="separate"/>
            </w:r>
            <w:r>
              <w:rPr>
                <w:rStyle w:val="44"/>
                <w:rFonts w:hint="eastAsia" w:ascii="宋体" w:eastAsia="宋体" w:cs="宋体"/>
                <w:color w:val="auto"/>
                <w:sz w:val="21"/>
                <w:szCs w:val="21"/>
                <w:shd w:val="clear" w:color="auto" w:fill="FFFFFF"/>
              </w:rPr>
              <w:t>安全生产费用</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，专门用于改善安全生产条件。安全生产费用在成本中据实列支。安全生产费用提取、使用和监督管理的具体办法由国务院财政部门会同国务院应急管理部门征求国务院有关部门意见后制定。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安全生产法》（中华人民共和国主席令第88号）第23条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氟化分公司已按要求提取并使用安全生产费用</w:t>
            </w:r>
            <w:r>
              <w:rPr>
                <w:rFonts w:hint="eastAsia" w:ascii="宋体" w:hAnsi="宋体" w:cs="宋体"/>
                <w:color w:val="auto"/>
                <w:sz w:val="21"/>
                <w:szCs w:val="21"/>
              </w:rPr>
              <w:t>。</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生产经营单位新建、改建、扩建工程项目（以下统称建设项目）的安全设施，必须与主体工程同时设计、同时施工、同时投入生产和使用。安全设施投资应当纳入</w:t>
            </w:r>
            <w:r>
              <w:fldChar w:fldCharType="begin"/>
            </w:r>
            <w:r>
              <w:instrText xml:space="preserve"> HYPERLINK "https://baike.sogou.com/lemma/ShowInnerLink.htm?lemmaId=75651876&amp;ss_c=ssc.citiao.link" \t "https://baike.sogou.com/_blank" </w:instrText>
            </w:r>
            <w:r>
              <w:fldChar w:fldCharType="separate"/>
            </w:r>
            <w:r>
              <w:rPr>
                <w:rStyle w:val="44"/>
                <w:rFonts w:hint="eastAsia" w:ascii="宋体" w:hAnsi="宋体" w:cs="宋体"/>
                <w:color w:val="auto"/>
                <w:sz w:val="21"/>
                <w:szCs w:val="21"/>
                <w:shd w:val="clear" w:color="auto" w:fill="FFFFFF"/>
              </w:rPr>
              <w:t>建设项目概算</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安全生产法》（中华人民共和国主席令第88号）第31条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888"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生产经营单位应当安排用于配备劳动防护用品、进行安全生产培训的经费。</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安全生产法》（中华人民共和国主席令第88号）第47条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检查核实已按要求执行</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888"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生产经营单位必须依法参加工伤保险，为从业人员缴纳保险费。</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安全生产法》（中华人民共和国主席令第88号）第51条</w:t>
            </w:r>
          </w:p>
        </w:tc>
        <w:tc>
          <w:tcPr>
            <w:tcW w:w="1387"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检查核实已按要求参加</w:t>
            </w:r>
            <w:r>
              <w:rPr>
                <w:rFonts w:hint="eastAsia" w:ascii="宋体" w:hAnsi="宋体" w:cs="宋体"/>
                <w:color w:val="auto"/>
                <w:sz w:val="21"/>
                <w:szCs w:val="21"/>
                <w:shd w:val="clear" w:color="auto" w:fill="FFFFFF"/>
              </w:rPr>
              <w:t>工伤保险和安全生产责任保险</w:t>
            </w:r>
            <w:r>
              <w:rPr>
                <w:rFonts w:hint="eastAsia" w:ascii="宋体" w:hAnsi="宋体" w:cs="宋体"/>
                <w:color w:val="auto"/>
                <w:sz w:val="21"/>
                <w:szCs w:val="21"/>
              </w:rPr>
              <w:t>。</w:t>
            </w:r>
          </w:p>
        </w:tc>
        <w:tc>
          <w:tcPr>
            <w:tcW w:w="404"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b/>
                <w:bCs/>
                <w:kern w:val="0"/>
                <w:sz w:val="21"/>
                <w:szCs w:val="21"/>
                <w:lang w:val="zh-CN" w:eastAsia="en-US"/>
              </w:rPr>
              <w:t>生产管理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1</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必须编制产品的工艺规程，并根据工艺规程和安全管理制度编制操作法，严格按操作法进行操作。</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《化工企业安全管理制度》第56条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该厂编制了相关生产工艺操作规程。</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2</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不准踩踏管道、阀门、电线、电缆架及各种仪表管线等设施，去危险部位检查，必须有人监护。</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《化工企业安全管理制度》第60条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根据厂内负责人介绍，该项目在生产期间，相关人员去危险部位检查时，均有人监护。</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3</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严格安全纪律，禁止无关人员进入操作岗位和运用生产设备、设施和工具。</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《化工企业安全管理制度》第61条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厂内相关人员能够严格安全纪律。</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4</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在工艺过程或机电设备处在异常状态时，不准随意进行交接班。</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《化工企业安全管理制度》第63条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厂内制定了交接班制度。</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5</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各种条件具备后开车，开车过程中要加强有关岗位之间的联络，严格按开车方案中的步骤进行，严格遵守升降温、升降压和加减负荷的幅度（速率）要求。</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《化工企业安全管理制度》第69条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项目生产过程中，按照工艺</w:t>
            </w:r>
            <w:r>
              <w:rPr>
                <w:rFonts w:hint="eastAsia" w:cs="宋体"/>
                <w:kern w:val="0"/>
                <w:sz w:val="21"/>
                <w:szCs w:val="21"/>
                <w:lang w:val="en-US" w:eastAsia="zh-CN"/>
              </w:rPr>
              <w:t>规</w:t>
            </w:r>
            <w:r>
              <w:rPr>
                <w:rFonts w:hint="eastAsia" w:cs="宋体"/>
                <w:kern w:val="0"/>
                <w:sz w:val="21"/>
                <w:szCs w:val="21"/>
              </w:rPr>
              <w:t>程逐一进行。</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7</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发现或发生紧急情况，必须先尽最大努力作出妥善处理，同时向有关方面报告，必要时，先处理后报告。</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《化工企业安全管理制度》第76条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根据厂内负责人介绍，项目生产过程中，若发生事故，其现场人员能够做到所述程序。</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8</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发生停电、停水、停气（汽）时，必须采取措施，防止系统超温、超压、跑料及机电设备的损坏。</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《化工企业安全管理制度》第78条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生产过程中，若发生停电、停水事故时，将采取一定措施。</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9</w:t>
            </w:r>
          </w:p>
        </w:tc>
        <w:tc>
          <w:tcPr>
            <w:tcW w:w="0" w:type="auto"/>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对所有易燃、易爆物品和可能产生火灾、爆炸危险的生产、储运、销售、使用过程及其相关的设备，进行严格管理。</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《化工企业安全管理制度》第111条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该厂对所述内容能够做到严格管理。</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vAlign w:val="center"/>
          </w:tcPr>
          <w:p>
            <w:pPr>
              <w:spacing w:line="240" w:lineRule="auto"/>
              <w:ind w:firstLine="0" w:firstLineChars="0"/>
              <w:jc w:val="center"/>
              <w:rPr>
                <w:rFonts w:ascii="宋体" w:hAnsi="宋体" w:cs="宋体"/>
                <w:color w:val="auto"/>
                <w:sz w:val="21"/>
                <w:szCs w:val="21"/>
              </w:rPr>
            </w:pPr>
            <w:r>
              <w:rPr>
                <w:rFonts w:hint="eastAsia" w:cs="宋体"/>
                <w:b/>
                <w:bCs/>
                <w:kern w:val="0"/>
                <w:sz w:val="21"/>
                <w:szCs w:val="21"/>
                <w:lang w:val="zh-CN" w:eastAsia="en-US"/>
              </w:rPr>
              <w:t>其它方面的管理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eastAsia="en-US"/>
              </w:rPr>
              <w:t>1.</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安全设备的设计、制造、安装、使用、检测、维修、改造和报废，应当符合国家标准或者行业标准。</w:t>
            </w:r>
          </w:p>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生产经营单位必须对安全设备进行经常性维护、保养，并定期检测，保证正常运转。维护、保养、检测应当作好记录，并由有关人员签字。</w:t>
            </w:r>
          </w:p>
          <w:p>
            <w:pPr>
              <w:pStyle w:val="32"/>
              <w:shd w:val="clear" w:color="auto" w:fill="FFFFFF"/>
              <w:spacing w:line="240" w:lineRule="auto"/>
              <w:ind w:firstLine="210" w:firstLineChars="100"/>
              <w:rPr>
                <w:rFonts w:ascii="宋体" w:hAnsi="宋体" w:cs="宋体"/>
                <w:kern w:val="0"/>
                <w:sz w:val="21"/>
                <w:szCs w:val="21"/>
              </w:rPr>
            </w:pPr>
            <w:r>
              <w:rPr>
                <w:rFonts w:hint="eastAsia" w:ascii="宋体" w:eastAsia="宋体" w:cs="宋体"/>
                <w:color w:val="333333"/>
                <w:sz w:val="21"/>
                <w:szCs w:val="21"/>
                <w:shd w:val="clear" w:color="auto" w:fill="FFFFFF"/>
              </w:rPr>
              <w:t>生产经营单位不得关闭、破坏直接关系生产安全的监控、报警、防护、救生设备、设施，或者篡改、隐瞒、销毁其相关数据、信息。</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36</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根据业主提供的资料记</w:t>
            </w:r>
            <w:r>
              <w:rPr>
                <w:rFonts w:hint="eastAsia" w:cs="宋体"/>
                <w:kern w:val="0"/>
                <w:sz w:val="21"/>
                <w:szCs w:val="21"/>
                <w:lang w:val="zh-CN"/>
              </w:rPr>
              <w:t>录，厂内对安全设备基本能够做到经常性维护、保养，定期检测。</w:t>
            </w:r>
          </w:p>
        </w:tc>
        <w:tc>
          <w:tcPr>
            <w:tcW w:w="404"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0" w:type="auto"/>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color w:val="333333"/>
                <w:sz w:val="21"/>
                <w:szCs w:val="21"/>
                <w:shd w:val="clear" w:color="auto" w:fill="FFFFFF"/>
              </w:rPr>
              <w:t>矿山、金属冶炼、建筑施工、运输单位和危险物品的生产、经营、储存、装卸单位，应当设置安全生产管理机构或者配备专职安全生产管理人员。</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24</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已按规定</w:t>
            </w:r>
            <w:r>
              <w:rPr>
                <w:rFonts w:hint="eastAsia" w:ascii="宋体" w:hAnsi="宋体" w:cs="宋体"/>
                <w:color w:val="333333"/>
                <w:sz w:val="21"/>
                <w:szCs w:val="21"/>
                <w:shd w:val="clear" w:color="auto" w:fill="FFFFFF"/>
              </w:rPr>
              <w:t>设置安全生产管理机构或者配备专职安全生产管理人员。</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0" w:type="auto"/>
            <w:vAlign w:val="center"/>
          </w:tcPr>
          <w:p>
            <w:pPr>
              <w:autoSpaceDE w:val="0"/>
              <w:autoSpaceDN w:val="0"/>
              <w:spacing w:line="240" w:lineRule="auto"/>
              <w:ind w:firstLine="210" w:firstLineChars="100"/>
              <w:jc w:val="left"/>
              <w:rPr>
                <w:rFonts w:ascii="宋体" w:hAnsi="宋体" w:cs="宋体"/>
                <w:color w:val="333333"/>
                <w:sz w:val="21"/>
                <w:szCs w:val="21"/>
                <w:shd w:val="clear" w:color="auto" w:fill="FFFFFF"/>
              </w:rPr>
            </w:pPr>
            <w:r>
              <w:rPr>
                <w:rFonts w:hint="eastAsia" w:ascii="宋体" w:hAnsi="宋体" w:cs="宋体"/>
                <w:color w:val="333333"/>
                <w:sz w:val="21"/>
                <w:szCs w:val="21"/>
                <w:shd w:val="clear" w:color="auto" w:fill="FFFFFF"/>
              </w:rPr>
              <w:t>生产</w:t>
            </w:r>
            <w:r>
              <w:rPr>
                <w:rFonts w:hint="eastAsia" w:ascii="宋体" w:hAnsi="宋体" w:cs="宋体"/>
                <w:color w:val="auto"/>
                <w:sz w:val="21"/>
                <w:szCs w:val="21"/>
                <w:shd w:val="clear" w:color="auto" w:fill="FFFFFF"/>
              </w:rPr>
              <w:t>经营单位应当在有较大危险因素的</w:t>
            </w:r>
            <w:r>
              <w:fldChar w:fldCharType="begin"/>
            </w:r>
            <w:r>
              <w:instrText xml:space="preserve"> HYPERLINK "https://baike.sogou.com/lemma/ShowInnerLink.htm?lemmaId=174217900&amp;ss_c=ssc.citiao.link" \t "https://baike.sogou.com/_blank" </w:instrText>
            </w:r>
            <w:r>
              <w:fldChar w:fldCharType="separate"/>
            </w:r>
            <w:r>
              <w:rPr>
                <w:rStyle w:val="44"/>
                <w:rFonts w:hint="eastAsia" w:ascii="宋体" w:hAnsi="宋体" w:cs="宋体"/>
                <w:color w:val="auto"/>
                <w:sz w:val="21"/>
                <w:szCs w:val="21"/>
                <w:shd w:val="clear" w:color="auto" w:fill="FFFFFF"/>
              </w:rPr>
              <w:t>生产经营场所</w:t>
            </w:r>
            <w:r>
              <w:rPr>
                <w:rStyle w:val="44"/>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和有关设施、设备上，设置明显的安全警示标志</w:t>
            </w:r>
            <w:r>
              <w:rPr>
                <w:rFonts w:hint="eastAsia" w:ascii="宋体" w:hAnsi="宋体" w:cs="宋体"/>
                <w:color w:val="333333"/>
                <w:sz w:val="21"/>
                <w:szCs w:val="21"/>
                <w:shd w:val="clear" w:color="auto" w:fill="FFFFFF"/>
              </w:rPr>
              <w:t>。</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35</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ascii="宋体" w:hAnsi="宋体" w:cs="宋体"/>
                <w:color w:val="auto"/>
                <w:sz w:val="21"/>
                <w:szCs w:val="21"/>
                <w:shd w:val="clear" w:color="auto" w:fill="FFFFFF"/>
              </w:rPr>
              <w:t>已设置明显的安全警示标志。</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生产、经营、储存、使用危险物品的车间、商店、仓库不得与员工宿舍在同一座建筑物内，并应当与员工宿舍保持安全距离。</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生产经营场所和员工宿舍应当设有符合紧急疏散要求、标志明显、保持畅通的出口、疏散通道。禁止占用、锁闭、封堵生产经营场所或者员工宿舍的出口、疏散通道。</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42</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经检查氟化分公司内无</w:t>
            </w:r>
            <w:r>
              <w:rPr>
                <w:rFonts w:hint="eastAsia" w:ascii="宋体" w:hAnsi="宋体" w:cs="宋体"/>
                <w:color w:val="333333"/>
                <w:sz w:val="21"/>
                <w:szCs w:val="21"/>
                <w:shd w:val="clear" w:color="auto" w:fill="FFFFFF"/>
              </w:rPr>
              <w:t>员工宿舍。</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5</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生产经营单位应当教育和督促从业人员严格执行本单位的安全生产规章制度和安全操作规程；并向从业人员如实告知作业场所和工作岗位存在的危险因素、防范措施以及事故应急措施。</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生产经营单位应当关注从业人员的身体、心理状况和行为习惯，加强对从业人员的心理疏导、精神慰藉，严格落实岗位安全生产责任，防范从业人员行为异常导致事故发生。</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44</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检查能严格按规定执行。</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0" w:type="auto"/>
            <w:vAlign w:val="center"/>
          </w:tcPr>
          <w:p>
            <w:pPr>
              <w:autoSpaceDE w:val="0"/>
              <w:autoSpaceDN w:val="0"/>
              <w:spacing w:line="240" w:lineRule="auto"/>
              <w:ind w:firstLine="210" w:firstLineChars="100"/>
              <w:jc w:val="left"/>
              <w:rPr>
                <w:rFonts w:ascii="宋体" w:hAnsi="宋体" w:cs="宋体"/>
                <w:color w:val="333333"/>
                <w:sz w:val="21"/>
                <w:szCs w:val="21"/>
                <w:shd w:val="clear" w:color="auto" w:fill="FFFFFF"/>
              </w:rPr>
            </w:pPr>
            <w:r>
              <w:rPr>
                <w:rFonts w:hint="eastAsia" w:ascii="宋体" w:hAnsi="宋体" w:cs="宋体"/>
                <w:color w:val="333333"/>
                <w:sz w:val="21"/>
                <w:szCs w:val="21"/>
                <w:shd w:val="clear" w:color="auto" w:fill="FFFFFF"/>
              </w:rPr>
              <w:t>生产经营单位必须为从业人员提供符合国家标准或者行业标准的劳动防护用品，并监督、教育从业人员按照使用规则佩戴、使用。</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45</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已懔从业人员</w:t>
            </w:r>
            <w:r>
              <w:rPr>
                <w:rFonts w:hint="eastAsia" w:ascii="宋体" w:hAnsi="宋体" w:cs="宋体"/>
                <w:color w:val="333333"/>
                <w:sz w:val="21"/>
                <w:szCs w:val="21"/>
                <w:shd w:val="clear" w:color="auto" w:fill="FFFFFF"/>
              </w:rPr>
              <w:t>提供符合国家标准或者行业标准的劳动防护用品。</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7</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生产经营单位发生生产安全事故时，单位的主要负责人应当立即组织抢救，并不得在事故调查处理期间擅离职守。</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50</w:t>
            </w:r>
            <w:r>
              <w:rPr>
                <w:rFonts w:hint="eastAsia" w:cs="宋体"/>
                <w:kern w:val="0"/>
                <w:sz w:val="21"/>
                <w:szCs w:val="21"/>
                <w:lang w:val="zh-CN"/>
              </w:rPr>
              <w:t>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已建立《事故管理制度》，并严格按制度执行。</w:t>
            </w:r>
          </w:p>
        </w:tc>
        <w:tc>
          <w:tcPr>
            <w:tcW w:w="404"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8</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生产经营单位必须依法参加工伤保险，为从业人员缴纳保险费。</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51</w:t>
            </w:r>
            <w:r>
              <w:rPr>
                <w:rFonts w:hint="eastAsia" w:cs="宋体"/>
                <w:kern w:val="0"/>
                <w:sz w:val="21"/>
                <w:szCs w:val="21"/>
                <w:lang w:val="zh-CN"/>
              </w:rPr>
              <w:t>条</w:t>
            </w:r>
          </w:p>
        </w:tc>
        <w:tc>
          <w:tcPr>
            <w:tcW w:w="1387" w:type="pct"/>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检查核实已按要求参加</w:t>
            </w:r>
            <w:r>
              <w:rPr>
                <w:rFonts w:hint="eastAsia" w:ascii="宋体" w:hAnsi="宋体" w:cs="宋体"/>
                <w:color w:val="auto"/>
                <w:sz w:val="21"/>
                <w:szCs w:val="21"/>
                <w:shd w:val="clear" w:color="auto" w:fill="FFFFFF"/>
              </w:rPr>
              <w:t>工伤保险和安全生产责任保险</w:t>
            </w:r>
            <w:r>
              <w:rPr>
                <w:rFonts w:hint="eastAsia" w:ascii="宋体" w:hAnsi="宋体" w:cs="宋体"/>
                <w:color w:val="auto"/>
                <w:sz w:val="21"/>
                <w:szCs w:val="21"/>
              </w:rPr>
              <w:t>。</w:t>
            </w:r>
            <w:r>
              <w:rPr>
                <w:rFonts w:hint="eastAsia" w:ascii="宋体" w:hAnsi="宋体" w:cs="宋体"/>
                <w:color w:val="000000" w:themeColor="text1"/>
                <w:sz w:val="21"/>
                <w:szCs w:val="21"/>
              </w:rPr>
              <w:t>详见</w:t>
            </w:r>
            <w:r>
              <w:rPr>
                <w:rFonts w:hint="eastAsia" w:ascii="宋体" w:hAnsi="宋体" w:cs="宋体"/>
                <w:sz w:val="21"/>
                <w:szCs w:val="21"/>
              </w:rPr>
              <w:t>企业原始资料</w:t>
            </w:r>
            <w:r>
              <w:rPr>
                <w:rFonts w:hint="eastAsia" w:ascii="宋体" w:hAnsi="宋体" w:cs="宋体"/>
                <w:sz w:val="21"/>
                <w:szCs w:val="21"/>
                <w:lang w:val="en-US" w:eastAsia="zh-CN"/>
              </w:rPr>
              <w:t>附件</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13、6.14</w:t>
            </w:r>
            <w:r>
              <w:rPr>
                <w:rFonts w:hint="eastAsia" w:ascii="宋体" w:hAnsi="宋体" w:cs="宋体"/>
                <w:color w:val="000000" w:themeColor="text1"/>
                <w:sz w:val="21"/>
                <w:szCs w:val="21"/>
              </w:rPr>
              <w:t>。</w:t>
            </w:r>
          </w:p>
        </w:tc>
        <w:tc>
          <w:tcPr>
            <w:tcW w:w="404" w:type="pct"/>
            <w:vAlign w:val="center"/>
          </w:tcPr>
          <w:p>
            <w:pPr>
              <w:spacing w:line="240" w:lineRule="auto"/>
              <w:ind w:firstLine="0" w:firstLineChars="0"/>
              <w:jc w:val="center"/>
              <w:rPr>
                <w:rFonts w:ascii="宋体" w:hAnsi="宋体" w:cs="宋体"/>
                <w:color w:val="auto"/>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9</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危险化学品生产企业应当提供与其生产的危险化学品相符的化学品安全技术说明书，并在危险化学品包装（包括外包装件）上粘贴或者拴挂与包装内危险化学品</w:t>
            </w:r>
            <w:r>
              <w:rPr>
                <w:rFonts w:hint="eastAsia" w:ascii="宋体" w:eastAsia="宋体" w:cs="宋体"/>
                <w:color w:val="auto"/>
                <w:sz w:val="21"/>
                <w:szCs w:val="21"/>
                <w:shd w:val="clear" w:color="auto" w:fill="FFFFFF"/>
              </w:rPr>
              <w:t>相符的</w:t>
            </w:r>
            <w:r>
              <w:fldChar w:fldCharType="begin"/>
            </w:r>
            <w:r>
              <w:instrText xml:space="preserve"> HYPERLINK "https://baike.sogou.com/lemma/ShowInnerLink.htm?lemmaId=7556888&amp;ss_c=ssc.citiao.link" \t "https://baike.sogou.com/_blank" </w:instrText>
            </w:r>
            <w:r>
              <w:fldChar w:fldCharType="separate"/>
            </w:r>
            <w:r>
              <w:rPr>
                <w:rStyle w:val="44"/>
                <w:rFonts w:hint="eastAsia" w:ascii="宋体" w:eastAsia="宋体" w:cs="宋体"/>
                <w:color w:val="auto"/>
                <w:sz w:val="21"/>
                <w:szCs w:val="21"/>
                <w:shd w:val="clear" w:color="auto" w:fill="FFFFFF"/>
              </w:rPr>
              <w:t>化学品安全标签</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。化学品安全</w:t>
            </w:r>
            <w:r>
              <w:rPr>
                <w:rFonts w:hint="eastAsia" w:ascii="宋体" w:eastAsia="宋体" w:cs="宋体"/>
                <w:color w:val="333333"/>
                <w:sz w:val="21"/>
                <w:szCs w:val="21"/>
                <w:shd w:val="clear" w:color="auto" w:fill="FFFFFF"/>
              </w:rPr>
              <w:t>技术说明书和化学品安全标签所载明的内容应当符合国家标准的要求。</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危险化学品生产企业发现其生产的危险化学品有新的危险特性的，应当立即公告，并及时修订其化学品安全技术说明书和化学品安全标签。</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15条</w:t>
            </w:r>
          </w:p>
        </w:tc>
        <w:tc>
          <w:tcPr>
            <w:tcW w:w="1387"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已提供安全技术说明书和安全标签。</w:t>
            </w:r>
          </w:p>
        </w:tc>
        <w:tc>
          <w:tcPr>
            <w:tcW w:w="404" w:type="pct"/>
            <w:vAlign w:val="center"/>
          </w:tcPr>
          <w:p>
            <w:pPr>
              <w:autoSpaceDE w:val="0"/>
              <w:autoSpaceDN w:val="0"/>
              <w:spacing w:line="240" w:lineRule="auto"/>
              <w:ind w:firstLine="0" w:firstLineChars="0"/>
              <w:jc w:val="center"/>
              <w:rPr>
                <w:rFonts w:ascii="宋体" w:hAnsi="宋体"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10</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生产、储存危险化学品的单位，应当在其作业场所和安全设施、设备上设置明显的安全警示标志。</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20条</w:t>
            </w:r>
          </w:p>
        </w:tc>
        <w:tc>
          <w:tcPr>
            <w:tcW w:w="1387"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设置监控、报警、防雷、防静电设施，并进行经</w:t>
            </w:r>
            <w:r>
              <w:rPr>
                <w:rFonts w:hint="eastAsia" w:ascii="宋体" w:hAnsi="宋体" w:cs="宋体"/>
                <w:color w:val="333333"/>
                <w:sz w:val="21"/>
                <w:szCs w:val="21"/>
                <w:shd w:val="clear" w:color="auto" w:fill="FFFFFF"/>
              </w:rPr>
              <w:t>常性维护、保养。</w:t>
            </w:r>
          </w:p>
        </w:tc>
        <w:tc>
          <w:tcPr>
            <w:tcW w:w="404" w:type="pct"/>
            <w:vAlign w:val="center"/>
          </w:tcPr>
          <w:p>
            <w:pPr>
              <w:autoSpaceDE w:val="0"/>
              <w:autoSpaceDN w:val="0"/>
              <w:spacing w:line="240" w:lineRule="auto"/>
              <w:ind w:firstLine="0" w:firstLineChars="0"/>
              <w:jc w:val="center"/>
              <w:rPr>
                <w:rFonts w:ascii="宋体" w:hAnsi="宋体"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11</w:t>
            </w:r>
          </w:p>
        </w:tc>
        <w:tc>
          <w:tcPr>
            <w:tcW w:w="0" w:type="auto"/>
            <w:vAlign w:val="center"/>
          </w:tcPr>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生产、储存危险化学品的单位，应当在其作业场所设置通信、报警装置，并保证处于适用状态。</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21条</w:t>
            </w:r>
          </w:p>
        </w:tc>
        <w:tc>
          <w:tcPr>
            <w:tcW w:w="1387"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设置报警设施，并进行经</w:t>
            </w:r>
            <w:r>
              <w:rPr>
                <w:rFonts w:hint="eastAsia" w:ascii="宋体" w:hAnsi="宋体" w:cs="宋体"/>
                <w:color w:val="333333"/>
                <w:sz w:val="21"/>
                <w:szCs w:val="21"/>
                <w:shd w:val="clear" w:color="auto" w:fill="FFFFFF"/>
              </w:rPr>
              <w:t>常性维护、保养。</w:t>
            </w:r>
          </w:p>
        </w:tc>
        <w:tc>
          <w:tcPr>
            <w:tcW w:w="404"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12</w:t>
            </w:r>
          </w:p>
        </w:tc>
        <w:tc>
          <w:tcPr>
            <w:tcW w:w="0" w:type="auto"/>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特种设备使用单位应当对在用特种设备的安全附件、安全保护装置、测量调控装置及有关附属仪器仪表进行定期校验、检修，并作出记录。</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《特种设备安全监察条例》（中华人民共和国国务院令第549号）第二十七条</w:t>
            </w:r>
          </w:p>
        </w:tc>
        <w:tc>
          <w:tcPr>
            <w:tcW w:w="1387" w:type="pct"/>
            <w:vAlign w:val="center"/>
          </w:tcPr>
          <w:p>
            <w:pPr>
              <w:autoSpaceDE w:val="0"/>
              <w:autoSpaceDN w:val="0"/>
              <w:spacing w:line="240" w:lineRule="auto"/>
              <w:ind w:firstLine="210" w:firstLineChars="100"/>
              <w:jc w:val="left"/>
              <w:rPr>
                <w:rFonts w:cs="宋体"/>
                <w:kern w:val="0"/>
                <w:sz w:val="21"/>
                <w:szCs w:val="21"/>
                <w:lang w:eastAsia="en-US"/>
              </w:rPr>
            </w:pPr>
            <w:r>
              <w:rPr>
                <w:rFonts w:hint="eastAsia" w:cs="宋体"/>
                <w:kern w:val="0"/>
                <w:sz w:val="21"/>
                <w:szCs w:val="21"/>
              </w:rPr>
              <w:t>特种设备的安全附件进行定期校验、检修。</w:t>
            </w:r>
            <w:r>
              <w:rPr>
                <w:rFonts w:hint="eastAsia" w:ascii="宋体" w:hAnsi="宋体" w:cs="宋体"/>
                <w:color w:val="000000" w:themeColor="text1"/>
                <w:sz w:val="21"/>
                <w:szCs w:val="21"/>
              </w:rPr>
              <w:t>详见</w:t>
            </w:r>
            <w:r>
              <w:rPr>
                <w:rFonts w:hint="eastAsia" w:ascii="宋体" w:hAnsi="宋体" w:cs="宋体"/>
                <w:sz w:val="21"/>
                <w:szCs w:val="21"/>
              </w:rPr>
              <w:t>企业原始资料</w:t>
            </w:r>
            <w:r>
              <w:rPr>
                <w:rFonts w:hint="eastAsia" w:ascii="宋体" w:hAnsi="宋体" w:cs="宋体"/>
                <w:sz w:val="21"/>
                <w:szCs w:val="21"/>
                <w:lang w:val="en-US" w:eastAsia="zh-CN"/>
              </w:rPr>
              <w:t>附件</w:t>
            </w:r>
            <w:r>
              <w:rPr>
                <w:rFonts w:hint="eastAsia" w:ascii="宋体" w:hAnsi="宋体" w:cs="宋体"/>
                <w:color w:val="000000" w:themeColor="text1"/>
                <w:sz w:val="21"/>
                <w:szCs w:val="21"/>
              </w:rPr>
              <w:t>6.20</w:t>
            </w:r>
            <w:r>
              <w:rPr>
                <w:rFonts w:hint="eastAsia" w:ascii="宋体" w:hAnsi="宋体" w:cs="宋体"/>
                <w:color w:val="000000" w:themeColor="text1"/>
                <w:sz w:val="21"/>
                <w:szCs w:val="21"/>
                <w:lang w:eastAsia="zh-CN"/>
              </w:rPr>
              <w:t>、</w:t>
            </w:r>
            <w:r>
              <w:rPr>
                <w:rFonts w:hint="eastAsia" w:ascii="宋体" w:hAnsi="宋体" w:cs="宋体"/>
                <w:color w:val="000000" w:themeColor="text1"/>
                <w:sz w:val="21"/>
                <w:szCs w:val="21"/>
                <w:lang w:val="en-US" w:eastAsia="zh-CN"/>
              </w:rPr>
              <w:t>6.21</w:t>
            </w:r>
            <w:r>
              <w:rPr>
                <w:rFonts w:hint="eastAsia" w:ascii="宋体" w:hAnsi="宋体" w:cs="宋体"/>
                <w:color w:val="000000" w:themeColor="text1"/>
                <w:sz w:val="21"/>
                <w:szCs w:val="21"/>
              </w:rPr>
              <w:t>。</w:t>
            </w:r>
          </w:p>
        </w:tc>
        <w:tc>
          <w:tcPr>
            <w:tcW w:w="404"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13</w:t>
            </w:r>
          </w:p>
        </w:tc>
        <w:tc>
          <w:tcPr>
            <w:tcW w:w="0" w:type="auto"/>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生产经营单位应当加强对本单位特种作业人员的管理，建立健全特种作业人员培训、复审档案，做好申报、培训、考核、复审的组织工作和日常的检查工作。</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《特种作业人员安全技术培训考核管理规定》（国家安监总局第30号令、根据国家安全生产监督管理总局第80号令）第三十五条</w:t>
            </w:r>
          </w:p>
        </w:tc>
        <w:tc>
          <w:tcPr>
            <w:tcW w:w="1387"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建立了特种作业人员管理制度，对特种作业人员培训等工作做出明确规定。</w:t>
            </w:r>
          </w:p>
        </w:tc>
        <w:tc>
          <w:tcPr>
            <w:tcW w:w="404"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bl>
    <w:p>
      <w:pPr>
        <w:ind w:firstLine="560"/>
        <w:rPr>
          <w:color w:val="000000" w:themeColor="text1"/>
          <w:lang w:val="zh-CN"/>
        </w:rPr>
      </w:pPr>
    </w:p>
    <w:p>
      <w:pPr>
        <w:ind w:firstLine="560"/>
        <w:rPr>
          <w:color w:val="000000" w:themeColor="text1"/>
        </w:rPr>
      </w:pPr>
      <w:r>
        <w:rPr>
          <w:rFonts w:hint="eastAsia"/>
          <w:color w:val="000000" w:themeColor="text1"/>
        </w:rPr>
        <w:t>由上述安全检查表的检查结果可知：氟化分公司安全管理符合《中华人民共和国安全生产法》（中华人民共和国主席令第88号，自2021年9月1日起施行）、《危险化学品生产企业安全生产许可证实施办法》（</w:t>
      </w:r>
      <w:r>
        <w:rPr>
          <w:color w:val="000000" w:themeColor="text1"/>
        </w:rPr>
        <w:t>国家安全生产监督管理总局令第41号，第79号第一次修正，第89号第二次修正</w:t>
      </w:r>
      <w:r>
        <w:rPr>
          <w:rFonts w:hint="eastAsia"/>
          <w:color w:val="000000" w:themeColor="text1"/>
        </w:rPr>
        <w:t>）、《生产经营单位安全培训规定》（</w:t>
      </w:r>
      <w:r>
        <w:rPr>
          <w:color w:val="000000" w:themeColor="text1"/>
        </w:rPr>
        <w:t>国家安全生产监管总局令〔2015〕第80号</w:t>
      </w:r>
      <w:r>
        <w:rPr>
          <w:rFonts w:hint="eastAsia"/>
          <w:color w:val="000000" w:themeColor="text1"/>
        </w:rPr>
        <w:t>）等法律法规的有关要求。</w:t>
      </w:r>
    </w:p>
    <w:p>
      <w:pPr>
        <w:pStyle w:val="5"/>
        <w:keepNext w:val="0"/>
        <w:keepLines w:val="0"/>
        <w:ind w:firstLine="562"/>
      </w:pPr>
      <w:bookmarkStart w:id="2856" w:name="_Toc8381"/>
      <w:bookmarkStart w:id="2857" w:name="_Toc31827"/>
      <w:bookmarkStart w:id="2858" w:name="_Toc10291"/>
      <w:bookmarkStart w:id="2859" w:name="_Toc1969"/>
      <w:bookmarkStart w:id="2860" w:name="_Toc9708"/>
      <w:bookmarkStart w:id="2861" w:name="_Toc25052"/>
      <w:bookmarkStart w:id="2862" w:name="_Toc62219380"/>
      <w:bookmarkStart w:id="2863" w:name="_Toc17161"/>
      <w:bookmarkStart w:id="2864" w:name="_Toc15850"/>
      <w:bookmarkStart w:id="2865" w:name="_Toc32155"/>
      <w:bookmarkStart w:id="2866" w:name="_Toc7758"/>
      <w:bookmarkStart w:id="2867" w:name="_Toc18277"/>
      <w:bookmarkStart w:id="2868" w:name="_Toc1612"/>
      <w:bookmarkStart w:id="2869" w:name="_Toc32663"/>
      <w:bookmarkStart w:id="2870" w:name="_Toc128056544"/>
      <w:r>
        <w:rPr>
          <w:rFonts w:hint="eastAsia"/>
        </w:rPr>
        <w:t>4.</w:t>
      </w:r>
      <w:r>
        <w:rPr>
          <w:rFonts w:hint="eastAsia"/>
          <w:lang w:val="en-US" w:eastAsia="zh-CN"/>
        </w:rPr>
        <w:t>4</w:t>
      </w:r>
      <w:r>
        <w:rPr>
          <w:rFonts w:hint="eastAsia"/>
        </w:rPr>
        <w:t>.2 应急救援安全评价</w:t>
      </w:r>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p>
    <w:p>
      <w:pPr>
        <w:widowControl/>
        <w:topLinePunct/>
        <w:ind w:firstLine="560"/>
        <w:rPr>
          <w:rFonts w:ascii="宋体" w:hAnsi="宋体"/>
          <w:color w:val="000000" w:themeColor="text1"/>
          <w:kern w:val="0"/>
          <w:szCs w:val="28"/>
          <w:lang w:val="zh-CN"/>
        </w:rPr>
      </w:pPr>
      <w:r>
        <w:rPr>
          <w:rFonts w:hint="eastAsia" w:ascii="宋体" w:hAnsi="宋体"/>
          <w:color w:val="000000" w:themeColor="text1"/>
          <w:kern w:val="0"/>
          <w:szCs w:val="28"/>
          <w:lang w:val="zh-CN"/>
        </w:rPr>
        <w:t>本节根据《生产安全事故应急条例》</w:t>
      </w:r>
      <w:r>
        <w:rPr>
          <w:color w:val="000000" w:themeColor="text1"/>
        </w:rPr>
        <w:t>（中华人民共和国国务院第708号令</w:t>
      </w:r>
      <w:r>
        <w:rPr>
          <w:rFonts w:hint="eastAsia" w:ascii="宋体" w:hAnsi="宋体"/>
          <w:color w:val="000000" w:themeColor="text1"/>
          <w:kern w:val="0"/>
          <w:szCs w:val="28"/>
          <w:lang w:val="zh-CN"/>
        </w:rPr>
        <w:t>）、《生产安全事故应急预案管理办法》（2019年7月11日应急管理部令第2号令修订）、《生产经营单位生产安全事故应急预案编制导则》（GB/T29639-20</w:t>
      </w:r>
      <w:r>
        <w:rPr>
          <w:rFonts w:hint="eastAsia" w:ascii="宋体" w:hAnsi="宋体"/>
          <w:color w:val="000000" w:themeColor="text1"/>
          <w:kern w:val="0"/>
          <w:szCs w:val="28"/>
        </w:rPr>
        <w:t>20</w:t>
      </w:r>
      <w:r>
        <w:rPr>
          <w:rFonts w:hint="eastAsia" w:ascii="宋体" w:hAnsi="宋体"/>
          <w:color w:val="000000" w:themeColor="text1"/>
          <w:kern w:val="0"/>
          <w:szCs w:val="28"/>
          <w:lang w:val="zh-CN"/>
        </w:rPr>
        <w:t>）等有关要求，对</w:t>
      </w:r>
      <w:r>
        <w:rPr>
          <w:rFonts w:hint="eastAsia" w:ascii="宋体" w:hAnsi="宋体"/>
          <w:color w:val="000000" w:themeColor="text1"/>
          <w:kern w:val="0"/>
          <w:szCs w:val="28"/>
        </w:rPr>
        <w:t>该</w:t>
      </w:r>
      <w:r>
        <w:rPr>
          <w:rFonts w:hint="eastAsia" w:ascii="宋体" w:hAnsi="宋体"/>
          <w:color w:val="000000" w:themeColor="text1"/>
          <w:kern w:val="0"/>
          <w:szCs w:val="28"/>
          <w:lang w:val="zh-CN"/>
        </w:rPr>
        <w:t>公司应急救援进行检查评价，具体检查情况见</w:t>
      </w:r>
      <w:r>
        <w:rPr>
          <w:snapToGrid w:val="0"/>
          <w:color w:val="000000" w:themeColor="text1"/>
          <w:kern w:val="0"/>
          <w:szCs w:val="28"/>
        </w:rPr>
        <w:t>附</w:t>
      </w:r>
      <w:r>
        <w:rPr>
          <w:rFonts w:hint="eastAsia" w:ascii="宋体" w:hAnsi="宋体"/>
          <w:color w:val="000000" w:themeColor="text1"/>
          <w:kern w:val="0"/>
          <w:szCs w:val="28"/>
          <w:lang w:val="zh-CN"/>
        </w:rPr>
        <w:t>表</w:t>
      </w:r>
      <w:r>
        <w:rPr>
          <w:rFonts w:hint="eastAsia" w:ascii="宋体" w:hAnsi="宋体"/>
          <w:color w:val="000000" w:themeColor="text1"/>
          <w:kern w:val="0"/>
          <w:szCs w:val="28"/>
        </w:rPr>
        <w:t>4</w:t>
      </w:r>
      <w:r>
        <w:rPr>
          <w:rFonts w:hint="eastAsia" w:ascii="宋体" w:hAnsi="宋体"/>
          <w:color w:val="000000" w:themeColor="text1"/>
          <w:kern w:val="0"/>
          <w:szCs w:val="28"/>
          <w:lang w:val="zh-CN"/>
        </w:rPr>
        <w:t>.</w:t>
      </w:r>
      <w:r>
        <w:rPr>
          <w:rFonts w:hint="eastAsia" w:ascii="宋体" w:hAnsi="宋体"/>
          <w:color w:val="000000" w:themeColor="text1"/>
          <w:kern w:val="0"/>
          <w:szCs w:val="28"/>
          <w:lang w:val="en-US" w:eastAsia="zh-CN"/>
        </w:rPr>
        <w:t>4</w:t>
      </w:r>
      <w:r>
        <w:rPr>
          <w:rFonts w:hint="eastAsia" w:ascii="宋体" w:hAnsi="宋体"/>
          <w:color w:val="000000" w:themeColor="text1"/>
          <w:kern w:val="0"/>
          <w:szCs w:val="28"/>
          <w:lang w:val="zh-CN"/>
        </w:rPr>
        <w:t>-2。</w:t>
      </w:r>
    </w:p>
    <w:p>
      <w:pPr>
        <w:pStyle w:val="89"/>
        <w:rPr>
          <w:sz w:val="24"/>
          <w:szCs w:val="24"/>
          <w:lang w:val="zh-CN"/>
        </w:rPr>
      </w:pPr>
      <w:r>
        <w:rPr>
          <w:sz w:val="24"/>
          <w:szCs w:val="24"/>
        </w:rPr>
        <w:t>附</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lang w:val="en-US" w:eastAsia="zh-CN"/>
        </w:rPr>
        <w:t>4</w:t>
      </w:r>
      <w:r>
        <w:rPr>
          <w:rFonts w:hint="eastAsia"/>
          <w:sz w:val="24"/>
          <w:szCs w:val="24"/>
          <w:lang w:val="zh-CN"/>
        </w:rPr>
        <w:t>-2</w:t>
      </w:r>
      <w:r>
        <w:rPr>
          <w:rFonts w:hint="eastAsia"/>
          <w:sz w:val="24"/>
          <w:szCs w:val="24"/>
        </w:rPr>
        <w:t xml:space="preserve"> 事故应急救援</w:t>
      </w:r>
      <w:r>
        <w:rPr>
          <w:rFonts w:hint="eastAsia"/>
          <w:sz w:val="24"/>
          <w:szCs w:val="24"/>
          <w:lang w:val="zh-CN"/>
        </w:rPr>
        <w:t>安全检查表</w:t>
      </w:r>
    </w:p>
    <w:tbl>
      <w:tblPr>
        <w:tblStyle w:val="36"/>
        <w:tblW w:w="48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3748"/>
        <w:gridCol w:w="2107"/>
        <w:gridCol w:w="1741"/>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399"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序号</w:t>
            </w:r>
          </w:p>
        </w:tc>
        <w:tc>
          <w:tcPr>
            <w:tcW w:w="2114"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  查  内  容</w:t>
            </w:r>
          </w:p>
        </w:tc>
        <w:tc>
          <w:tcPr>
            <w:tcW w:w="1082"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依 据 标 准</w:t>
            </w:r>
          </w:p>
        </w:tc>
        <w:tc>
          <w:tcPr>
            <w:tcW w:w="994"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 查 情 况</w:t>
            </w:r>
          </w:p>
        </w:tc>
        <w:tc>
          <w:tcPr>
            <w:tcW w:w="409"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w:t>
            </w:r>
          </w:p>
        </w:tc>
        <w:tc>
          <w:tcPr>
            <w:tcW w:w="211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kern w:val="0"/>
                <w:sz w:val="21"/>
                <w:szCs w:val="21"/>
              </w:rPr>
              <w:t>生产经营单位应急预案分为综合应急预案、专项应急预案和现场处置方案。生产经营单位应根据有关法律、法规和相关标准，结合本单位组织管理体系、生产规模和可能发生的事故特点、科学合理确立本单位的应急预案体系，并注意与其他类别应急预案相衔接。</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《生产经营单位生产安全事故应急预案编制导则》（GB/T29639-2020）</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第5.1条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已按照要求编制</w:t>
            </w:r>
            <w:r>
              <w:rPr>
                <w:rFonts w:hint="eastAsia" w:ascii="宋体" w:hAnsi="宋体" w:cs="宋体"/>
                <w:sz w:val="21"/>
                <w:szCs w:val="21"/>
              </w:rPr>
              <w:t>生产安全事故</w:t>
            </w:r>
            <w:r>
              <w:rPr>
                <w:rFonts w:hint="eastAsia" w:ascii="宋体" w:hAnsi="宋体"/>
                <w:color w:val="000000" w:themeColor="text1"/>
                <w:sz w:val="21"/>
                <w:szCs w:val="21"/>
              </w:rPr>
              <w:t>应急预案并</w:t>
            </w:r>
            <w:r>
              <w:rPr>
                <w:rFonts w:hint="eastAsia" w:ascii="宋体" w:hAnsi="宋体"/>
                <w:color w:val="000000" w:themeColor="text1"/>
                <w:sz w:val="21"/>
                <w:szCs w:val="21"/>
                <w:lang w:val="en-US" w:eastAsia="zh-CN"/>
              </w:rPr>
              <w:t>到澄江市</w:t>
            </w:r>
            <w:r>
              <w:rPr>
                <w:rFonts w:hint="eastAsia" w:ascii="宋体" w:hAnsi="宋体"/>
                <w:color w:val="000000" w:themeColor="text1"/>
                <w:sz w:val="21"/>
                <w:szCs w:val="21"/>
              </w:rPr>
              <w:t>应急管理局备案，详见</w:t>
            </w:r>
            <w:r>
              <w:rPr>
                <w:rFonts w:hint="eastAsia"/>
                <w:sz w:val="21"/>
                <w:szCs w:val="21"/>
              </w:rPr>
              <w:t>企业原始资料</w:t>
            </w:r>
            <w:r>
              <w:rPr>
                <w:rFonts w:hint="eastAsia" w:ascii="宋体" w:hAnsi="宋体"/>
                <w:color w:val="000000" w:themeColor="text1"/>
                <w:sz w:val="21"/>
                <w:szCs w:val="21"/>
              </w:rPr>
              <w:t>6.10。</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2</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生产经营单位主要负责人负责组织编制和实施本单位的应急预案，并对应急预案的真实性和实用性负责；各分管负责人应当按照职责分工落实应急预案规定的职责。</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第五条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编制了应急预案并到</w:t>
            </w:r>
            <w:r>
              <w:rPr>
                <w:rFonts w:hint="eastAsia" w:ascii="宋体" w:hAnsi="宋体"/>
                <w:color w:val="000000" w:themeColor="text1"/>
                <w:sz w:val="21"/>
                <w:szCs w:val="21"/>
                <w:lang w:val="en-US" w:eastAsia="zh-CN"/>
              </w:rPr>
              <w:t>澄江市</w:t>
            </w:r>
            <w:r>
              <w:rPr>
                <w:rFonts w:hint="eastAsia" w:ascii="宋体" w:hAnsi="宋体"/>
                <w:color w:val="000000" w:themeColor="text1"/>
                <w:sz w:val="21"/>
                <w:szCs w:val="21"/>
              </w:rPr>
              <w:t>应急管理局备案，详见</w:t>
            </w:r>
            <w:r>
              <w:rPr>
                <w:rFonts w:hint="eastAsia"/>
                <w:sz w:val="21"/>
                <w:szCs w:val="21"/>
              </w:rPr>
              <w:t>企业原始资料</w:t>
            </w:r>
            <w:r>
              <w:rPr>
                <w:rFonts w:hint="eastAsia" w:ascii="宋体" w:hAnsi="宋体"/>
                <w:color w:val="000000" w:themeColor="text1"/>
                <w:sz w:val="21"/>
                <w:szCs w:val="21"/>
              </w:rPr>
              <w:t>6.10。</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3</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生产经营单位应急预案分为综合应急预案、专项应急预案和现场处置方案。</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第六条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经检查有相关内容。</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4</w:t>
            </w:r>
          </w:p>
        </w:tc>
        <w:tc>
          <w:tcPr>
            <w:tcW w:w="2114"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bCs/>
                <w:color w:val="000000" w:themeColor="text1"/>
                <w:sz w:val="21"/>
                <w:szCs w:val="21"/>
              </w:rPr>
              <w:t>编制应急预案前，编制单位应当进行事故风险辨识、评估和应急资源调查。</w:t>
            </w:r>
            <w:r>
              <w:rPr>
                <w:rFonts w:hint="eastAsia" w:ascii="宋体" w:eastAsia="宋体" w:cs="宋体"/>
                <w:color w:val="333333"/>
                <w:sz w:val="21"/>
                <w:szCs w:val="21"/>
                <w:shd w:val="clear" w:color="auto" w:fill="FFFFFF"/>
              </w:rPr>
              <w:t>事故风险辨识、评估，是指针对不同事故种类及特点，识别存在</w:t>
            </w:r>
            <w:r>
              <w:rPr>
                <w:rFonts w:hint="eastAsia" w:ascii="宋体" w:eastAsia="宋体" w:cs="宋体"/>
                <w:color w:val="auto"/>
                <w:sz w:val="21"/>
                <w:szCs w:val="21"/>
                <w:shd w:val="clear" w:color="auto" w:fill="FFFFFF"/>
              </w:rPr>
              <w:t>的</w:t>
            </w:r>
            <w:r>
              <w:fldChar w:fldCharType="begin"/>
            </w:r>
            <w:r>
              <w:instrText xml:space="preserve"> HYPERLINK "https://baike.sogou.com/lemma/ShowInnerLink.htm?lemmaId=63234684&amp;ss_c=ssc.citiao.link" \t "https://baike.sogou.com/_blank" </w:instrText>
            </w:r>
            <w:r>
              <w:fldChar w:fldCharType="separate"/>
            </w:r>
            <w:r>
              <w:rPr>
                <w:rStyle w:val="44"/>
                <w:rFonts w:hint="eastAsia" w:ascii="宋体" w:eastAsia="宋体" w:cs="宋体"/>
                <w:color w:val="auto"/>
                <w:sz w:val="21"/>
                <w:szCs w:val="21"/>
                <w:shd w:val="clear" w:color="auto" w:fill="FFFFFF"/>
              </w:rPr>
              <w:t>危险危害因素</w:t>
            </w:r>
            <w:r>
              <w:rPr>
                <w:rStyle w:val="44"/>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，分析事故可能产生的直接后果以及次生、衍生后果，评估</w:t>
            </w:r>
            <w:r>
              <w:rPr>
                <w:rFonts w:hint="eastAsia" w:ascii="宋体" w:eastAsia="宋体" w:cs="宋体"/>
                <w:color w:val="333333"/>
                <w:sz w:val="21"/>
                <w:szCs w:val="21"/>
                <w:shd w:val="clear" w:color="auto" w:fill="FFFFFF"/>
              </w:rPr>
              <w:t>各种后果的危害程度和影响范围，提出防范和控制事故风险措施的过程。</w:t>
            </w:r>
          </w:p>
          <w:p>
            <w:pPr>
              <w:pStyle w:val="32"/>
              <w:shd w:val="clear" w:color="auto" w:fill="FFFFFF"/>
              <w:spacing w:line="240" w:lineRule="auto"/>
              <w:ind w:firstLine="210" w:firstLineChars="100"/>
              <w:rPr>
                <w:rFonts w:ascii="宋体" w:eastAsia="宋体"/>
                <w:bCs/>
                <w:color w:val="000000" w:themeColor="text1"/>
                <w:sz w:val="21"/>
                <w:szCs w:val="21"/>
              </w:rPr>
            </w:pPr>
            <w:r>
              <w:rPr>
                <w:rFonts w:hint="eastAsia" w:ascii="宋体" w:eastAsia="宋体" w:cs="宋体"/>
                <w:color w:val="333333"/>
                <w:sz w:val="21"/>
                <w:szCs w:val="21"/>
                <w:shd w:val="clear" w:color="auto" w:fill="FFFFFF"/>
              </w:rPr>
              <w:t>应急资源调查，是指全面调查本地区、本单位第一时间可以调用的应急资源状况和合作区域内可以请求援助的应急资源状况，并结合事故风险辨识评估结论制定应急措施的过程。</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第十条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经检查有相关内容。</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生产经营单位应当在编制应急预案的基础上，针对工作场所、岗位的特点，编制简明、实用、有效的应急处置卡。</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应急处置卡应当规定重点岗位、人员的应急处置程序和措施，以及相关联络人员和联系方式，便于从业人员携带。</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第十九条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公司已按相关要求执行。</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6</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生产经营单位应当制定本单位的应急预案演练计划，根据本单位的事故风险特点，每年至少组织一次综合应急预案演练或者专项应急预案演练，每半年至少组织一次现场处置方案演练。</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县级以上地方人民政府负有安全生产监督管理职责的部门应当对本行政区域内前款规定的重点生产经营单位的生产安全事故应急救援预案演练进行抽查；发现演练不符合要求的，应当责令限期改正。</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第三十三条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公司已按相关要求执行。</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7</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应急预案演练结束后，应急预案演练组织单位应当对应急预案演练效果进行评估，撰写应急预案演练评估报告，分析存在的问题，并对应急预案提出修订意见。</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第三十四条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公司按相关要求执行。</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8</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第三十八条</w:t>
            </w:r>
          </w:p>
        </w:tc>
        <w:tc>
          <w:tcPr>
            <w:tcW w:w="994"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公司按相关要求执行。成立应急指挥部，有应急救援队伍。</w:t>
            </w:r>
            <w:r>
              <w:rPr>
                <w:rFonts w:hint="eastAsia" w:ascii="宋体" w:hAnsi="宋体" w:cs="宋体"/>
                <w:color w:val="000000" w:themeColor="text1"/>
                <w:sz w:val="21"/>
                <w:szCs w:val="21"/>
              </w:rPr>
              <w:t>详见</w:t>
            </w:r>
            <w:r>
              <w:rPr>
                <w:rFonts w:hint="eastAsia" w:ascii="宋体" w:hAnsi="宋体" w:cs="宋体"/>
                <w:sz w:val="21"/>
                <w:szCs w:val="21"/>
              </w:rPr>
              <w:t>企业原始资料</w:t>
            </w:r>
            <w:r>
              <w:rPr>
                <w:rFonts w:hint="eastAsia" w:ascii="宋体" w:hAnsi="宋体" w:cs="宋体"/>
                <w:sz w:val="21"/>
                <w:szCs w:val="21"/>
                <w:lang w:val="en-US" w:eastAsia="zh-CN"/>
              </w:rPr>
              <w:t>附件</w:t>
            </w:r>
            <w:r>
              <w:rPr>
                <w:rFonts w:hint="eastAsia" w:ascii="宋体" w:hAnsi="宋体" w:cs="宋体"/>
                <w:color w:val="000000" w:themeColor="text1"/>
                <w:sz w:val="21"/>
                <w:szCs w:val="21"/>
              </w:rPr>
              <w:t>6.2</w:t>
            </w:r>
            <w:r>
              <w:rPr>
                <w:rFonts w:hint="eastAsia" w:ascii="宋体" w:hAnsi="宋体" w:cs="宋体"/>
                <w:color w:val="000000" w:themeColor="text1"/>
                <w:sz w:val="21"/>
                <w:szCs w:val="21"/>
                <w:lang w:val="en-US" w:eastAsia="zh-CN"/>
              </w:rPr>
              <w:t>4</w:t>
            </w:r>
            <w:r>
              <w:rPr>
                <w:rFonts w:hint="eastAsia" w:ascii="宋体" w:hAnsi="宋体" w:cs="宋体"/>
                <w:color w:val="000000" w:themeColor="text1"/>
                <w:sz w:val="21"/>
                <w:szCs w:val="21"/>
              </w:rPr>
              <w:t>。</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9</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Arial" w:hAnsi="Arial" w:cs="Arial"/>
                <w:color w:val="000000" w:themeColor="text1"/>
                <w:sz w:val="21"/>
                <w:szCs w:val="21"/>
                <w:shd w:val="clear" w:color="auto" w:fill="FFFFFF"/>
              </w:rPr>
              <w:t>生产经营单位应当针对本单位可能发生的生产安全事故的特点和危害，进行风险辨识和评估，制定相应的生产安全事故应急救援预案，并向本单位从业人员公布。</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第五条</w:t>
            </w:r>
          </w:p>
        </w:tc>
        <w:tc>
          <w:tcPr>
            <w:tcW w:w="99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编制的应急预案有相应的内容，并向从业人员公布。</w:t>
            </w:r>
          </w:p>
        </w:tc>
        <w:tc>
          <w:tcPr>
            <w:tcW w:w="409" w:type="pct"/>
            <w:vAlign w:val="center"/>
          </w:tcPr>
          <w:p>
            <w:pPr>
              <w:spacing w:line="240" w:lineRule="auto"/>
              <w:ind w:firstLine="0" w:firstLineChars="0"/>
              <w:jc w:val="center"/>
              <w:rPr>
                <w:rFonts w:ascii="宋体" w:hAnsi="宋体"/>
                <w:bCs/>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10</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ascii="Arial" w:hAnsi="Arial" w:cs="Arial"/>
                <w:color w:val="000000" w:themeColor="text1"/>
                <w:sz w:val="21"/>
                <w:szCs w:val="21"/>
                <w:shd w:val="clear" w:color="auto" w:fill="FFFFFF"/>
              </w:rPr>
              <w:t>生产经营单位应当对从业人员进行应急教育和培训，保证从业人员具备必要的应急知识，掌握风险防范技能和事故应急措施。</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第十五条</w:t>
            </w:r>
          </w:p>
        </w:tc>
        <w:tc>
          <w:tcPr>
            <w:tcW w:w="99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对从业人员进行教育和培训。</w:t>
            </w:r>
          </w:p>
        </w:tc>
        <w:tc>
          <w:tcPr>
            <w:tcW w:w="409" w:type="pct"/>
            <w:vAlign w:val="center"/>
          </w:tcPr>
          <w:p>
            <w:pPr>
              <w:spacing w:line="240" w:lineRule="auto"/>
              <w:ind w:firstLine="0" w:firstLineChars="0"/>
              <w:jc w:val="center"/>
              <w:rPr>
                <w:rFonts w:ascii="宋体" w:hAnsi="宋体"/>
                <w:bCs/>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11</w:t>
            </w:r>
          </w:p>
        </w:tc>
        <w:tc>
          <w:tcPr>
            <w:tcW w:w="211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cs="宋体"/>
                <w:color w:val="000000" w:themeColor="text1"/>
                <w:kern w:val="0"/>
                <w:sz w:val="21"/>
                <w:szCs w:val="21"/>
              </w:rPr>
              <w:t>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tc>
        <w:tc>
          <w:tcPr>
            <w:tcW w:w="1082"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第十三条</w:t>
            </w:r>
          </w:p>
        </w:tc>
        <w:tc>
          <w:tcPr>
            <w:tcW w:w="994"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应急物资及装备定期维护。</w:t>
            </w:r>
          </w:p>
        </w:tc>
        <w:tc>
          <w:tcPr>
            <w:tcW w:w="409"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bCs/>
                <w:color w:val="000000" w:themeColor="text1"/>
                <w:sz w:val="21"/>
                <w:szCs w:val="21"/>
              </w:rPr>
              <w:t>符合要求</w:t>
            </w:r>
          </w:p>
        </w:tc>
      </w:tr>
    </w:tbl>
    <w:p>
      <w:pPr>
        <w:topLinePunct/>
        <w:ind w:firstLine="560"/>
        <w:rPr>
          <w:color w:val="000000" w:themeColor="text1"/>
        </w:rPr>
      </w:pPr>
    </w:p>
    <w:p>
      <w:pPr>
        <w:topLinePunct/>
        <w:ind w:firstLine="560"/>
        <w:rPr>
          <w:rFonts w:ascii="宋体" w:hAnsi="宋体"/>
          <w:color w:val="000000" w:themeColor="text1"/>
        </w:rPr>
      </w:pPr>
      <w:r>
        <w:rPr>
          <w:rFonts w:hint="eastAsia"/>
          <w:color w:val="000000" w:themeColor="text1"/>
        </w:rPr>
        <w:t>由上述安全检查表的检查结果可知：氟化分公司应急救援符合</w:t>
      </w:r>
      <w:r>
        <w:rPr>
          <w:rFonts w:hint="eastAsia" w:ascii="宋体" w:hAnsi="宋体"/>
          <w:color w:val="000000" w:themeColor="text1"/>
          <w:kern w:val="0"/>
          <w:szCs w:val="28"/>
          <w:lang w:val="zh-CN"/>
        </w:rPr>
        <w:t>《生产安全事故应急条例》（</w:t>
      </w:r>
      <w:r>
        <w:rPr>
          <w:color w:val="000000" w:themeColor="text1"/>
          <w:szCs w:val="28"/>
        </w:rPr>
        <w:t>中华人民共和国国务院第708号令</w:t>
      </w:r>
      <w:r>
        <w:rPr>
          <w:rFonts w:hint="eastAsia" w:ascii="宋体" w:hAnsi="宋体"/>
          <w:color w:val="000000" w:themeColor="text1"/>
          <w:kern w:val="0"/>
          <w:szCs w:val="28"/>
          <w:lang w:val="zh-CN"/>
        </w:rPr>
        <w:t>）、《生产安全事故应急预案管理办法》（2019年7月11日应急管理部令第2号令修订）、《生产经营单位生产安全事故应急预案编制导则》（GB/T29639-20</w:t>
      </w:r>
      <w:r>
        <w:rPr>
          <w:rFonts w:hint="eastAsia" w:ascii="宋体" w:hAnsi="宋体"/>
          <w:color w:val="000000" w:themeColor="text1"/>
          <w:kern w:val="0"/>
          <w:szCs w:val="28"/>
        </w:rPr>
        <w:t>20</w:t>
      </w:r>
      <w:r>
        <w:rPr>
          <w:rFonts w:hint="eastAsia" w:ascii="宋体" w:hAnsi="宋体"/>
          <w:color w:val="000000" w:themeColor="text1"/>
          <w:kern w:val="0"/>
          <w:szCs w:val="28"/>
          <w:lang w:val="zh-CN"/>
        </w:rPr>
        <w:t>）等有关要求</w:t>
      </w:r>
      <w:r>
        <w:rPr>
          <w:rFonts w:hint="eastAsia" w:ascii="宋体" w:hAnsi="宋体"/>
          <w:color w:val="000000" w:themeColor="text1"/>
          <w:kern w:val="0"/>
          <w:szCs w:val="28"/>
        </w:rPr>
        <w:t>的规定。</w:t>
      </w:r>
    </w:p>
    <w:p>
      <w:pPr>
        <w:pStyle w:val="5"/>
        <w:keepNext w:val="0"/>
        <w:keepLines w:val="0"/>
        <w:ind w:firstLine="562"/>
      </w:pPr>
      <w:bookmarkStart w:id="2871" w:name="_Toc12581"/>
      <w:bookmarkStart w:id="2872" w:name="_Toc10236"/>
      <w:bookmarkStart w:id="2873" w:name="_Toc341"/>
      <w:bookmarkStart w:id="2874" w:name="_Toc21714"/>
      <w:bookmarkStart w:id="2875" w:name="_Toc25472"/>
      <w:bookmarkStart w:id="2876" w:name="_Toc27340"/>
      <w:bookmarkStart w:id="2877" w:name="_Toc31424"/>
      <w:bookmarkStart w:id="2878" w:name="_Toc7693"/>
      <w:bookmarkStart w:id="2879" w:name="_Toc3422"/>
      <w:bookmarkStart w:id="2880" w:name="_Toc1168"/>
      <w:bookmarkStart w:id="2881" w:name="_Toc12039"/>
      <w:bookmarkStart w:id="2882" w:name="_Toc32495"/>
      <w:bookmarkStart w:id="2883" w:name="_Toc19450"/>
      <w:bookmarkStart w:id="2884" w:name="_Toc128056545"/>
      <w:r>
        <w:rPr>
          <w:rFonts w:hint="eastAsia"/>
        </w:rPr>
        <w:t>4.</w:t>
      </w:r>
      <w:r>
        <w:rPr>
          <w:rFonts w:hint="eastAsia"/>
          <w:lang w:val="en-US" w:eastAsia="zh-CN"/>
        </w:rPr>
        <w:t>4</w:t>
      </w:r>
      <w:r>
        <w:rPr>
          <w:rFonts w:hint="eastAsia"/>
        </w:rPr>
        <w:t>.3 单元小结</w:t>
      </w:r>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p>
    <w:p>
      <w:pPr>
        <w:ind w:firstLine="560"/>
        <w:rPr>
          <w:rFonts w:ascii="宋体" w:hAnsi="宋体"/>
          <w:color w:val="000000" w:themeColor="text1"/>
          <w:szCs w:val="28"/>
        </w:rPr>
      </w:pPr>
      <w:r>
        <w:rPr>
          <w:rFonts w:hint="eastAsia" w:ascii="宋体" w:hAnsi="宋体"/>
          <w:color w:val="000000" w:themeColor="text1"/>
          <w:szCs w:val="28"/>
        </w:rPr>
        <w:t>根据上表知，该公司主要负责人及专职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安全管理制度、安全操作规程，编制了安全生产事故应急预案并到应急管局备案；</w:t>
      </w:r>
      <w:r>
        <w:rPr>
          <w:rFonts w:hint="eastAsia" w:ascii="宋体" w:hAnsi="宋体"/>
          <w:color w:val="000000" w:themeColor="text1"/>
          <w:szCs w:val="28"/>
        </w:rPr>
        <w:t>配备了相应急器材及设施，并定期组织演练。</w:t>
      </w:r>
    </w:p>
    <w:p>
      <w:pPr>
        <w:pStyle w:val="4"/>
        <w:ind w:firstLine="562"/>
        <w:rPr>
          <w:color w:val="000000" w:themeColor="text1"/>
        </w:rPr>
      </w:pPr>
      <w:bookmarkStart w:id="2885" w:name="_Toc9507"/>
      <w:bookmarkStart w:id="2886" w:name="_Toc669"/>
      <w:bookmarkStart w:id="2887" w:name="_Toc28455"/>
      <w:bookmarkStart w:id="2888" w:name="_Toc19237"/>
      <w:bookmarkStart w:id="2889" w:name="_Toc128056534"/>
      <w:bookmarkStart w:id="2890" w:name="_Toc8573"/>
      <w:bookmarkStart w:id="2891" w:name="_Toc15989"/>
      <w:bookmarkStart w:id="2892" w:name="_Toc4365"/>
      <w:bookmarkStart w:id="2893" w:name="_Toc17316"/>
      <w:bookmarkStart w:id="2894" w:name="_Toc9676"/>
      <w:bookmarkStart w:id="2895" w:name="_Toc32078"/>
      <w:bookmarkStart w:id="2896" w:name="_Toc7865"/>
      <w:bookmarkStart w:id="2897" w:name="_Toc8653"/>
      <w:bookmarkStart w:id="2898" w:name="_Toc27697"/>
      <w:bookmarkStart w:id="2899" w:name="_Toc6594"/>
      <w:bookmarkStart w:id="2900" w:name="_Toc5585"/>
      <w:bookmarkStart w:id="2901" w:name="_Toc9681"/>
      <w:bookmarkStart w:id="2902" w:name="_Toc8367"/>
      <w:bookmarkStart w:id="2903" w:name="_Toc1374"/>
      <w:bookmarkStart w:id="2904" w:name="_Toc20394"/>
      <w:bookmarkStart w:id="2905" w:name="_Toc15743"/>
      <w:bookmarkStart w:id="2906" w:name="_Toc13264"/>
      <w:bookmarkStart w:id="2907" w:name="_Toc24190"/>
      <w:bookmarkStart w:id="2908" w:name="_Toc1557"/>
      <w:bookmarkStart w:id="2909" w:name="_Toc128056546"/>
      <w:bookmarkStart w:id="2910" w:name="_Toc62740981"/>
      <w:bookmarkStart w:id="2911" w:name="_Toc62219381"/>
      <w:r>
        <w:rPr>
          <w:rFonts w:hint="eastAsia"/>
          <w:color w:val="000000" w:themeColor="text1"/>
        </w:rPr>
        <w:t>4.</w:t>
      </w:r>
      <w:r>
        <w:rPr>
          <w:rFonts w:hint="eastAsia"/>
          <w:color w:val="000000" w:themeColor="text1"/>
          <w:lang w:val="en-US" w:eastAsia="zh-CN"/>
        </w:rPr>
        <w:t>5</w:t>
      </w:r>
      <w:r>
        <w:rPr>
          <w:rFonts w:hint="eastAsia"/>
          <w:color w:val="000000" w:themeColor="text1"/>
        </w:rPr>
        <w:t xml:space="preserve"> 重大安全隐患判定符合性分析</w:t>
      </w:r>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bookmarkEnd w:id="2906"/>
      <w:bookmarkEnd w:id="2907"/>
      <w:bookmarkEnd w:id="2908"/>
    </w:p>
    <w:p>
      <w:pPr>
        <w:pStyle w:val="14"/>
        <w:widowControl w:val="0"/>
        <w:topLinePunct/>
        <w:ind w:left="0" w:leftChars="0" w:firstLine="560"/>
        <w:rPr>
          <w:rFonts w:ascii="宋体" w:hAnsi="宋体"/>
          <w:color w:val="000000" w:themeColor="text1"/>
          <w:kern w:val="2"/>
          <w:sz w:val="28"/>
          <w:szCs w:val="28"/>
        </w:rPr>
      </w:pPr>
      <w:r>
        <w:rPr>
          <w:rFonts w:hint="eastAsia" w:ascii="宋体" w:hAnsi="宋体"/>
          <w:color w:val="000000" w:themeColor="text1"/>
          <w:kern w:val="2"/>
          <w:sz w:val="28"/>
          <w:szCs w:val="28"/>
        </w:rPr>
        <w:t>本节根据《国家安全监管总局关于印发&lt;化工和危险化学品生产经营单位重大生产安全事故隐患判定标准（试行）&gt;的通知》（安监总管三[2017]121号）有关内容，对</w:t>
      </w:r>
      <w:r>
        <w:rPr>
          <w:rFonts w:hint="eastAsia" w:ascii="宋体" w:hAnsi="宋体"/>
          <w:color w:val="000000" w:themeColor="text1"/>
          <w:kern w:val="2"/>
          <w:sz w:val="28"/>
          <w:szCs w:val="28"/>
          <w:lang w:eastAsia="zh-CN"/>
        </w:rPr>
        <w:t>昆明合起工贸有限公司澄江氟化分公司</w:t>
      </w:r>
      <w:r>
        <w:rPr>
          <w:rFonts w:hint="eastAsia" w:ascii="宋体" w:hAnsi="宋体"/>
          <w:color w:val="000000" w:themeColor="text1"/>
          <w:kern w:val="2"/>
          <w:sz w:val="28"/>
          <w:szCs w:val="28"/>
        </w:rPr>
        <w:t>进行重大安全隐患判定：</w:t>
      </w:r>
    </w:p>
    <w:p>
      <w:pPr>
        <w:pStyle w:val="89"/>
        <w:rPr>
          <w:sz w:val="24"/>
          <w:szCs w:val="24"/>
          <w:lang w:val="zh-CN"/>
        </w:rPr>
      </w:pPr>
      <w:r>
        <w:rPr>
          <w:rFonts w:hint="eastAsia"/>
          <w:sz w:val="24"/>
          <w:szCs w:val="24"/>
        </w:rPr>
        <w:t>附</w:t>
      </w:r>
      <w:r>
        <w:rPr>
          <w:rFonts w:hint="eastAsia"/>
          <w:sz w:val="24"/>
          <w:szCs w:val="24"/>
          <w:lang w:val="zh-CN"/>
        </w:rPr>
        <w:t>表</w:t>
      </w:r>
      <w:r>
        <w:rPr>
          <w:rFonts w:hint="eastAsia"/>
          <w:sz w:val="24"/>
          <w:szCs w:val="24"/>
        </w:rPr>
        <w:t>4.</w:t>
      </w:r>
      <w:r>
        <w:rPr>
          <w:rFonts w:hint="eastAsia"/>
          <w:sz w:val="24"/>
          <w:szCs w:val="24"/>
          <w:lang w:val="en-US" w:eastAsia="zh-CN"/>
        </w:rPr>
        <w:t>5</w:t>
      </w:r>
      <w:r>
        <w:rPr>
          <w:rFonts w:hint="eastAsia"/>
          <w:sz w:val="24"/>
          <w:szCs w:val="24"/>
        </w:rPr>
        <w:t xml:space="preserve">-1 </w:t>
      </w:r>
      <w:r>
        <w:rPr>
          <w:rFonts w:hint="eastAsia"/>
          <w:sz w:val="24"/>
          <w:szCs w:val="24"/>
          <w:lang w:val="zh-CN"/>
        </w:rPr>
        <w:t>重大生产安全事故隐患判定表</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4158"/>
        <w:gridCol w:w="1367"/>
        <w:gridCol w:w="2359"/>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81"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序号</w:t>
            </w:r>
          </w:p>
        </w:tc>
        <w:tc>
          <w:tcPr>
            <w:tcW w:w="4158"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  查  内  容</w:t>
            </w:r>
          </w:p>
        </w:tc>
        <w:tc>
          <w:tcPr>
            <w:tcW w:w="1367"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依 据 标 准</w:t>
            </w:r>
          </w:p>
        </w:tc>
        <w:tc>
          <w:tcPr>
            <w:tcW w:w="2359"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 查 情 况</w:t>
            </w:r>
          </w:p>
        </w:tc>
        <w:tc>
          <w:tcPr>
            <w:tcW w:w="707"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危险化学品生产、经营单位主要负责人和安全生产管理人员未依法经考核合格。</w:t>
            </w:r>
          </w:p>
        </w:tc>
        <w:tc>
          <w:tcPr>
            <w:tcW w:w="1367" w:type="dxa"/>
            <w:vMerge w:val="restart"/>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《国家安全监管总局关于印发&lt;化工和危险化学品生产经营单位重大生产安全事故隐患判定标准（试行）的通知》（安监总管三[2017]121号）</w:t>
            </w: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主要负责人</w:t>
            </w:r>
            <w:r>
              <w:rPr>
                <w:rFonts w:hint="eastAsia" w:ascii="宋体" w:hAnsi="宋体" w:cs="宋体"/>
                <w:color w:val="000000" w:themeColor="text1"/>
                <w:sz w:val="21"/>
                <w:szCs w:val="21"/>
                <w:lang w:eastAsia="zh-CN"/>
              </w:rPr>
              <w:t>、</w:t>
            </w:r>
            <w:r>
              <w:rPr>
                <w:rFonts w:hint="eastAsia" w:ascii="宋体" w:hAnsi="宋体" w:cs="宋体"/>
                <w:color w:val="000000" w:themeColor="text1"/>
                <w:sz w:val="21"/>
                <w:szCs w:val="21"/>
              </w:rPr>
              <w:t>安全生产管理人员经考核合格，持证上岗，详见</w:t>
            </w:r>
            <w:r>
              <w:rPr>
                <w:rFonts w:hint="eastAsia" w:ascii="宋体" w:hAnsi="宋体" w:cs="宋体"/>
                <w:sz w:val="21"/>
                <w:szCs w:val="21"/>
              </w:rPr>
              <w:t>企业原始资料</w:t>
            </w:r>
            <w:r>
              <w:rPr>
                <w:rFonts w:hint="eastAsia" w:ascii="宋体" w:hAnsi="宋体" w:cs="宋体"/>
                <w:color w:val="000000" w:themeColor="text1"/>
                <w:sz w:val="21"/>
                <w:szCs w:val="21"/>
              </w:rPr>
              <w:t>6.8。</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特种作业人员未持证上岗。</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特种作业人员持证上岗，详见</w:t>
            </w:r>
            <w:r>
              <w:rPr>
                <w:rFonts w:hint="eastAsia" w:ascii="宋体" w:hAnsi="宋体" w:cs="宋体"/>
                <w:sz w:val="21"/>
                <w:szCs w:val="21"/>
              </w:rPr>
              <w:t>企业原始资料</w:t>
            </w:r>
            <w:r>
              <w:rPr>
                <w:rFonts w:hint="eastAsia" w:ascii="宋体" w:hAnsi="宋体" w:cs="宋体"/>
                <w:color w:val="000000" w:themeColor="text1"/>
                <w:sz w:val="21"/>
                <w:szCs w:val="21"/>
              </w:rPr>
              <w:t>6.9。</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涉及“两重点一重大”的生产装置、储存设施外部安全防护距离不符合国家标准要求。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auto"/>
                <w:sz w:val="21"/>
                <w:szCs w:val="21"/>
              </w:rPr>
              <w:t>根据《危险化学品生产装置和储存设施外部安全防护距离确定方法》（GB/T37243-2019）检查</w:t>
            </w:r>
            <w:r>
              <w:rPr>
                <w:rFonts w:hint="eastAsia" w:ascii="宋体" w:hAnsi="宋体" w:cs="宋体"/>
                <w:color w:val="000000" w:themeColor="text1"/>
                <w:sz w:val="21"/>
                <w:szCs w:val="21"/>
              </w:rPr>
              <w:t>防护距离符合国家标准要求。</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涉及重点监管危险化工工艺的装置未实现自动化控制，系统未实现紧急停车功能，装备的自动化控制系统、紧急停车系统未投入使用。</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根据报告附件2.10辩识氟化分公司不涉及重点监管危险化工工艺</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构成一级、二级重大危险源的危险化学品罐区未实现紧急切断功能；涉及毒性气体、液化气体、剧毒液体的一级、二级重大危险源的危险化学品罐区未配备独立的安全仪表系统。</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根据报告附件2.7辩识氟化分公司不构成重大危险源</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kern w:val="0"/>
                <w:sz w:val="21"/>
                <w:szCs w:val="21"/>
              </w:rPr>
              <w:t>全压力式液化烃储罐未按国家标准设置注水措施。 </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全压力式液化烃储罐未按国家标准设置注水措施。 </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光气、氯气等剧毒气体及硫化氢气体管道穿越除厂区(包括化工园区、工业园区）外的公共区域。</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地区架空电力线路穿越生产区且不符合国家标准要求。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氟化分公司生产区无架空电力线路跨越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在役化工装置未经正规设计且未进行安全设计诊断。</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使用淘汰落后安全技术工艺、设备目录列出的工艺、设备。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kern w:val="0"/>
                <w:sz w:val="21"/>
                <w:szCs w:val="21"/>
              </w:rPr>
              <w:t>氟化分公司所使用的工艺、设备为国内常规的成熟工艺及设备，不属于淘汰落后的工艺、设备。</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涉及可燃和有毒有害气体泄漏的场所未按国家标准设置检测报警装置，爆炸危险场所未按国家标准安装使用防爆电气设备。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控制室或机柜间面向具有火灾、爆炸危险性装置一侧不满足国家标准关于防火防爆的要求。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氟化分公司未设置控制室</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化工生产装置未按国家标准要求设置双重电源供电，自动化控制系统未设置不间断电源。</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安全阀、爆破片等安全附件未正常投用。</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安全阀正常使用，并定期检验</w:t>
            </w:r>
            <w:r>
              <w:rPr>
                <w:rFonts w:hint="eastAsia" w:ascii="宋体" w:hAnsi="宋体" w:cs="宋体"/>
                <w:color w:val="000000" w:themeColor="text1"/>
                <w:sz w:val="21"/>
                <w:szCs w:val="21"/>
                <w:lang w:eastAsia="zh-CN"/>
              </w:rPr>
              <w:t>，</w:t>
            </w:r>
            <w:r>
              <w:rPr>
                <w:rFonts w:hint="eastAsia" w:ascii="宋体" w:hAnsi="宋体" w:cs="宋体"/>
                <w:color w:val="000000" w:themeColor="text1"/>
                <w:sz w:val="21"/>
                <w:szCs w:val="21"/>
              </w:rPr>
              <w:t>详见</w:t>
            </w:r>
            <w:r>
              <w:rPr>
                <w:rFonts w:hint="eastAsia" w:ascii="宋体" w:hAnsi="宋体" w:cs="宋体"/>
                <w:sz w:val="21"/>
                <w:szCs w:val="21"/>
              </w:rPr>
              <w:t>企业原始资料</w:t>
            </w:r>
            <w:r>
              <w:rPr>
                <w:rFonts w:hint="eastAsia" w:ascii="宋体" w:hAnsi="宋体" w:cs="宋体"/>
                <w:sz w:val="21"/>
                <w:szCs w:val="21"/>
                <w:lang w:val="en-US" w:eastAsia="zh-CN"/>
              </w:rPr>
              <w:t>附件</w:t>
            </w:r>
            <w:r>
              <w:rPr>
                <w:rFonts w:hint="eastAsia" w:ascii="宋体" w:hAnsi="宋体" w:cs="宋体"/>
                <w:color w:val="000000" w:themeColor="text1"/>
                <w:sz w:val="21"/>
                <w:szCs w:val="21"/>
              </w:rPr>
              <w:t>6.20。</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未建立与岗位相匹配的全员安全生产责任制或者未制定实施生产安全事故隐患排查治理制度。</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制定有较为完善的安全生产责任制见</w:t>
            </w:r>
            <w:r>
              <w:rPr>
                <w:rFonts w:hint="eastAsia" w:ascii="宋体" w:hAnsi="宋体" w:cs="宋体"/>
                <w:sz w:val="21"/>
                <w:szCs w:val="21"/>
              </w:rPr>
              <w:t>企业原始资料</w:t>
            </w:r>
            <w:r>
              <w:rPr>
                <w:rFonts w:hint="eastAsia" w:ascii="宋体" w:hAnsi="宋体" w:cs="宋体"/>
                <w:color w:val="000000" w:themeColor="text1"/>
                <w:sz w:val="21"/>
                <w:szCs w:val="21"/>
              </w:rPr>
              <w:t>6.19。</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未制定操作规程和工艺控制指标。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制定有相应操作规程和工艺控制指标见</w:t>
            </w:r>
            <w:r>
              <w:rPr>
                <w:rFonts w:hint="eastAsia" w:ascii="宋体" w:hAnsi="宋体" w:cs="宋体"/>
                <w:sz w:val="21"/>
                <w:szCs w:val="21"/>
              </w:rPr>
              <w:t>企业原始资料</w:t>
            </w:r>
            <w:r>
              <w:rPr>
                <w:rFonts w:hint="eastAsia" w:ascii="宋体" w:hAnsi="宋体" w:cs="宋体"/>
                <w:color w:val="000000" w:themeColor="text1"/>
                <w:sz w:val="21"/>
                <w:szCs w:val="21"/>
              </w:rPr>
              <w:t>6.19。</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未按照国家标准制定动火、进入受限空间等特殊作业管理制度，或者制度未有效执行。</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制定有《安全作业管理制度》。</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项目生产工艺为国内外常规的成熟工艺，不是国内首次使用的工艺。</w:t>
            </w:r>
          </w:p>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kern w:val="0"/>
                <w:sz w:val="21"/>
                <w:szCs w:val="21"/>
              </w:rPr>
              <w:t>项目新建装置已制定试生产方案投料开车。</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66"/>
              <w:numPr>
                <w:ilvl w:val="0"/>
                <w:numId w:val="3"/>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未按国家标准分区分类储存危险化学品，超量、超品种储存危险化学品，相互禁配物质混放混存。</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氟化分公司设置</w:t>
            </w:r>
            <w:r>
              <w:rPr>
                <w:rFonts w:hint="eastAsia" w:ascii="宋体" w:hAnsi="宋体" w:cs="宋体"/>
                <w:color w:val="000000" w:themeColor="text1"/>
                <w:sz w:val="21"/>
                <w:szCs w:val="21"/>
                <w:lang w:val="en-US" w:eastAsia="zh-CN"/>
              </w:rPr>
              <w:t>储存</w:t>
            </w:r>
            <w:r>
              <w:rPr>
                <w:rFonts w:hint="eastAsia" w:ascii="宋体" w:hAnsi="宋体" w:cs="宋体"/>
                <w:color w:val="000000" w:themeColor="text1"/>
                <w:sz w:val="21"/>
                <w:szCs w:val="21"/>
              </w:rPr>
              <w:t>库。各库未超量、超品种储存</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bl>
    <w:p>
      <w:pPr>
        <w:ind w:firstLine="560"/>
        <w:rPr>
          <w:color w:val="000000" w:themeColor="text1"/>
        </w:rPr>
      </w:pPr>
    </w:p>
    <w:p>
      <w:pPr>
        <w:ind w:firstLine="560"/>
        <w:rPr>
          <w:color w:val="000000" w:themeColor="text1"/>
        </w:rPr>
      </w:pPr>
      <w:r>
        <w:rPr>
          <w:rFonts w:hint="eastAsia"/>
          <w:color w:val="000000" w:themeColor="text1"/>
        </w:rPr>
        <w:t>通过检查表评价可知：</w:t>
      </w:r>
      <w:r>
        <w:rPr>
          <w:rFonts w:hint="eastAsia"/>
          <w:color w:val="000000" w:themeColor="text1"/>
          <w:lang w:eastAsia="zh-CN"/>
        </w:rPr>
        <w:t>昆明合起工贸有限公司澄江氟化分公司</w:t>
      </w:r>
      <w:r>
        <w:rPr>
          <w:rFonts w:hint="eastAsia"/>
          <w:color w:val="000000" w:themeColor="text1"/>
        </w:rPr>
        <w:t>不存在《国家安全监管总局关于印发&lt;化工和危险化学品生产经营单位重大生产安全事故隐患判定标准（试行）&gt;的通知》（安监总管三[2017]121号）规定的重大事故隐患。</w:t>
      </w:r>
    </w:p>
    <w:p>
      <w:pPr>
        <w:pStyle w:val="4"/>
        <w:keepNext w:val="0"/>
        <w:keepLines w:val="0"/>
        <w:ind w:firstLine="562"/>
        <w:rPr>
          <w:bCs w:val="0"/>
          <w:color w:val="000000" w:themeColor="text1"/>
        </w:rPr>
      </w:pPr>
      <w:bookmarkStart w:id="2912" w:name="_Toc17050"/>
      <w:bookmarkStart w:id="2913" w:name="_Toc3165"/>
      <w:bookmarkStart w:id="2914" w:name="_Toc10495"/>
      <w:bookmarkStart w:id="2915" w:name="_Toc7112"/>
      <w:bookmarkStart w:id="2916" w:name="_Toc24016"/>
      <w:bookmarkStart w:id="2917" w:name="_Toc31032"/>
      <w:bookmarkStart w:id="2918" w:name="_Toc18728"/>
      <w:bookmarkStart w:id="2919" w:name="_Toc6849"/>
      <w:bookmarkStart w:id="2920" w:name="_Toc27752"/>
      <w:bookmarkStart w:id="2921" w:name="_Toc10853"/>
      <w:bookmarkStart w:id="2922" w:name="_Toc9464"/>
      <w:bookmarkStart w:id="2923" w:name="_Toc10020"/>
      <w:bookmarkStart w:id="2924" w:name="_Toc24161"/>
      <w:bookmarkStart w:id="2925" w:name="_Toc19064"/>
      <w:bookmarkStart w:id="2926" w:name="_Toc5392"/>
      <w:bookmarkStart w:id="2927" w:name="_Toc10610"/>
      <w:bookmarkStart w:id="2928" w:name="_Toc17733"/>
      <w:bookmarkStart w:id="2929" w:name="_Toc2205"/>
      <w:bookmarkStart w:id="2930" w:name="_Toc18253"/>
      <w:bookmarkStart w:id="2931" w:name="_Toc30678"/>
      <w:bookmarkStart w:id="2932" w:name="_Toc10202"/>
      <w:bookmarkStart w:id="2933" w:name="_Toc30527"/>
      <w:bookmarkStart w:id="2934" w:name="_Toc16611"/>
      <w:r>
        <w:rPr>
          <w:rFonts w:hint="eastAsia"/>
          <w:bCs w:val="0"/>
          <w:color w:val="000000" w:themeColor="text1"/>
        </w:rPr>
        <w:t>4.</w:t>
      </w:r>
      <w:r>
        <w:rPr>
          <w:rFonts w:hint="eastAsia"/>
          <w:bCs w:val="0"/>
          <w:color w:val="000000" w:themeColor="text1"/>
          <w:lang w:val="en-US" w:eastAsia="zh-CN"/>
        </w:rPr>
        <w:t>6</w:t>
      </w:r>
      <w:r>
        <w:rPr>
          <w:rFonts w:hint="eastAsia"/>
          <w:bCs w:val="0"/>
          <w:color w:val="000000" w:themeColor="text1"/>
        </w:rPr>
        <w:t xml:space="preserve"> 危险化学品生产单位申请换证条件单元评价</w:t>
      </w:r>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p>
    <w:p>
      <w:pPr>
        <w:pStyle w:val="5"/>
        <w:keepNext w:val="0"/>
        <w:keepLines w:val="0"/>
        <w:ind w:firstLine="562"/>
      </w:pPr>
      <w:bookmarkStart w:id="2935" w:name="_Toc9558"/>
      <w:bookmarkStart w:id="2936" w:name="_Toc8650"/>
      <w:bookmarkStart w:id="2937" w:name="_Toc17210"/>
      <w:bookmarkStart w:id="2938" w:name="_Toc23958"/>
      <w:bookmarkStart w:id="2939" w:name="_Toc2255"/>
      <w:bookmarkStart w:id="2940" w:name="_Toc15520"/>
      <w:bookmarkStart w:id="2941" w:name="_Toc30718"/>
      <w:bookmarkStart w:id="2942" w:name="_Toc14639"/>
      <w:bookmarkStart w:id="2943" w:name="_Toc19367"/>
      <w:bookmarkStart w:id="2944" w:name="_Toc128056547"/>
      <w:bookmarkStart w:id="2945" w:name="_Toc21699"/>
      <w:bookmarkStart w:id="2946" w:name="_Toc23264"/>
      <w:bookmarkStart w:id="2947" w:name="_Toc6041"/>
      <w:bookmarkStart w:id="2948" w:name="_Toc5315"/>
      <w:r>
        <w:rPr>
          <w:rFonts w:hint="eastAsia"/>
        </w:rPr>
        <w:t>4.</w:t>
      </w:r>
      <w:r>
        <w:rPr>
          <w:rFonts w:hint="eastAsia"/>
          <w:lang w:val="en-US" w:eastAsia="zh-CN"/>
        </w:rPr>
        <w:t>6</w:t>
      </w:r>
      <w:r>
        <w:rPr>
          <w:rFonts w:hint="eastAsia"/>
        </w:rPr>
        <w:t>.1 危险化学品生产单位申请换证条件安全评价</w:t>
      </w:r>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p>
    <w:p>
      <w:pPr>
        <w:topLinePunct/>
        <w:ind w:firstLine="560"/>
        <w:rPr>
          <w:rFonts w:ascii="宋体" w:hAnsi="宋体"/>
          <w:color w:val="000000" w:themeColor="text1"/>
        </w:rPr>
      </w:pPr>
      <w:r>
        <w:rPr>
          <w:rFonts w:hint="eastAsia" w:ascii="宋体" w:hAnsi="宋体"/>
          <w:color w:val="000000" w:themeColor="text1"/>
        </w:rPr>
        <w:t>根据《危险化学品生产企业安全生产许可证实施办法》（</w:t>
      </w:r>
      <w:r>
        <w:rPr>
          <w:color w:val="000000" w:themeColor="text1"/>
        </w:rPr>
        <w:t>国家安全生产监督管理总局令第41号，第79号第一次修正，第89号第二次修正</w:t>
      </w:r>
      <w:r>
        <w:rPr>
          <w:rFonts w:hint="eastAsia" w:ascii="宋体" w:hAnsi="宋体"/>
          <w:color w:val="000000" w:themeColor="text1"/>
        </w:rPr>
        <w:t>）、《安全生产许可证条例》（国务院397号令发布，国务院令第653号修正）进行检查，检查过程见附表4.</w:t>
      </w:r>
      <w:r>
        <w:rPr>
          <w:rFonts w:hint="eastAsia" w:ascii="宋体" w:hAnsi="宋体"/>
          <w:color w:val="000000" w:themeColor="text1"/>
          <w:lang w:val="en-US" w:eastAsia="zh-CN"/>
        </w:rPr>
        <w:t>6</w:t>
      </w:r>
      <w:r>
        <w:rPr>
          <w:rFonts w:hint="eastAsia" w:ascii="宋体" w:hAnsi="宋体"/>
          <w:color w:val="000000" w:themeColor="text1"/>
        </w:rPr>
        <w:t>-1：</w:t>
      </w:r>
    </w:p>
    <w:p>
      <w:pPr>
        <w:pStyle w:val="89"/>
      </w:pPr>
      <w:r>
        <w:rPr>
          <w:rFonts w:hint="eastAsia"/>
          <w:sz w:val="24"/>
          <w:szCs w:val="24"/>
        </w:rPr>
        <w:t>附</w:t>
      </w:r>
      <w:r>
        <w:rPr>
          <w:rFonts w:hint="eastAsia"/>
          <w:sz w:val="24"/>
          <w:szCs w:val="24"/>
          <w:lang w:val="zh-CN"/>
        </w:rPr>
        <w:t>表</w:t>
      </w:r>
      <w:r>
        <w:rPr>
          <w:rFonts w:hint="eastAsia"/>
          <w:sz w:val="24"/>
          <w:szCs w:val="24"/>
        </w:rPr>
        <w:t>4.</w:t>
      </w:r>
      <w:r>
        <w:rPr>
          <w:rFonts w:hint="eastAsia"/>
          <w:sz w:val="24"/>
          <w:szCs w:val="24"/>
          <w:lang w:val="en-US" w:eastAsia="zh-CN"/>
        </w:rPr>
        <w:t>6</w:t>
      </w:r>
      <w:r>
        <w:rPr>
          <w:rFonts w:hint="eastAsia"/>
          <w:sz w:val="24"/>
          <w:szCs w:val="24"/>
        </w:rPr>
        <w:t>-1 危险化学品生产单位申请换证条件检查</w:t>
      </w:r>
      <w:r>
        <w:rPr>
          <w:rFonts w:hint="eastAsia"/>
          <w:sz w:val="24"/>
          <w:szCs w:val="24"/>
          <w:lang w:val="zh-CN"/>
        </w:rPr>
        <w:t>表</w:t>
      </w:r>
    </w:p>
    <w:tbl>
      <w:tblPr>
        <w:tblStyle w:val="3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3815"/>
        <w:gridCol w:w="1559"/>
        <w:gridCol w:w="2410"/>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81"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序号</w:t>
            </w:r>
          </w:p>
        </w:tc>
        <w:tc>
          <w:tcPr>
            <w:tcW w:w="3815" w:type="dxa"/>
            <w:vAlign w:val="center"/>
          </w:tcPr>
          <w:p>
            <w:pPr>
              <w:topLinePunct/>
              <w:spacing w:line="240" w:lineRule="auto"/>
              <w:ind w:firstLine="0" w:firstLineChars="0"/>
              <w:jc w:val="center"/>
              <w:rPr>
                <w:rFonts w:ascii="宋体" w:hAnsi="宋体"/>
                <w:b/>
                <w:color w:val="000000" w:themeColor="text1"/>
                <w:sz w:val="21"/>
                <w:szCs w:val="21"/>
              </w:rPr>
            </w:pPr>
            <w:r>
              <w:rPr>
                <w:rFonts w:ascii="宋体" w:hAnsi="宋体"/>
                <w:b/>
                <w:color w:val="000000" w:themeColor="text1"/>
                <w:sz w:val="21"/>
                <w:szCs w:val="21"/>
              </w:rPr>
              <w:t>检</w:t>
            </w:r>
            <w:r>
              <w:rPr>
                <w:rFonts w:hint="eastAsia" w:ascii="宋体" w:hAnsi="宋体"/>
                <w:b/>
                <w:color w:val="000000" w:themeColor="text1"/>
                <w:sz w:val="21"/>
                <w:szCs w:val="21"/>
              </w:rPr>
              <w:t xml:space="preserve">  </w:t>
            </w:r>
            <w:r>
              <w:rPr>
                <w:rFonts w:ascii="宋体" w:hAnsi="宋体"/>
                <w:b/>
                <w:color w:val="000000" w:themeColor="text1"/>
                <w:sz w:val="21"/>
                <w:szCs w:val="21"/>
              </w:rPr>
              <w:t>查</w:t>
            </w:r>
            <w:r>
              <w:rPr>
                <w:rFonts w:hint="eastAsia" w:ascii="宋体" w:hAnsi="宋体"/>
                <w:b/>
                <w:color w:val="000000" w:themeColor="text1"/>
                <w:sz w:val="21"/>
                <w:szCs w:val="21"/>
              </w:rPr>
              <w:t xml:space="preserve">  </w:t>
            </w:r>
            <w:r>
              <w:rPr>
                <w:rFonts w:ascii="宋体" w:hAnsi="宋体"/>
                <w:b/>
                <w:color w:val="000000" w:themeColor="text1"/>
                <w:sz w:val="21"/>
                <w:szCs w:val="21"/>
              </w:rPr>
              <w:t>内</w:t>
            </w:r>
            <w:r>
              <w:rPr>
                <w:rFonts w:hint="eastAsia" w:ascii="宋体" w:hAnsi="宋体"/>
                <w:b/>
                <w:color w:val="000000" w:themeColor="text1"/>
                <w:sz w:val="21"/>
                <w:szCs w:val="21"/>
              </w:rPr>
              <w:t xml:space="preserve">  </w:t>
            </w:r>
            <w:r>
              <w:rPr>
                <w:rFonts w:ascii="宋体" w:hAnsi="宋体"/>
                <w:b/>
                <w:color w:val="000000" w:themeColor="text1"/>
                <w:sz w:val="21"/>
                <w:szCs w:val="21"/>
              </w:rPr>
              <w:t>容</w:t>
            </w:r>
          </w:p>
        </w:tc>
        <w:tc>
          <w:tcPr>
            <w:tcW w:w="1559"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依 据 标 准</w:t>
            </w:r>
          </w:p>
        </w:tc>
        <w:tc>
          <w:tcPr>
            <w:tcW w:w="2410" w:type="dxa"/>
            <w:vAlign w:val="center"/>
          </w:tcPr>
          <w:p>
            <w:pPr>
              <w:topLinePunct/>
              <w:spacing w:line="240" w:lineRule="auto"/>
              <w:ind w:firstLine="0" w:firstLineChars="0"/>
              <w:jc w:val="center"/>
              <w:rPr>
                <w:rFonts w:ascii="宋体" w:hAnsi="宋体"/>
                <w:b/>
                <w:bCs/>
                <w:color w:val="000000" w:themeColor="text1"/>
                <w:sz w:val="21"/>
                <w:szCs w:val="21"/>
              </w:rPr>
            </w:pPr>
            <w:r>
              <w:rPr>
                <w:rFonts w:ascii="宋体" w:hAnsi="宋体"/>
                <w:b/>
                <w:bCs/>
                <w:color w:val="000000" w:themeColor="text1"/>
                <w:sz w:val="21"/>
                <w:szCs w:val="21"/>
              </w:rPr>
              <w:t>检</w:t>
            </w:r>
            <w:r>
              <w:rPr>
                <w:rFonts w:hint="eastAsia" w:ascii="宋体" w:hAnsi="宋体"/>
                <w:b/>
                <w:bCs/>
                <w:color w:val="000000" w:themeColor="text1"/>
                <w:sz w:val="21"/>
                <w:szCs w:val="21"/>
              </w:rPr>
              <w:t xml:space="preserve"> </w:t>
            </w:r>
            <w:r>
              <w:rPr>
                <w:rFonts w:ascii="宋体" w:hAnsi="宋体"/>
                <w:b/>
                <w:bCs/>
                <w:color w:val="000000" w:themeColor="text1"/>
                <w:sz w:val="21"/>
                <w:szCs w:val="21"/>
              </w:rPr>
              <w:t>查</w:t>
            </w:r>
            <w:r>
              <w:rPr>
                <w:rFonts w:hint="eastAsia" w:ascii="宋体" w:hAnsi="宋体"/>
                <w:b/>
                <w:bCs/>
                <w:color w:val="000000" w:themeColor="text1"/>
                <w:sz w:val="21"/>
                <w:szCs w:val="21"/>
              </w:rPr>
              <w:t xml:space="preserve"> 情 况</w:t>
            </w:r>
          </w:p>
        </w:tc>
        <w:tc>
          <w:tcPr>
            <w:tcW w:w="707"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企业选址布局、规划设计以及与重要场所、设施、区域的距离应当符合下列要求：</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①</w:t>
            </w:r>
            <w:r>
              <w:rPr>
                <w:rFonts w:hint="eastAsia" w:ascii="宋体" w:hAnsi="宋体"/>
                <w:color w:val="000000" w:themeColor="text1"/>
                <w:sz w:val="21"/>
                <w:szCs w:val="21"/>
              </w:rPr>
              <w:t>国家产业政策；当地县级以上（含县级）人民政府的规划和布局；新设立企业建在地方人民政府规划的专门用于危险化学品生产、储存的区域内；</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②</w:t>
            </w:r>
            <w:r>
              <w:rPr>
                <w:rFonts w:hint="eastAsia" w:ascii="宋体" w:hAnsi="宋体"/>
                <w:color w:val="000000" w:themeColor="text1"/>
                <w:sz w:val="21"/>
                <w:szCs w:val="21"/>
              </w:rPr>
              <w:t>危险化学品生产装置或者储存危险化学品数量构成重大危险源的储存设施，与《危险化学品安全管理条例》第十九条第一款规定的八类场所、设施、区域的距离符合有关法律、法规、规章和国家标准或者行业标准的规定；</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③</w:t>
            </w:r>
            <w:r>
              <w:rPr>
                <w:rFonts w:hint="eastAsia" w:ascii="宋体" w:hAnsi="宋体"/>
                <w:color w:val="000000" w:themeColor="text1"/>
                <w:sz w:val="21"/>
                <w:szCs w:val="21"/>
              </w:rPr>
              <w:t>总体布局符合《化工企业总图运输设计规范》（GB50489）、《工业企业总平面设计规范》（GB50187）、《建筑设计防火规范</w:t>
            </w:r>
            <w:r>
              <w:rPr>
                <w:rFonts w:hint="eastAsia" w:ascii="宋体" w:cs="宋体"/>
                <w:color w:val="000000" w:themeColor="text1"/>
                <w:sz w:val="21"/>
                <w:szCs w:val="21"/>
              </w:rPr>
              <w:t>（2018年版）</w:t>
            </w:r>
            <w:r>
              <w:rPr>
                <w:rFonts w:hint="eastAsia" w:ascii="宋体" w:hAnsi="宋体"/>
                <w:color w:val="000000" w:themeColor="text1"/>
                <w:sz w:val="21"/>
                <w:szCs w:val="21"/>
              </w:rPr>
              <w:t>》（GB50016）等标准的要求。</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八条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氟化分公司符合国家规划布局；</w:t>
            </w:r>
          </w:p>
          <w:p>
            <w:pPr>
              <w:spacing w:line="240" w:lineRule="auto"/>
              <w:ind w:firstLine="210" w:firstLineChars="100"/>
              <w:jc w:val="left"/>
              <w:rPr>
                <w:color w:val="000000" w:themeColor="text1"/>
                <w:sz w:val="21"/>
                <w:szCs w:val="21"/>
              </w:rPr>
            </w:pPr>
            <w:r>
              <w:rPr>
                <w:rFonts w:hint="eastAsia" w:ascii="宋体" w:hAnsi="宋体"/>
                <w:color w:val="000000" w:themeColor="text1"/>
                <w:sz w:val="21"/>
                <w:szCs w:val="21"/>
              </w:rPr>
              <w:t>氟化分公司不构成危险化学品重大危险源，总平面布置</w:t>
            </w:r>
            <w:r>
              <w:rPr>
                <w:color w:val="000000" w:themeColor="text1"/>
                <w:sz w:val="21"/>
                <w:szCs w:val="21"/>
              </w:rPr>
              <w:t>符合《工业企业总平面设计规范》(GB50187-2012)</w:t>
            </w:r>
            <w:r>
              <w:rPr>
                <w:rFonts w:hint="eastAsia"/>
                <w:color w:val="000000" w:themeColor="text1"/>
                <w:sz w:val="21"/>
                <w:szCs w:val="21"/>
              </w:rPr>
              <w:t>、</w:t>
            </w:r>
            <w:r>
              <w:rPr>
                <w:color w:val="000000" w:themeColor="text1"/>
                <w:sz w:val="21"/>
                <w:szCs w:val="21"/>
              </w:rPr>
              <w:t>《化工企业安全卫生设计规范》(HG20571-2014)、《建筑设计防火规范</w:t>
            </w:r>
            <w:r>
              <w:rPr>
                <w:rFonts w:hint="eastAsia"/>
                <w:color w:val="000000" w:themeColor="text1"/>
                <w:sz w:val="21"/>
                <w:szCs w:val="21"/>
              </w:rPr>
              <w:t>（</w:t>
            </w:r>
            <w:r>
              <w:rPr>
                <w:color w:val="000000" w:themeColor="text1"/>
                <w:sz w:val="21"/>
                <w:szCs w:val="21"/>
              </w:rPr>
              <w:t>2018年版</w:t>
            </w:r>
            <w:r>
              <w:rPr>
                <w:rFonts w:hint="eastAsia"/>
                <w:color w:val="000000" w:themeColor="text1"/>
                <w:sz w:val="21"/>
                <w:szCs w:val="21"/>
              </w:rPr>
              <w:t>）</w:t>
            </w:r>
            <w:r>
              <w:rPr>
                <w:rFonts w:hint="eastAsia"/>
                <w:color w:val="000000" w:themeColor="text1"/>
                <w:sz w:val="21"/>
                <w:szCs w:val="21"/>
                <w:lang w:eastAsia="zh-CN"/>
              </w:rPr>
              <w:t>》</w:t>
            </w:r>
            <w:r>
              <w:rPr>
                <w:color w:val="000000" w:themeColor="text1"/>
                <w:sz w:val="21"/>
                <w:szCs w:val="21"/>
              </w:rPr>
              <w:t>(GB50016-2014)等标准、规范的要求。</w:t>
            </w:r>
          </w:p>
          <w:p>
            <w:pPr>
              <w:topLinePunct/>
              <w:spacing w:line="240" w:lineRule="auto"/>
              <w:ind w:firstLine="210" w:firstLineChars="100"/>
              <w:jc w:val="left"/>
              <w:rPr>
                <w:rFonts w:ascii="宋体" w:hAnsi="宋体"/>
                <w:color w:val="000000" w:themeColor="text1"/>
                <w:sz w:val="21"/>
                <w:szCs w:val="21"/>
              </w:rPr>
            </w:pP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2</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企业的厂房、作业场所、储存设施和安全设施、设备、工艺应当符合下列要求：</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①</w:t>
            </w:r>
            <w:r>
              <w:rPr>
                <w:rFonts w:hint="eastAsia" w:ascii="宋体" w:hAnsi="宋体"/>
                <w:color w:val="000000" w:themeColor="text1"/>
                <w:sz w:val="21"/>
                <w:szCs w:val="21"/>
              </w:rPr>
              <w:t>新建、改建、扩建建设项目经具备国家规定资质的单位设计、制造和施工建设；涉及危险化工工艺、重点监管危险化学品的装置，由具有综合甲级资质或者化工石化专业甲级设计资质的化工石化设计单位设计；</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②</w:t>
            </w:r>
            <w:r>
              <w:rPr>
                <w:rFonts w:hint="eastAsia" w:ascii="宋体" w:hAnsi="宋体"/>
                <w:color w:val="000000" w:themeColor="text1"/>
                <w:sz w:val="21"/>
                <w:szCs w:val="21"/>
              </w:rPr>
              <w:t>不得采用国家明令淘汰、禁止使用和危及安全生产的工艺、设备；新开发的危险化学品生产工艺必须在小试、中试、工业化试验的基础上逐步放大到工业化生产；国内首次使用的化工工艺，必须经过省级人民政府有关部门组织的安全可靠性论证；</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③</w:t>
            </w:r>
            <w:r>
              <w:rPr>
                <w:rFonts w:hint="eastAsia" w:ascii="宋体" w:hAnsi="宋体"/>
                <w:color w:val="000000" w:themeColor="text1"/>
                <w:sz w:val="21"/>
                <w:szCs w:val="21"/>
              </w:rPr>
              <w:t>涉及危险化工工艺、重点监管危险化学品的装置装设自动化控制系统；涉及危险化工工艺的大型化工装置装设紧急停车系统；涉及易燃易爆、有毒有害气体化学品的场所装设易燃易爆、有毒有害介质泄漏报警等安全设施；</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④</w:t>
            </w:r>
            <w:r>
              <w:rPr>
                <w:rFonts w:hint="eastAsia" w:ascii="宋体" w:hAnsi="宋体"/>
                <w:color w:val="000000" w:themeColor="text1"/>
                <w:sz w:val="21"/>
                <w:szCs w:val="21"/>
              </w:rPr>
              <w:t>生产区与非生产区分开设置，并符合国家标准或者行业标准规定的距离；</w:t>
            </w:r>
          </w:p>
          <w:p>
            <w:pPr>
              <w:topLinePunct/>
              <w:spacing w:line="240" w:lineRule="auto"/>
              <w:ind w:left="0" w:leftChars="0" w:firstLine="0" w:firstLineChars="0"/>
              <w:jc w:val="left"/>
              <w:rPr>
                <w:rFonts w:ascii="宋体" w:hAnsi="宋体"/>
                <w:color w:val="000000" w:themeColor="text1"/>
                <w:sz w:val="21"/>
                <w:szCs w:val="21"/>
              </w:rPr>
            </w:pPr>
            <w:r>
              <w:rPr>
                <w:rFonts w:hint="eastAsia" w:ascii="宋体" w:hAnsi="宋体"/>
                <w:color w:val="000000" w:themeColor="text1"/>
                <w:sz w:val="21"/>
                <w:szCs w:val="21"/>
                <w:lang w:eastAsia="zh-CN"/>
              </w:rPr>
              <w:t>⑤</w:t>
            </w:r>
            <w:r>
              <w:rPr>
                <w:rFonts w:hint="eastAsia" w:ascii="宋体" w:hAnsi="宋体"/>
                <w:color w:val="000000" w:themeColor="text1"/>
                <w:sz w:val="21"/>
                <w:szCs w:val="21"/>
              </w:rPr>
              <w:t>危险化学品生产装置和储存设施之间及其与建（构）筑物之间的距离符合有关标准规范的规定。</w:t>
            </w:r>
            <w:r>
              <w:rPr>
                <w:rFonts w:ascii="Arial" w:hAnsi="Arial" w:cs="Arial"/>
                <w:color w:val="333333"/>
                <w:sz w:val="21"/>
                <w:szCs w:val="21"/>
                <w:shd w:val="clear" w:color="auto" w:fill="FFFFFF"/>
              </w:rPr>
              <w:t>同一厂区内的设备、设施及建（构）筑物的布置必须适用同一标准的规定。</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九条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经检查：氟化分公司换证生产装置与周边距离符合要求；</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生产工艺不属于国家明令淘汰、禁止使用和危及安全生产的工艺、设备；</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不涉及条文所列装置和系统；</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生产区与非生产区分开设置，并符合国家标准或者行业标准规定的距离；</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生产装置和储存设施之间及其与建（构）筑物之间的距离符合</w:t>
            </w:r>
            <w:r>
              <w:rPr>
                <w:rFonts w:hint="eastAsia"/>
                <w:color w:val="000000" w:themeColor="text1"/>
                <w:sz w:val="21"/>
                <w:szCs w:val="21"/>
              </w:rPr>
              <w:t>《建筑设计防火规范（2018年版）》（GB50016-2014）</w:t>
            </w:r>
            <w:r>
              <w:rPr>
                <w:color w:val="000000" w:themeColor="text1"/>
                <w:sz w:val="21"/>
                <w:szCs w:val="21"/>
              </w:rPr>
              <w:t>的要求</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3</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企业应当有相应的职业危害防护设施，并为从业人员配备符合国家标准或者行业标准的劳动防护用品</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十条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企业已为从业人员配备符合国家标准或者行业标准的劳动防护用品。</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4</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企业应当依据《危险化学品重大危险源辨识》（GB18218），对本企业的生产、储存和使用装置、设施或者场所进行重大危险源辨识。</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对已确定为重大危险源的生产和储存设施，应当执行《危险化学品重大危险源监督管理暂行规定》。</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十一条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根据报告附件2分析氟化分公司不构成危险化学品重大危险源。</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企业应当依法设置安全生产管理机构，配备专职安全生产管理人员。配备的专职安全生产管理人员必须能够满足安全生产的需要。</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十二</w:t>
            </w:r>
            <w:r>
              <w:rPr>
                <w:rFonts w:ascii="宋体" w:hAnsi="宋体"/>
                <w:color w:val="000000" w:themeColor="text1"/>
                <w:sz w:val="21"/>
                <w:szCs w:val="21"/>
              </w:rPr>
              <w:t>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企业设置了安全生产管理机构，配备专职安全生产管理人员。见</w:t>
            </w:r>
            <w:r>
              <w:rPr>
                <w:rFonts w:hint="eastAsia"/>
                <w:sz w:val="21"/>
                <w:szCs w:val="21"/>
              </w:rPr>
              <w:t>企业原始资料</w:t>
            </w:r>
            <w:r>
              <w:rPr>
                <w:rFonts w:hint="eastAsia" w:ascii="宋体" w:hAnsi="宋体"/>
                <w:color w:val="000000" w:themeColor="text1"/>
                <w:sz w:val="21"/>
                <w:szCs w:val="21"/>
              </w:rPr>
              <w:t>6.11、6.12。</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6</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企业应当建立全员安全生产责任制，保证每位从业人员的安全生产责任与职务、岗位相匹配</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《危险化学品生产企业安全生产许可证实施办法》（国家安全生产监督管理总局令第41号）第十三条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企业建立了与职务、岗位相匹配的全员安全生产责任制。见</w:t>
            </w:r>
            <w:r>
              <w:rPr>
                <w:rFonts w:hint="eastAsia"/>
                <w:sz w:val="21"/>
                <w:szCs w:val="21"/>
              </w:rPr>
              <w:t>企业原始资料</w:t>
            </w:r>
            <w:r>
              <w:rPr>
                <w:rFonts w:hint="eastAsia" w:ascii="宋体" w:hAnsi="宋体"/>
                <w:color w:val="000000" w:themeColor="text1"/>
                <w:sz w:val="21"/>
                <w:szCs w:val="21"/>
              </w:rPr>
              <w:t>6.19。</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7</w:t>
            </w:r>
          </w:p>
        </w:tc>
        <w:tc>
          <w:tcPr>
            <w:tcW w:w="3815" w:type="dxa"/>
            <w:vAlign w:val="center"/>
          </w:tcPr>
          <w:p>
            <w:pPr>
              <w:topLinePunct/>
              <w:spacing w:line="240" w:lineRule="auto"/>
              <w:ind w:firstLine="210" w:firstLineChars="100"/>
              <w:jc w:val="left"/>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企业应当根据化工工艺、装置、设施等实际情况，制定完善下列主要安全生产规章制度：</w:t>
            </w:r>
          </w:p>
          <w:p>
            <w:pPr>
              <w:keepNext w:val="0"/>
              <w:keepLines w:val="0"/>
              <w:pageBreakBefore w:val="0"/>
              <w:widowControl w:val="0"/>
              <w:kinsoku/>
              <w:wordWrap/>
              <w:overflowPunct/>
              <w:topLinePunct/>
              <w:autoSpaceDE/>
              <w:autoSpaceDN/>
              <w:bidi w:val="0"/>
              <w:adjustRightInd w:val="0"/>
              <w:snapToGrid w:val="0"/>
              <w:spacing w:line="240" w:lineRule="exact"/>
              <w:ind w:firstLine="210" w:firstLineChars="100"/>
              <w:jc w:val="left"/>
              <w:textAlignment w:val="auto"/>
              <w:rPr>
                <w:rFonts w:ascii="宋体" w:hAnsi="宋体"/>
                <w:color w:val="000000" w:themeColor="text1"/>
                <w:sz w:val="21"/>
                <w:szCs w:val="21"/>
              </w:rPr>
            </w:pPr>
            <w:r>
              <w:rPr>
                <w:rFonts w:hint="eastAsia" w:ascii="宋体" w:hAnsi="宋体" w:eastAsia="宋体" w:cs="宋体"/>
                <w:color w:val="000000" w:themeColor="text1"/>
                <w:sz w:val="21"/>
                <w:szCs w:val="21"/>
                <w:lang w:eastAsia="zh-CN"/>
              </w:rPr>
              <w:t>①</w:t>
            </w:r>
            <w:r>
              <w:rPr>
                <w:rFonts w:hint="eastAsia" w:ascii="宋体" w:hAnsi="宋体" w:eastAsia="宋体" w:cs="宋体"/>
                <w:color w:val="000000" w:themeColor="text1"/>
                <w:sz w:val="21"/>
                <w:szCs w:val="21"/>
              </w:rPr>
              <w:t>安全生产例会等安全生产会议制度；</w:t>
            </w:r>
            <w:r>
              <w:rPr>
                <w:rFonts w:hint="eastAsia" w:ascii="宋体" w:hAnsi="宋体" w:eastAsia="宋体" w:cs="宋体"/>
                <w:color w:val="000000" w:themeColor="text1"/>
                <w:sz w:val="21"/>
                <w:szCs w:val="21"/>
                <w:lang w:eastAsia="zh-CN"/>
              </w:rPr>
              <w:t>②</w:t>
            </w:r>
            <w:r>
              <w:rPr>
                <w:rFonts w:hint="eastAsia" w:ascii="宋体" w:hAnsi="宋体" w:eastAsia="宋体" w:cs="宋体"/>
                <w:color w:val="000000" w:themeColor="text1"/>
                <w:sz w:val="21"/>
                <w:szCs w:val="21"/>
              </w:rPr>
              <w:t>安全投入保障制度；</w:t>
            </w:r>
            <w:r>
              <w:rPr>
                <w:rFonts w:hint="eastAsia" w:ascii="宋体" w:hAnsi="宋体" w:eastAsia="宋体" w:cs="宋体"/>
                <w:color w:val="000000" w:themeColor="text1"/>
                <w:sz w:val="21"/>
                <w:szCs w:val="21"/>
                <w:lang w:eastAsia="zh-CN"/>
              </w:rPr>
              <w:t>③</w:t>
            </w:r>
            <w:r>
              <w:rPr>
                <w:rFonts w:hint="eastAsia" w:ascii="宋体" w:hAnsi="宋体" w:eastAsia="宋体" w:cs="宋体"/>
                <w:color w:val="000000" w:themeColor="text1"/>
                <w:sz w:val="21"/>
                <w:szCs w:val="21"/>
              </w:rPr>
              <w:t>安全生产奖惩制度；</w:t>
            </w:r>
            <w:r>
              <w:rPr>
                <w:rFonts w:hint="eastAsia" w:ascii="宋体" w:hAnsi="宋体" w:eastAsia="宋体" w:cs="宋体"/>
                <w:color w:val="000000" w:themeColor="text1"/>
                <w:sz w:val="21"/>
                <w:szCs w:val="21"/>
                <w:lang w:eastAsia="zh-CN"/>
              </w:rPr>
              <w:t>④</w:t>
            </w:r>
            <w:r>
              <w:rPr>
                <w:rFonts w:hint="eastAsia" w:ascii="宋体" w:hAnsi="宋体" w:eastAsia="宋体" w:cs="宋体"/>
                <w:color w:val="000000" w:themeColor="text1"/>
                <w:sz w:val="21"/>
                <w:szCs w:val="21"/>
              </w:rPr>
              <w:t>安全培训教育制度；</w:t>
            </w:r>
            <w:r>
              <w:rPr>
                <w:rFonts w:hint="eastAsia" w:ascii="宋体" w:hAnsi="宋体" w:eastAsia="宋体" w:cs="宋体"/>
                <w:color w:val="000000" w:themeColor="text1"/>
                <w:sz w:val="21"/>
                <w:szCs w:val="21"/>
                <w:lang w:eastAsia="zh-CN"/>
              </w:rPr>
              <w:t>⑤</w:t>
            </w:r>
            <w:r>
              <w:rPr>
                <w:rFonts w:hint="eastAsia" w:ascii="宋体" w:hAnsi="宋体" w:eastAsia="宋体" w:cs="宋体"/>
                <w:color w:val="000000" w:themeColor="text1"/>
                <w:sz w:val="21"/>
                <w:szCs w:val="21"/>
              </w:rPr>
              <w:t>领导干部轮流现场带班制度；</w:t>
            </w:r>
            <w:r>
              <w:rPr>
                <w:rFonts w:hint="eastAsia" w:ascii="宋体" w:hAnsi="宋体" w:eastAsia="宋体" w:cs="宋体"/>
                <w:color w:val="000000" w:themeColor="text1"/>
                <w:sz w:val="21"/>
                <w:szCs w:val="21"/>
                <w:lang w:eastAsia="zh-CN"/>
              </w:rPr>
              <w:t>⑥</w:t>
            </w:r>
            <w:r>
              <w:rPr>
                <w:rFonts w:hint="eastAsia" w:ascii="宋体" w:hAnsi="宋体" w:eastAsia="宋体" w:cs="宋体"/>
                <w:color w:val="000000" w:themeColor="text1"/>
                <w:sz w:val="21"/>
                <w:szCs w:val="21"/>
              </w:rPr>
              <w:t>特种作业人员管理制度；</w:t>
            </w:r>
            <w:r>
              <w:rPr>
                <w:rFonts w:hint="eastAsia" w:ascii="宋体" w:hAnsi="宋体" w:eastAsia="宋体" w:cs="宋体"/>
                <w:color w:val="000000" w:themeColor="text1"/>
                <w:sz w:val="21"/>
                <w:szCs w:val="21"/>
                <w:lang w:eastAsia="zh-CN"/>
              </w:rPr>
              <w:t>⑦</w:t>
            </w:r>
            <w:r>
              <w:rPr>
                <w:rFonts w:hint="eastAsia" w:ascii="宋体" w:hAnsi="宋体" w:eastAsia="宋体" w:cs="宋体"/>
                <w:color w:val="000000" w:themeColor="text1"/>
                <w:sz w:val="21"/>
                <w:szCs w:val="21"/>
              </w:rPr>
              <w:t>安全检查和隐患排查治理制度；</w:t>
            </w:r>
            <w:r>
              <w:rPr>
                <w:rFonts w:hint="eastAsia" w:ascii="宋体" w:hAnsi="宋体" w:eastAsia="宋体" w:cs="宋体"/>
                <w:color w:val="000000" w:themeColor="text1"/>
                <w:sz w:val="21"/>
                <w:szCs w:val="21"/>
                <w:lang w:eastAsia="zh-CN"/>
              </w:rPr>
              <w:t>⑧</w:t>
            </w:r>
            <w:r>
              <w:rPr>
                <w:rFonts w:hint="eastAsia" w:ascii="宋体" w:hAnsi="宋体" w:eastAsia="宋体" w:cs="宋体"/>
                <w:color w:val="000000" w:themeColor="text1"/>
                <w:sz w:val="21"/>
                <w:szCs w:val="21"/>
              </w:rPr>
              <w:t>重大危险源评估和安全管理制度；</w:t>
            </w:r>
            <w:r>
              <w:rPr>
                <w:rFonts w:hint="eastAsia" w:ascii="宋体" w:hAnsi="宋体" w:eastAsia="宋体" w:cs="宋体"/>
                <w:color w:val="000000" w:themeColor="text1"/>
                <w:sz w:val="21"/>
                <w:szCs w:val="21"/>
                <w:lang w:eastAsia="zh-CN"/>
              </w:rPr>
              <w:t>⑨</w:t>
            </w:r>
            <w:r>
              <w:rPr>
                <w:rFonts w:hint="eastAsia" w:ascii="宋体" w:hAnsi="宋体" w:eastAsia="宋体" w:cs="宋体"/>
                <w:color w:val="000000" w:themeColor="text1"/>
                <w:sz w:val="21"/>
                <w:szCs w:val="21"/>
              </w:rPr>
              <w:t>变更管理制度；</w:t>
            </w:r>
            <w:r>
              <w:rPr>
                <w:rFonts w:hint="eastAsia" w:ascii="宋体" w:hAnsi="宋体" w:eastAsia="宋体" w:cs="宋体"/>
                <w:color w:val="000000" w:themeColor="text1"/>
                <w:sz w:val="21"/>
                <w:szCs w:val="21"/>
                <w:lang w:eastAsia="zh-CN"/>
              </w:rPr>
              <w:t>⑩</w:t>
            </w:r>
            <w:r>
              <w:rPr>
                <w:rFonts w:hint="eastAsia" w:ascii="宋体" w:hAnsi="宋体" w:eastAsia="宋体" w:cs="宋体"/>
                <w:color w:val="000000" w:themeColor="text1"/>
                <w:sz w:val="21"/>
                <w:szCs w:val="21"/>
              </w:rPr>
              <w:t>应急管理制度；</w:t>
            </w:r>
            <w:r>
              <w:rPr>
                <w:rFonts w:hint="eastAsia" w:ascii="宋体" w:hAnsi="宋体" w:eastAsia="宋体" w:cs="宋体"/>
                <w:color w:val="000000" w:themeColor="text1"/>
                <w:sz w:val="21"/>
                <w:szCs w:val="21"/>
                <w:lang w:val="en-US" w:eastAsia="zh-CN"/>
              </w:rPr>
              <w:t>⑪</w:t>
            </w:r>
            <w:r>
              <w:rPr>
                <w:rFonts w:hint="eastAsia" w:ascii="宋体" w:hAnsi="宋体" w:eastAsia="宋体" w:cs="宋体"/>
                <w:color w:val="000000" w:themeColor="text1"/>
                <w:sz w:val="21"/>
                <w:szCs w:val="21"/>
              </w:rPr>
              <w:t>生产安全事故或者重大事件管理制度；</w:t>
            </w:r>
            <w:r>
              <w:rPr>
                <w:rFonts w:hint="eastAsia" w:ascii="宋体" w:hAnsi="宋体" w:eastAsia="宋体" w:cs="宋体"/>
                <w:color w:val="000000" w:themeColor="text1"/>
                <w:sz w:val="21"/>
                <w:szCs w:val="21"/>
                <w:lang w:val="en-US" w:eastAsia="zh-CN"/>
              </w:rPr>
              <w:t>⑫</w:t>
            </w:r>
            <w:r>
              <w:rPr>
                <w:rFonts w:hint="eastAsia" w:ascii="宋体" w:hAnsi="宋体" w:eastAsia="宋体" w:cs="宋体"/>
                <w:color w:val="000000" w:themeColor="text1"/>
                <w:sz w:val="21"/>
                <w:szCs w:val="21"/>
              </w:rPr>
              <w:t>防火、防爆、防中毒、防泄漏管理制度；</w:t>
            </w:r>
            <w:r>
              <w:rPr>
                <w:rFonts w:hint="eastAsia" w:ascii="宋体" w:hAnsi="宋体" w:eastAsia="宋体" w:cs="宋体"/>
                <w:color w:val="000000" w:themeColor="text1"/>
                <w:sz w:val="21"/>
                <w:szCs w:val="21"/>
                <w:lang w:val="en-US" w:eastAsia="zh-CN"/>
              </w:rPr>
              <w:t>⑬</w:t>
            </w:r>
            <w:r>
              <w:rPr>
                <w:rFonts w:hint="eastAsia" w:ascii="宋体" w:hAnsi="宋体" w:eastAsia="宋体" w:cs="宋体"/>
                <w:color w:val="000000" w:themeColor="text1"/>
                <w:sz w:val="21"/>
                <w:szCs w:val="21"/>
              </w:rPr>
              <w:t>工艺、设备、电气仪表、公用工程安全管理制度；</w:t>
            </w:r>
            <w:r>
              <w:rPr>
                <w:rFonts w:hint="eastAsia" w:ascii="宋体" w:hAnsi="宋体" w:eastAsia="宋体" w:cs="宋体"/>
                <w:color w:val="000000" w:themeColor="text1"/>
                <w:sz w:val="21"/>
                <w:szCs w:val="21"/>
                <w:lang w:val="en-US" w:eastAsia="zh-CN"/>
              </w:rPr>
              <w:t>⑭</w:t>
            </w:r>
            <w:r>
              <w:rPr>
                <w:rFonts w:hint="eastAsia" w:ascii="宋体" w:hAnsi="宋体" w:eastAsia="宋体" w:cs="宋体"/>
                <w:color w:val="000000" w:themeColor="text1"/>
                <w:sz w:val="21"/>
                <w:szCs w:val="21"/>
              </w:rPr>
              <w:t>动火、进入受限空间、吊装、高处、盲板抽堵、动土、断路、设备检维修等作业安全管理制度；</w:t>
            </w:r>
            <w:r>
              <w:rPr>
                <w:rFonts w:hint="eastAsia" w:ascii="宋体" w:hAnsi="宋体" w:eastAsia="宋体" w:cs="宋体"/>
                <w:color w:val="000000" w:themeColor="text1"/>
                <w:sz w:val="21"/>
                <w:szCs w:val="21"/>
                <w:lang w:val="en-US" w:eastAsia="zh-CN"/>
              </w:rPr>
              <w:t>⑮</w:t>
            </w:r>
            <w:r>
              <w:rPr>
                <w:rFonts w:hint="eastAsia" w:ascii="宋体" w:hAnsi="宋体" w:eastAsia="宋体" w:cs="宋体"/>
                <w:color w:val="000000" w:themeColor="text1"/>
                <w:sz w:val="21"/>
                <w:szCs w:val="21"/>
              </w:rPr>
              <w:t>危险化学品安全管理制度；</w:t>
            </w:r>
            <w:r>
              <w:rPr>
                <w:rFonts w:hint="eastAsia" w:ascii="宋体" w:hAnsi="宋体" w:eastAsia="宋体" w:cs="宋体"/>
                <w:color w:val="000000" w:themeColor="text1"/>
                <w:sz w:val="21"/>
                <w:szCs w:val="21"/>
                <w:lang w:val="en-US" w:eastAsia="zh-CN"/>
              </w:rPr>
              <w:t>⑯</w:t>
            </w:r>
            <w:r>
              <w:rPr>
                <w:rFonts w:hint="eastAsia" w:ascii="宋体" w:hAnsi="宋体" w:eastAsia="宋体" w:cs="宋体"/>
                <w:color w:val="000000" w:themeColor="text1"/>
                <w:sz w:val="21"/>
                <w:szCs w:val="21"/>
              </w:rPr>
              <w:t>职业健康相关管理制度；</w:t>
            </w:r>
            <w:r>
              <w:rPr>
                <w:rFonts w:hint="eastAsia" w:ascii="宋体" w:hAnsi="宋体" w:eastAsia="宋体" w:cs="宋体"/>
                <w:color w:val="000000" w:themeColor="text1"/>
                <w:sz w:val="21"/>
                <w:szCs w:val="21"/>
                <w:lang w:val="en-US" w:eastAsia="zh-CN"/>
              </w:rPr>
              <w:t>⑰</w:t>
            </w:r>
            <w:r>
              <w:rPr>
                <w:rFonts w:hint="eastAsia" w:ascii="宋体" w:hAnsi="宋体" w:eastAsia="宋体" w:cs="宋体"/>
                <w:color w:val="000000" w:themeColor="text1"/>
                <w:sz w:val="21"/>
                <w:szCs w:val="21"/>
              </w:rPr>
              <w:t>劳动防护用品使用维护管理制度；</w:t>
            </w:r>
            <w:r>
              <w:rPr>
                <w:rFonts w:hint="eastAsia" w:ascii="宋体" w:hAnsi="宋体" w:eastAsia="宋体" w:cs="宋体"/>
                <w:color w:val="000000" w:themeColor="text1"/>
                <w:sz w:val="21"/>
                <w:szCs w:val="21"/>
                <w:lang w:val="en-US" w:eastAsia="zh-CN"/>
              </w:rPr>
              <w:t>⑱</w:t>
            </w:r>
            <w:r>
              <w:rPr>
                <w:rFonts w:hint="eastAsia" w:ascii="宋体" w:hAnsi="宋体" w:eastAsia="宋体" w:cs="宋体"/>
                <w:color w:val="000000" w:themeColor="text1"/>
                <w:sz w:val="21"/>
                <w:szCs w:val="21"/>
              </w:rPr>
              <w:t>承包商管理制度；</w:t>
            </w:r>
            <w:r>
              <w:rPr>
                <w:rFonts w:hint="eastAsia" w:ascii="宋体" w:hAnsi="宋体" w:eastAsia="宋体" w:cs="宋体"/>
                <w:color w:val="000000" w:themeColor="text1"/>
                <w:sz w:val="21"/>
                <w:szCs w:val="21"/>
                <w:lang w:val="en-US" w:eastAsia="zh-CN"/>
              </w:rPr>
              <w:t>⑲</w:t>
            </w:r>
            <w:r>
              <w:rPr>
                <w:rFonts w:hint="eastAsia" w:ascii="宋体" w:hAnsi="宋体" w:eastAsia="宋体" w:cs="宋体"/>
                <w:color w:val="000000" w:themeColor="text1"/>
                <w:sz w:val="21"/>
                <w:szCs w:val="21"/>
              </w:rPr>
              <w:t>安全管理制度及操作规程定期修订制度。</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《危险化学品生产企业安全生产许可证实施办法》（国家安全生产监督管理总局令第41号）第十四条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公司已根据化工工艺、装置、设施等实际情况，制定了包括《安全生产会议制度》、《安全生产奖惩制度》等在内的安全生产规章制度。见</w:t>
            </w:r>
            <w:r>
              <w:rPr>
                <w:rFonts w:hint="eastAsia"/>
                <w:sz w:val="21"/>
                <w:szCs w:val="21"/>
              </w:rPr>
              <w:t>企业原始资料</w:t>
            </w:r>
            <w:r>
              <w:rPr>
                <w:rFonts w:hint="eastAsia" w:ascii="宋体" w:hAnsi="宋体"/>
                <w:color w:val="000000" w:themeColor="text1"/>
                <w:sz w:val="21"/>
                <w:szCs w:val="21"/>
              </w:rPr>
              <w:t>6.19。</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8</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企业应当根据危险化学品的生产工艺、技术、设备特点和原辅料、产品的危险性编制岗位操作安全规程。</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《危险化学品生产企业安全生产许可证实施办法》（国家安全生产监督管理总局令第41号）第十五条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检查公司已根据生产特点编制岗位操作安全规程。见</w:t>
            </w:r>
            <w:r>
              <w:rPr>
                <w:rFonts w:hint="eastAsia"/>
                <w:sz w:val="21"/>
                <w:szCs w:val="21"/>
              </w:rPr>
              <w:t>企业原始资料</w:t>
            </w:r>
            <w:r>
              <w:rPr>
                <w:rFonts w:hint="eastAsia" w:ascii="宋体" w:hAnsi="宋体"/>
                <w:color w:val="000000" w:themeColor="text1"/>
                <w:sz w:val="21"/>
                <w:szCs w:val="21"/>
              </w:rPr>
              <w:t>6.19。</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9</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fldChar w:fldCharType="begin"/>
            </w:r>
            <w:r>
              <w:rPr>
                <w:rFonts w:hint="eastAsia" w:ascii="宋体" w:hAnsi="宋体"/>
                <w:color w:val="000000" w:themeColor="text1"/>
                <w:sz w:val="21"/>
                <w:szCs w:val="21"/>
              </w:rPr>
              <w:instrText xml:space="preserve"> EQ \o\ac(</w:instrText>
            </w:r>
            <w:r>
              <w:rPr>
                <w:rFonts w:hint="eastAsia" w:ascii="宋体" w:hAnsi="宋体" w:eastAsia="宋体" w:cs="Times New Roman"/>
                <w:color w:val="000000" w:themeColor="text1"/>
                <w:kern w:val="2"/>
                <w:position w:val="-4"/>
                <w:sz w:val="31"/>
                <w:szCs w:val="21"/>
                <w:lang w:val="en-US" w:eastAsia="zh-CN" w:bidi="ar-SA"/>
              </w:rPr>
              <w:instrText xml:space="preserve">○</w:instrText>
            </w:r>
            <w:r>
              <w:rPr>
                <w:rFonts w:hint="eastAsia" w:ascii="宋体" w:hAnsi="宋体"/>
                <w:color w:val="000000" w:themeColor="text1"/>
                <w:sz w:val="21"/>
                <w:szCs w:val="21"/>
              </w:rPr>
              <w:instrText xml:space="preserve">,企)</w:instrText>
            </w:r>
            <w:r>
              <w:rPr>
                <w:rFonts w:hint="eastAsia" w:ascii="宋体" w:hAnsi="宋体"/>
                <w:color w:val="000000" w:themeColor="text1"/>
                <w:sz w:val="21"/>
                <w:szCs w:val="21"/>
              </w:rPr>
              <w:fldChar w:fldCharType="end"/>
            </w:r>
            <w:r>
              <w:rPr>
                <w:rFonts w:hint="eastAsia" w:ascii="宋体" w:hAnsi="宋体"/>
                <w:color w:val="000000" w:themeColor="text1"/>
                <w:sz w:val="21"/>
                <w:szCs w:val="21"/>
              </w:rPr>
              <w:t>业主要负责人、分管安全负责人和安全生产管理人员必须具备与其从事的生产经营活动相适应的安全生产知识和管理能力，依法参加安全生产培训，并经考核合格，取得安全资格证书。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企业应当有危险物品安全类注册安全工程师从事安全生产管理工作。特种作业人员应当依照《特种作业人员安全技术培训考核管理规定》，经专门的安全技术培训并考核合格，取得特种作业操作证书。本条第一、二、四款规定以外的其他从业人员应当按照国家有关规定，经安全教育培训合格。</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《危险化学品生产企业安全生产许可证实施办法》（国家安全生产监督管理总局令第41号）第十六条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经检查：企业主要负责人</w:t>
            </w:r>
            <w:r>
              <w:rPr>
                <w:rFonts w:hint="eastAsia" w:ascii="宋体" w:hAnsi="宋体"/>
                <w:color w:val="000000" w:themeColor="text1"/>
                <w:sz w:val="21"/>
                <w:szCs w:val="21"/>
                <w:lang w:eastAsia="zh-CN"/>
              </w:rPr>
              <w:t>、</w:t>
            </w:r>
            <w:r>
              <w:rPr>
                <w:rFonts w:hint="eastAsia" w:ascii="宋体" w:hAnsi="宋体"/>
                <w:color w:val="000000" w:themeColor="text1"/>
                <w:sz w:val="21"/>
                <w:szCs w:val="21"/>
              </w:rPr>
              <w:t>安全生产管理人员均取得安全生产知识和管理能力考核合格证书；特种作业人员经专门的安全技术培训并考核合格，取得特种作业操作证书。详见</w:t>
            </w:r>
            <w:r>
              <w:rPr>
                <w:rFonts w:hint="eastAsia"/>
                <w:sz w:val="21"/>
                <w:szCs w:val="21"/>
              </w:rPr>
              <w:t>企业原始资料</w:t>
            </w:r>
            <w:r>
              <w:rPr>
                <w:rFonts w:hint="eastAsia" w:ascii="宋体" w:hAnsi="宋体"/>
                <w:color w:val="000000" w:themeColor="text1"/>
                <w:sz w:val="21"/>
                <w:szCs w:val="21"/>
              </w:rPr>
              <w:t>6.8、6.9。</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10</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企业应当按照国家规定提取与安全生产有关的费用，并保证安全生产所必须的资金投入</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《危险化学品生产企业安全生产许可证实施办法》（国家安全生产监督管理总局令第41号）第十七条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经检查企业202</w:t>
            </w:r>
            <w:r>
              <w:rPr>
                <w:rFonts w:hint="eastAsia" w:ascii="宋体" w:hAnsi="宋体"/>
                <w:color w:val="000000" w:themeColor="text1"/>
                <w:sz w:val="21"/>
                <w:szCs w:val="21"/>
                <w:lang w:val="en-US" w:eastAsia="zh-CN"/>
              </w:rPr>
              <w:t>1</w:t>
            </w:r>
            <w:r>
              <w:rPr>
                <w:rFonts w:hint="eastAsia" w:ascii="宋体" w:hAnsi="宋体"/>
                <w:color w:val="000000" w:themeColor="text1"/>
                <w:sz w:val="21"/>
                <w:szCs w:val="21"/>
              </w:rPr>
              <w:t>至202</w:t>
            </w:r>
            <w:r>
              <w:rPr>
                <w:rFonts w:hint="eastAsia" w:ascii="宋体" w:hAnsi="宋体"/>
                <w:color w:val="000000" w:themeColor="text1"/>
                <w:sz w:val="21"/>
                <w:szCs w:val="21"/>
                <w:lang w:val="en-US" w:eastAsia="zh-CN"/>
              </w:rPr>
              <w:t>3</w:t>
            </w:r>
            <w:r>
              <w:rPr>
                <w:rFonts w:hint="eastAsia" w:ascii="宋体" w:hAnsi="宋体"/>
                <w:color w:val="000000" w:themeColor="text1"/>
                <w:sz w:val="21"/>
                <w:szCs w:val="21"/>
              </w:rPr>
              <w:t>年三年已按规定提取安全费用，并保证资金投入。见</w:t>
            </w:r>
            <w:r>
              <w:rPr>
                <w:rFonts w:hint="eastAsia"/>
                <w:sz w:val="21"/>
                <w:szCs w:val="21"/>
              </w:rPr>
              <w:t>企业原始资料</w:t>
            </w:r>
            <w:r>
              <w:rPr>
                <w:rFonts w:hint="eastAsia" w:ascii="宋体" w:hAnsi="宋体"/>
                <w:color w:val="000000" w:themeColor="text1"/>
                <w:sz w:val="21"/>
                <w:szCs w:val="21"/>
              </w:rPr>
              <w:t>6.22。</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11</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企业应当依法参加工伤保险，为从业人员缴纳保险费。</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《危险化学品生产企业安全生产许可证实施办法》（国家安全生产监督管理总局令第41号）第十八条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经现场检查，企业已依法参加工伤保险，为员工缴纳了工伤保险费。详见</w:t>
            </w:r>
            <w:r>
              <w:rPr>
                <w:rFonts w:hint="eastAsia"/>
                <w:sz w:val="21"/>
                <w:szCs w:val="21"/>
              </w:rPr>
              <w:t>企业原始资料</w:t>
            </w:r>
            <w:r>
              <w:rPr>
                <w:rFonts w:hint="eastAsia" w:ascii="宋体" w:hAnsi="宋体"/>
                <w:color w:val="000000" w:themeColor="text1"/>
                <w:sz w:val="21"/>
                <w:szCs w:val="21"/>
              </w:rPr>
              <w:t>6.13。</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12</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企业应当依法委托具备国家规定资质的安全评价机构进行安全评价，并按照安全评价报告的意见对存在的安全生产问题进行整改。</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《危险化学品生产企业安全生产许可证实施办法》（国家安全生产监督管理总局令第41号）第十九条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企业委托的评价机构资质符合要求，已根据评价报告提出意见进行了整改</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13</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企业应当依法进行危险化学品登记，为用户提供化学品安全技术说明书，并在危险化学品包装（包括外包装件）上粘贴或者拴挂与包装内危险化学品相符的化学品安全标签。</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《危险化学品生产企业安全生产许可证实施办法》（国家安全生产监督管理总局令第41号）第二十条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检查企业已依法进行危险化学品登记，并为用户提供化学品安全技术说明书和安全标签。详见</w:t>
            </w:r>
            <w:r>
              <w:rPr>
                <w:rFonts w:hint="eastAsia"/>
                <w:sz w:val="21"/>
                <w:szCs w:val="21"/>
              </w:rPr>
              <w:t>企业原始资料</w:t>
            </w:r>
            <w:r>
              <w:rPr>
                <w:rFonts w:hint="eastAsia" w:ascii="宋体" w:hAnsi="宋体"/>
                <w:color w:val="000000" w:themeColor="text1"/>
                <w:sz w:val="21"/>
                <w:szCs w:val="21"/>
              </w:rPr>
              <w:t>6.17.</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14</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企业应当符合下列应急管理要求：</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lang w:eastAsia="zh-CN"/>
              </w:rPr>
              <w:t>①</w:t>
            </w:r>
            <w:r>
              <w:rPr>
                <w:rFonts w:hint="eastAsia" w:ascii="宋体" w:hAnsi="宋体"/>
                <w:color w:val="000000" w:themeColor="text1"/>
                <w:sz w:val="21"/>
                <w:szCs w:val="21"/>
              </w:rPr>
              <w:t>按照国家有关规定编制危险化学品事故应急预案并报有关部门备案；</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lang w:eastAsia="zh-CN"/>
              </w:rPr>
              <w:t>②</w:t>
            </w:r>
            <w:r>
              <w:rPr>
                <w:rFonts w:hint="eastAsia" w:ascii="宋体" w:hAnsi="宋体"/>
                <w:color w:val="000000" w:themeColor="text1"/>
                <w:sz w:val="21"/>
                <w:szCs w:val="21"/>
              </w:rPr>
              <w:t>建立应急救援组织，规模较小的企业可以不建立应急救援组织，但应指定兼职的应急救援人员；</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lang w:eastAsia="zh-CN"/>
              </w:rPr>
              <w:t>③</w:t>
            </w:r>
            <w:r>
              <w:rPr>
                <w:rFonts w:hint="eastAsia" w:ascii="宋体" w:hAnsi="宋体"/>
                <w:color w:val="000000" w:themeColor="text1"/>
                <w:sz w:val="21"/>
                <w:szCs w:val="21"/>
              </w:rPr>
              <w:t>配备必要的应急救援器材、设备和物资，并进行经常性维护、保养，保证正常运转。生产、储存和使用氯气、氨气、光气、硫化氢等吸入性有毒有害气体的企业，除符合本条第一款的规定外，还应当配备至少两套以上全封闭防化服；构成重大危险源的，还应当设立气体防护站（组）。</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《危险化学品生产企业安全生产许可证实施办法》（国家安全生产监督管理总局令第41号）第二十一条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企业编制了危险化学品事故应急预案并报</w:t>
            </w:r>
            <w:r>
              <w:rPr>
                <w:rFonts w:hint="eastAsia" w:ascii="宋体" w:hAnsi="宋体"/>
                <w:color w:val="000000" w:themeColor="text1"/>
                <w:sz w:val="21"/>
                <w:szCs w:val="21"/>
                <w:lang w:val="en-US" w:eastAsia="zh-CN"/>
              </w:rPr>
              <w:t>澄江市</w:t>
            </w:r>
            <w:r>
              <w:rPr>
                <w:rFonts w:hint="eastAsia" w:ascii="宋体" w:hAnsi="宋体"/>
                <w:color w:val="000000" w:themeColor="text1"/>
                <w:sz w:val="21"/>
                <w:szCs w:val="21"/>
              </w:rPr>
              <w:t>应急管理局备案；详见</w:t>
            </w:r>
            <w:r>
              <w:rPr>
                <w:rFonts w:hint="eastAsia"/>
                <w:sz w:val="21"/>
                <w:szCs w:val="21"/>
              </w:rPr>
              <w:t>企业原始资料</w:t>
            </w:r>
            <w:r>
              <w:rPr>
                <w:rFonts w:hint="eastAsia" w:ascii="宋体" w:hAnsi="宋体"/>
                <w:color w:val="000000" w:themeColor="text1"/>
                <w:sz w:val="21"/>
                <w:szCs w:val="21"/>
              </w:rPr>
              <w:t>6.10</w:t>
            </w:r>
          </w:p>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企业设有应急救援组织配备了必要的应急救援器材、设备和物资；详见报告附件1</w:t>
            </w:r>
            <w:r>
              <w:rPr>
                <w:rFonts w:hint="eastAsia" w:hAnsi="宋体"/>
                <w:color w:val="000000" w:themeColor="text1"/>
                <w:kern w:val="0"/>
                <w:sz w:val="21"/>
                <w:szCs w:val="21"/>
              </w:rPr>
              <w:t>附表1.1－1</w:t>
            </w:r>
            <w:r>
              <w:rPr>
                <w:rFonts w:hint="eastAsia" w:ascii="宋体" w:hAnsi="宋体" w:cs="宋体"/>
                <w:color w:val="000000" w:themeColor="text1"/>
                <w:sz w:val="21"/>
                <w:szCs w:val="21"/>
              </w:rPr>
              <w:t>主要安全设施一览表</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15</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企业除符合本章规定的安全生产条件，还应当符合有关法律、行政法规和国家标准或者行业标准规定的其他安全生产条件。</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《危险化学品生产企业安全生产许可证实施办法》（国家安全生产监督管理总局令第41号）第二十二条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企业符合有关法律、行政法规和国家标准或者行业标准规定的其他安全生产条件</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bl>
    <w:p>
      <w:pPr>
        <w:pStyle w:val="2"/>
        <w:ind w:firstLine="560"/>
      </w:pPr>
      <w:bookmarkStart w:id="2949" w:name="_Toc13882"/>
      <w:bookmarkStart w:id="2950" w:name="_Toc2653"/>
      <w:bookmarkStart w:id="2951" w:name="_Toc21209"/>
      <w:bookmarkStart w:id="2952" w:name="_Toc30324"/>
      <w:bookmarkStart w:id="2953" w:name="_Toc2073"/>
      <w:bookmarkStart w:id="2954" w:name="_Toc22489"/>
      <w:bookmarkStart w:id="2955" w:name="_Toc128056548"/>
      <w:bookmarkStart w:id="2956" w:name="_Toc25618"/>
      <w:bookmarkStart w:id="2957" w:name="_Toc10492"/>
      <w:bookmarkStart w:id="2958" w:name="_Toc965"/>
    </w:p>
    <w:p>
      <w:pPr>
        <w:pStyle w:val="5"/>
        <w:ind w:firstLine="562"/>
      </w:pPr>
      <w:bookmarkStart w:id="2959" w:name="_Toc27199"/>
      <w:bookmarkStart w:id="2960" w:name="_Toc16658"/>
      <w:bookmarkStart w:id="2961" w:name="_Toc11709"/>
      <w:bookmarkStart w:id="2962" w:name="_Toc6131"/>
      <w:r>
        <w:rPr>
          <w:rFonts w:hint="eastAsia"/>
        </w:rPr>
        <w:t>4.</w:t>
      </w:r>
      <w:r>
        <w:rPr>
          <w:rFonts w:hint="eastAsia"/>
          <w:lang w:val="en-US" w:eastAsia="zh-CN"/>
        </w:rPr>
        <w:t>6</w:t>
      </w:r>
      <w:r>
        <w:rPr>
          <w:rFonts w:hint="eastAsia"/>
        </w:rPr>
        <w:t>.2 单元小结</w:t>
      </w:r>
      <w:bookmarkEnd w:id="2949"/>
      <w:bookmarkEnd w:id="2950"/>
      <w:bookmarkEnd w:id="2951"/>
      <w:bookmarkEnd w:id="2952"/>
      <w:bookmarkEnd w:id="2953"/>
      <w:bookmarkEnd w:id="2954"/>
      <w:bookmarkEnd w:id="2955"/>
      <w:bookmarkEnd w:id="2956"/>
      <w:bookmarkEnd w:id="2957"/>
      <w:bookmarkEnd w:id="2958"/>
      <w:bookmarkEnd w:id="2959"/>
      <w:bookmarkEnd w:id="2960"/>
      <w:bookmarkEnd w:id="2961"/>
      <w:bookmarkEnd w:id="2962"/>
    </w:p>
    <w:p>
      <w:pPr>
        <w:ind w:firstLine="560"/>
        <w:rPr>
          <w:color w:val="000000" w:themeColor="text1"/>
        </w:rPr>
      </w:pPr>
      <w:bookmarkStart w:id="2963" w:name="_Toc62740982"/>
      <w:r>
        <w:rPr>
          <w:rFonts w:hint="eastAsia"/>
          <w:color w:val="000000" w:themeColor="text1"/>
        </w:rPr>
        <w:t>通过检查表检查可知，项目安全生产条件符合《危险化学品生产企业安全生产许可证实施办法》(国家安全生产监督管理总局令第41号，根据79号令、89号令修改)的相关要求。</w:t>
      </w:r>
    </w:p>
    <w:p>
      <w:pPr>
        <w:pStyle w:val="3"/>
        <w:keepNext w:val="0"/>
        <w:keepLines w:val="0"/>
        <w:textAlignment w:val="center"/>
        <w:rPr>
          <w:rFonts w:ascii="宋体" w:hAnsi="宋体" w:eastAsia="宋体"/>
          <w:b/>
          <w:bCs w:val="0"/>
          <w:color w:val="000000" w:themeColor="text1"/>
          <w:szCs w:val="20"/>
        </w:rPr>
      </w:pPr>
      <w:bookmarkStart w:id="2964" w:name="_Toc5625"/>
      <w:bookmarkStart w:id="2965" w:name="_Toc22466"/>
      <w:bookmarkStart w:id="2966" w:name="_Toc17702"/>
      <w:bookmarkStart w:id="2967" w:name="_Toc31308"/>
      <w:bookmarkStart w:id="2968" w:name="_Toc11508"/>
      <w:bookmarkStart w:id="2969" w:name="_Toc26314"/>
      <w:bookmarkStart w:id="2970" w:name="_Toc396"/>
      <w:bookmarkStart w:id="2971" w:name="_Toc22472"/>
      <w:bookmarkStart w:id="2972" w:name="_Toc3741"/>
      <w:bookmarkStart w:id="2973" w:name="_Toc4752"/>
      <w:bookmarkStart w:id="2974" w:name="_Toc9964"/>
      <w:bookmarkStart w:id="2975" w:name="_Toc29632"/>
      <w:bookmarkStart w:id="2976" w:name="_Toc1223"/>
      <w:bookmarkStart w:id="2977" w:name="_Toc128056549"/>
      <w:bookmarkStart w:id="2978" w:name="_Toc23985"/>
      <w:bookmarkStart w:id="2979" w:name="_Toc1830"/>
      <w:bookmarkStart w:id="2980" w:name="_Toc32488"/>
      <w:bookmarkStart w:id="2981" w:name="_Toc12618"/>
      <w:bookmarkStart w:id="2982" w:name="_Toc14984"/>
      <w:bookmarkStart w:id="2983" w:name="_Toc21576"/>
      <w:bookmarkStart w:id="2984" w:name="_Toc27816"/>
      <w:bookmarkStart w:id="2985" w:name="_Toc3474"/>
      <w:bookmarkStart w:id="2986" w:name="_Toc23850"/>
      <w:bookmarkStart w:id="2987" w:name="_Toc20179"/>
      <w:r>
        <w:rPr>
          <w:rFonts w:hint="eastAsia" w:ascii="宋体" w:hAnsi="宋体" w:eastAsia="宋体"/>
          <w:b/>
          <w:bCs w:val="0"/>
          <w:color w:val="000000" w:themeColor="text1"/>
          <w:szCs w:val="20"/>
        </w:rPr>
        <w:t>附件5  评价依据</w:t>
      </w:r>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p>
    <w:p>
      <w:pPr>
        <w:ind w:firstLine="0" w:firstLineChars="0"/>
        <w:rPr>
          <w:color w:val="000000" w:themeColor="text1"/>
        </w:rPr>
      </w:pPr>
    </w:p>
    <w:p>
      <w:pPr>
        <w:pStyle w:val="4"/>
        <w:keepNext w:val="0"/>
        <w:keepLines w:val="0"/>
        <w:ind w:firstLine="562"/>
      </w:pPr>
      <w:bookmarkStart w:id="2988" w:name="_Toc32396"/>
      <w:bookmarkStart w:id="2989" w:name="_Toc3787_WPSOffice_Level2"/>
      <w:bookmarkStart w:id="2990" w:name="_Toc128056550"/>
      <w:bookmarkStart w:id="2991" w:name="_Toc22334"/>
      <w:bookmarkStart w:id="2992" w:name="_Toc62740983"/>
      <w:bookmarkStart w:id="2993" w:name="_Toc317766303"/>
      <w:bookmarkStart w:id="2994" w:name="_Toc30054"/>
      <w:bookmarkStart w:id="2995" w:name="_Toc21961"/>
      <w:bookmarkStart w:id="2996" w:name="_Toc13891_WPSOffice_Level2"/>
      <w:bookmarkStart w:id="2997" w:name="_Toc7095"/>
      <w:bookmarkStart w:id="2998" w:name="_Toc29677"/>
      <w:bookmarkStart w:id="2999" w:name="_Toc24056"/>
      <w:bookmarkStart w:id="3000" w:name="_Toc24583"/>
      <w:bookmarkStart w:id="3001" w:name="_Toc13647"/>
      <w:bookmarkStart w:id="3002" w:name="_Toc28093"/>
      <w:bookmarkStart w:id="3003" w:name="_Toc10940"/>
      <w:bookmarkStart w:id="3004" w:name="_Toc21149"/>
      <w:bookmarkStart w:id="3005" w:name="_Toc257"/>
      <w:bookmarkStart w:id="3006" w:name="_Toc6109"/>
      <w:bookmarkStart w:id="3007" w:name="_Toc12126"/>
      <w:bookmarkStart w:id="3008" w:name="_Toc14570"/>
      <w:bookmarkStart w:id="3009" w:name="_Toc2752"/>
      <w:bookmarkStart w:id="3010" w:name="_Toc24482"/>
      <w:bookmarkStart w:id="3011" w:name="_Toc3610"/>
      <w:bookmarkStart w:id="3012" w:name="_Toc14373"/>
      <w:bookmarkStart w:id="3013" w:name="_Toc28973"/>
      <w:bookmarkStart w:id="3014" w:name="_Toc32231"/>
      <w:bookmarkStart w:id="3015" w:name="_Toc8955"/>
      <w:bookmarkStart w:id="3016" w:name="_Toc20375"/>
      <w:r>
        <w:rPr>
          <w:rFonts w:hint="eastAsia"/>
          <w:color w:val="000000" w:themeColor="text1"/>
        </w:rPr>
        <w:t>5.1</w:t>
      </w:r>
      <w:bookmarkEnd w:id="2988"/>
      <w:bookmarkEnd w:id="2989"/>
      <w:bookmarkEnd w:id="2990"/>
      <w:bookmarkEnd w:id="2991"/>
      <w:bookmarkEnd w:id="2992"/>
      <w:bookmarkEnd w:id="2993"/>
      <w:bookmarkEnd w:id="2994"/>
      <w:bookmarkEnd w:id="2995"/>
      <w:bookmarkEnd w:id="2996"/>
      <w:bookmarkEnd w:id="2997"/>
      <w:bookmarkStart w:id="3017" w:name="_Toc339727423"/>
      <w:bookmarkStart w:id="3018" w:name="_Toc325135703"/>
      <w:bookmarkStart w:id="3019" w:name="_Toc316585028"/>
      <w:bookmarkStart w:id="3020" w:name="_Toc424062630"/>
      <w:bookmarkStart w:id="3021" w:name="_Toc413331908"/>
      <w:bookmarkStart w:id="3022" w:name="_Toc338949231"/>
      <w:bookmarkStart w:id="3023" w:name="_Toc392234465"/>
      <w:bookmarkStart w:id="3024" w:name="_Toc316585290"/>
      <w:bookmarkStart w:id="3025" w:name="_Toc314084032"/>
      <w:bookmarkStart w:id="3026" w:name="_Toc24191"/>
      <w:bookmarkStart w:id="3027" w:name="_Toc342479341"/>
      <w:bookmarkStart w:id="3028" w:name="_Toc14704"/>
      <w:bookmarkStart w:id="3029" w:name="_Toc30275"/>
      <w:bookmarkStart w:id="3030" w:name="_Toc128056551"/>
      <w:bookmarkStart w:id="3031" w:name="_Toc6060"/>
      <w:bookmarkStart w:id="3032" w:name="_Toc81"/>
      <w:r>
        <w:rPr>
          <w:rFonts w:hint="eastAsia"/>
          <w:color w:val="000000" w:themeColor="text1"/>
        </w:rPr>
        <w:t xml:space="preserve"> </w:t>
      </w:r>
      <w:r>
        <w:rPr>
          <w:rFonts w:hint="eastAsia"/>
        </w:rPr>
        <w:t>法律</w:t>
      </w:r>
      <w:bookmarkEnd w:id="3017"/>
      <w:bookmarkEnd w:id="3018"/>
      <w:bookmarkEnd w:id="3019"/>
      <w:bookmarkEnd w:id="3020"/>
      <w:bookmarkEnd w:id="3021"/>
      <w:bookmarkEnd w:id="3022"/>
      <w:bookmarkEnd w:id="3023"/>
      <w:bookmarkEnd w:id="3024"/>
      <w:bookmarkEnd w:id="3025"/>
      <w:bookmarkEnd w:id="3026"/>
      <w:bookmarkEnd w:id="3027"/>
      <w:bookmarkStart w:id="3033" w:name="_Toc295810566"/>
      <w:bookmarkStart w:id="3034" w:name="_Toc510448386"/>
      <w:bookmarkStart w:id="3035" w:name="_Toc525367176"/>
      <w:bookmarkStart w:id="3036" w:name="_Toc171873134"/>
      <w:bookmarkStart w:id="3037" w:name="_Toc200880692"/>
      <w:r>
        <w:rPr>
          <w:rFonts w:hint="eastAsia"/>
        </w:rPr>
        <w:t>、法规</w:t>
      </w:r>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28"/>
      <w:bookmarkEnd w:id="3029"/>
      <w:bookmarkEnd w:id="3030"/>
      <w:bookmarkEnd w:id="3031"/>
      <w:bookmarkEnd w:id="3032"/>
      <w:bookmarkEnd w:id="3033"/>
      <w:bookmarkEnd w:id="3034"/>
      <w:bookmarkEnd w:id="3035"/>
      <w:bookmarkEnd w:id="3036"/>
      <w:bookmarkEnd w:id="3037"/>
    </w:p>
    <w:p>
      <w:pPr>
        <w:tabs>
          <w:tab w:val="left" w:pos="851"/>
        </w:tabs>
        <w:ind w:firstLine="560"/>
        <w:rPr>
          <w:rFonts w:ascii="宋体" w:hAnsi="宋体" w:cs="宋体"/>
          <w:color w:val="000000" w:themeColor="text1"/>
        </w:rPr>
      </w:pPr>
      <w:bookmarkStart w:id="3038" w:name="_Toc295810567"/>
      <w:bookmarkStart w:id="3039" w:name="_Toc525367177"/>
      <w:bookmarkStart w:id="3040" w:name="_Toc128056552"/>
      <w:bookmarkStart w:id="3041" w:name="_Toc510448387"/>
      <w:bookmarkStart w:id="3042" w:name="_Toc171873135"/>
      <w:bookmarkStart w:id="3043" w:name="_Toc200880693"/>
      <w:r>
        <w:rPr>
          <w:rFonts w:hint="eastAsia" w:ascii="宋体" w:hAnsi="宋体" w:cs="宋体"/>
        </w:rPr>
        <w:t>1）</w:t>
      </w:r>
      <w:r>
        <w:rPr>
          <w:rFonts w:hint="eastAsia" w:ascii="宋体" w:hAnsi="宋体" w:cs="宋体"/>
          <w:color w:val="000000" w:themeColor="text1"/>
        </w:rPr>
        <w:t>《中华人民共和国安全生产法》（中华人民共和国主席令第88号，2021年9月1日起实施）；</w:t>
      </w:r>
    </w:p>
    <w:p>
      <w:pPr>
        <w:tabs>
          <w:tab w:val="left" w:pos="851"/>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《中华人民共和国消防法》（中华人民共和国主席令第81号，2021年4月29日起施行）；</w:t>
      </w:r>
    </w:p>
    <w:p>
      <w:pPr>
        <w:tabs>
          <w:tab w:val="left" w:pos="851"/>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《中华人民共和国职业病防治法》（中华人民共和国主席令第24号，2018年12月29日起施行）；</w:t>
      </w:r>
    </w:p>
    <w:p>
      <w:pPr>
        <w:tabs>
          <w:tab w:val="left" w:pos="851"/>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《中华人民共和国气象法》（中华人民共和国主席令第57号，2016年11月07日起施行）；</w:t>
      </w:r>
    </w:p>
    <w:p>
      <w:pPr>
        <w:tabs>
          <w:tab w:val="left" w:pos="851"/>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《中华人民共和国劳动法》（中华人民共和国主席令第24号，2018年12月29日起施行）；</w:t>
      </w:r>
    </w:p>
    <w:p>
      <w:pPr>
        <w:tabs>
          <w:tab w:val="left" w:pos="851"/>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《中华人民共和国劳动合同法》（中华人民共和国主席令第65号，2013年7月1日施行）；</w:t>
      </w:r>
    </w:p>
    <w:p>
      <w:pPr>
        <w:tabs>
          <w:tab w:val="left" w:pos="851"/>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《中华人民共和国突发事件应对法》（中华人民共和国主席令第69号，2007年11月1日施行）；</w:t>
      </w:r>
    </w:p>
    <w:p>
      <w:pPr>
        <w:tabs>
          <w:tab w:val="left" w:pos="851"/>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《中华人民共和国环境保护法》（中华人民共和国主席令第9号，2015年1月1日施行）；</w:t>
      </w:r>
    </w:p>
    <w:p>
      <w:pPr>
        <w:tabs>
          <w:tab w:val="left" w:pos="851"/>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《中华人民共和国特种设备安全法》（中华人民共和国主席令第4号，2014年1月1日施行）；</w:t>
      </w:r>
    </w:p>
    <w:p>
      <w:pPr>
        <w:tabs>
          <w:tab w:val="left" w:pos="851"/>
        </w:tabs>
        <w:ind w:firstLine="560"/>
        <w:rPr>
          <w:rFonts w:ascii="宋体" w:hAnsi="宋体" w:cs="宋体"/>
          <w:color w:val="000000" w:themeColor="text1"/>
        </w:rPr>
      </w:pPr>
      <w:r>
        <w:rPr>
          <w:rFonts w:hint="eastAsia" w:ascii="宋体" w:hAnsi="宋体" w:cs="宋体"/>
        </w:rPr>
        <w:t>10）</w:t>
      </w:r>
      <w:r>
        <w:rPr>
          <w:rFonts w:hint="eastAsia" w:ascii="宋体" w:hAnsi="宋体" w:cs="宋体"/>
          <w:color w:val="000000" w:themeColor="text1"/>
        </w:rPr>
        <w:t>《中华人民共和国反恐怖主义法》（中华人民共和国主席令第36号，2016年1月1日起施行）；</w:t>
      </w:r>
    </w:p>
    <w:p>
      <w:pPr>
        <w:tabs>
          <w:tab w:val="left" w:pos="851"/>
        </w:tabs>
        <w:ind w:firstLine="560"/>
        <w:rPr>
          <w:rFonts w:ascii="宋体" w:hAnsi="宋体" w:cs="宋体"/>
          <w:color w:val="000000" w:themeColor="text1"/>
        </w:rPr>
      </w:pPr>
      <w:r>
        <w:rPr>
          <w:rFonts w:hint="eastAsia" w:ascii="宋体" w:hAnsi="宋体" w:cs="宋体"/>
        </w:rPr>
        <w:t>11）</w:t>
      </w:r>
      <w:r>
        <w:rPr>
          <w:rFonts w:hint="eastAsia" w:ascii="宋体" w:hAnsi="宋体" w:cs="宋体"/>
          <w:color w:val="000000" w:themeColor="text1"/>
        </w:rPr>
        <w:t>《危险化学品安全管理条例》（国务院令第344号公布，第591号第一次修正，第645号第二次修正）；</w:t>
      </w:r>
    </w:p>
    <w:p>
      <w:pPr>
        <w:tabs>
          <w:tab w:val="left" w:pos="851"/>
        </w:tabs>
        <w:ind w:firstLine="560"/>
        <w:rPr>
          <w:rFonts w:ascii="宋体" w:hAnsi="宋体" w:cs="宋体"/>
          <w:color w:val="000000" w:themeColor="text1"/>
        </w:rPr>
      </w:pPr>
      <w:r>
        <w:rPr>
          <w:rFonts w:hint="eastAsia" w:ascii="宋体" w:hAnsi="宋体" w:cs="宋体"/>
        </w:rPr>
        <w:t>12）</w:t>
      </w:r>
      <w:r>
        <w:rPr>
          <w:rFonts w:hint="eastAsia" w:ascii="宋体" w:hAnsi="宋体" w:cs="宋体"/>
          <w:color w:val="000000" w:themeColor="text1"/>
        </w:rPr>
        <w:t>《工伤保险条例》（中华人民共和国国务院令第586号，2011年1月1日施行）；</w:t>
      </w:r>
    </w:p>
    <w:p>
      <w:pPr>
        <w:tabs>
          <w:tab w:val="left" w:pos="851"/>
        </w:tabs>
        <w:ind w:firstLine="560"/>
        <w:rPr>
          <w:rFonts w:ascii="宋体" w:hAnsi="宋体" w:cs="宋体"/>
          <w:color w:val="000000" w:themeColor="text1"/>
        </w:rPr>
      </w:pPr>
      <w:r>
        <w:rPr>
          <w:rFonts w:hint="eastAsia" w:ascii="宋体" w:hAnsi="宋体" w:cs="宋体"/>
        </w:rPr>
        <w:t>13）</w:t>
      </w:r>
      <w:r>
        <w:rPr>
          <w:rFonts w:hint="eastAsia" w:ascii="宋体" w:hAnsi="宋体" w:cs="宋体"/>
          <w:color w:val="000000" w:themeColor="text1"/>
        </w:rPr>
        <w:t>《生产安全事故报告和调查处理条例》（中华人民共和国国务院令第493号，2007年6月1日起施行）；</w:t>
      </w:r>
    </w:p>
    <w:p>
      <w:pPr>
        <w:tabs>
          <w:tab w:val="left" w:pos="851"/>
        </w:tabs>
        <w:ind w:firstLine="560"/>
        <w:rPr>
          <w:rFonts w:ascii="宋体" w:hAnsi="宋体" w:cs="宋体"/>
          <w:color w:val="000000" w:themeColor="text1"/>
        </w:rPr>
      </w:pPr>
      <w:r>
        <w:rPr>
          <w:rFonts w:hint="eastAsia" w:ascii="宋体" w:hAnsi="宋体" w:cs="宋体"/>
        </w:rPr>
        <w:t>14）</w:t>
      </w:r>
      <w:r>
        <w:rPr>
          <w:rFonts w:hint="eastAsia" w:ascii="宋体" w:hAnsi="宋体" w:cs="宋体"/>
          <w:color w:val="000000" w:themeColor="text1"/>
        </w:rPr>
        <w:t>《中华人民共和国监控化学品管理条例》（中华人民共和国国务院令第190号，根据2011年1月8日《国务院关于废止和修改部分行政法规的决定》修订）；</w:t>
      </w:r>
    </w:p>
    <w:p>
      <w:pPr>
        <w:tabs>
          <w:tab w:val="left" w:pos="851"/>
        </w:tabs>
        <w:ind w:firstLine="560"/>
        <w:rPr>
          <w:rFonts w:ascii="宋体" w:hAnsi="宋体" w:cs="宋体"/>
          <w:color w:val="000000" w:themeColor="text1"/>
        </w:rPr>
      </w:pPr>
      <w:r>
        <w:rPr>
          <w:rFonts w:hint="eastAsia" w:ascii="宋体" w:hAnsi="宋体" w:cs="宋体"/>
        </w:rPr>
        <w:t>15）</w:t>
      </w:r>
      <w:r>
        <w:rPr>
          <w:rFonts w:hint="eastAsia" w:ascii="宋体" w:hAnsi="宋体" w:cs="宋体"/>
          <w:color w:val="000000" w:themeColor="text1"/>
        </w:rPr>
        <w:t>《易制毒化学品管理条例》（中华人民共和国国务院令第445号，根据中华人民共和国国务院令第653号、第666号修订）；</w:t>
      </w:r>
    </w:p>
    <w:p>
      <w:pPr>
        <w:tabs>
          <w:tab w:val="left" w:pos="851"/>
        </w:tabs>
        <w:ind w:firstLine="560"/>
        <w:rPr>
          <w:rFonts w:ascii="宋体" w:hAnsi="宋体" w:cs="宋体"/>
          <w:color w:val="000000" w:themeColor="text1"/>
        </w:rPr>
      </w:pPr>
      <w:r>
        <w:rPr>
          <w:rFonts w:hint="eastAsia" w:ascii="宋体" w:hAnsi="宋体" w:cs="宋体"/>
        </w:rPr>
        <w:t>16）</w:t>
      </w:r>
      <w:r>
        <w:rPr>
          <w:rFonts w:hint="eastAsia" w:ascii="宋体" w:hAnsi="宋体" w:cs="宋体"/>
          <w:color w:val="000000" w:themeColor="text1"/>
        </w:rPr>
        <w:t>《使用有毒物品作业场所劳动保护条例》（中华人民共和国国务院令第352号，2002年5月12日施行）；</w:t>
      </w:r>
    </w:p>
    <w:p>
      <w:pPr>
        <w:tabs>
          <w:tab w:val="left" w:pos="851"/>
        </w:tabs>
        <w:ind w:firstLine="560"/>
        <w:rPr>
          <w:rFonts w:ascii="宋体" w:hAnsi="宋体" w:cs="宋体"/>
          <w:color w:val="000000" w:themeColor="text1"/>
        </w:rPr>
      </w:pPr>
      <w:r>
        <w:rPr>
          <w:rFonts w:hint="eastAsia" w:ascii="宋体" w:hAnsi="宋体" w:cs="宋体"/>
        </w:rPr>
        <w:t>17）</w:t>
      </w:r>
      <w:r>
        <w:rPr>
          <w:rFonts w:hint="eastAsia" w:ascii="宋体" w:hAnsi="宋体" w:cs="宋体"/>
          <w:color w:val="000000" w:themeColor="text1"/>
        </w:rPr>
        <w:t>《国务院关于进一步加强企业安全生产工作的通知》（国发[2010]23号）；</w:t>
      </w:r>
    </w:p>
    <w:p>
      <w:pPr>
        <w:tabs>
          <w:tab w:val="left" w:pos="851"/>
        </w:tabs>
        <w:ind w:firstLine="560"/>
        <w:rPr>
          <w:rFonts w:ascii="宋体" w:hAnsi="宋体" w:cs="宋体"/>
          <w:color w:val="000000" w:themeColor="text1"/>
        </w:rPr>
      </w:pPr>
      <w:r>
        <w:rPr>
          <w:rFonts w:hint="eastAsia" w:ascii="宋体" w:hAnsi="宋体" w:cs="宋体"/>
        </w:rPr>
        <w:t>18）</w:t>
      </w:r>
      <w:r>
        <w:rPr>
          <w:rFonts w:hint="eastAsia" w:ascii="宋体" w:hAnsi="宋体" w:cs="宋体"/>
          <w:color w:val="000000" w:themeColor="text1"/>
        </w:rPr>
        <w:t>《生产安全事故应急条例》（中华人民共和国国务院第708号令，2019年4月1日施行）；</w:t>
      </w:r>
    </w:p>
    <w:p>
      <w:pPr>
        <w:tabs>
          <w:tab w:val="left" w:pos="851"/>
        </w:tabs>
        <w:ind w:firstLine="560"/>
        <w:rPr>
          <w:rFonts w:ascii="宋体" w:hAnsi="宋体" w:cs="宋体"/>
          <w:color w:val="000000" w:themeColor="text1"/>
        </w:rPr>
      </w:pPr>
      <w:r>
        <w:rPr>
          <w:rFonts w:hint="eastAsia" w:ascii="宋体" w:hAnsi="宋体" w:cs="宋体"/>
        </w:rPr>
        <w:t>19）</w:t>
      </w:r>
      <w:r>
        <w:rPr>
          <w:rFonts w:hint="eastAsia" w:ascii="宋体" w:hAnsi="宋体" w:cs="宋体"/>
          <w:color w:val="000000" w:themeColor="text1"/>
        </w:rPr>
        <w:t>《特种设备安全监察条例》（中华人民共和国国务院令第373号，2009年1月14日国务院第46次常务会议通过，自2009年5月1日起施行）；</w:t>
      </w:r>
    </w:p>
    <w:p>
      <w:pPr>
        <w:tabs>
          <w:tab w:val="left" w:pos="851"/>
        </w:tabs>
        <w:ind w:firstLine="560"/>
        <w:rPr>
          <w:rFonts w:ascii="宋体" w:hAnsi="宋体" w:cs="宋体"/>
          <w:color w:val="000000" w:themeColor="text1"/>
        </w:rPr>
      </w:pPr>
      <w:r>
        <w:rPr>
          <w:rFonts w:hint="eastAsia" w:ascii="宋体" w:hAnsi="宋体" w:cs="宋体"/>
        </w:rPr>
        <w:t>20）</w:t>
      </w:r>
      <w:r>
        <w:rPr>
          <w:rFonts w:hint="eastAsia" w:ascii="宋体" w:hAnsi="宋体" w:cs="宋体"/>
          <w:color w:val="000000" w:themeColor="text1"/>
        </w:rPr>
        <w:t>《安全生产许可证条例》（2004年1月13日中华人民共和国国务院令第397号公布，自公布之日起施行。根据2013年7月18日《国务院关于废止和修改部分行政法规的决定》第一次修订。根据2014年7月29日《国务院关于修改部分行政法规的决定》第二次修订）。</w:t>
      </w:r>
    </w:p>
    <w:p>
      <w:pPr>
        <w:pStyle w:val="4"/>
        <w:ind w:firstLine="562"/>
      </w:pPr>
      <w:bookmarkStart w:id="3044" w:name="_Toc20766"/>
      <w:bookmarkStart w:id="3045" w:name="_Toc27860"/>
      <w:bookmarkStart w:id="3046" w:name="_Toc18690"/>
      <w:bookmarkStart w:id="3047" w:name="_Toc20358"/>
      <w:bookmarkStart w:id="3048" w:name="_Toc1290"/>
      <w:bookmarkStart w:id="3049" w:name="_Toc6021"/>
      <w:bookmarkStart w:id="3050" w:name="_Toc412"/>
      <w:bookmarkStart w:id="3051" w:name="_Toc17404"/>
      <w:bookmarkStart w:id="3052" w:name="_Toc31987"/>
      <w:bookmarkStart w:id="3053" w:name="_Toc24530"/>
      <w:bookmarkStart w:id="3054" w:name="_Toc1251"/>
      <w:bookmarkStart w:id="3055" w:name="_Toc32732"/>
      <w:bookmarkStart w:id="3056" w:name="_Toc3548"/>
      <w:bookmarkStart w:id="3057" w:name="_Toc5838"/>
      <w:bookmarkStart w:id="3058" w:name="_Toc22527"/>
      <w:bookmarkStart w:id="3059" w:name="_Toc2476"/>
      <w:bookmarkStart w:id="3060" w:name="_Toc6714"/>
      <w:bookmarkStart w:id="3061" w:name="_Toc16448"/>
      <w:bookmarkStart w:id="3062" w:name="_Toc9115"/>
      <w:bookmarkStart w:id="3063" w:name="_Toc32171"/>
      <w:bookmarkStart w:id="3064" w:name="_Toc4688"/>
      <w:bookmarkStart w:id="3065" w:name="_Toc9180"/>
      <w:bookmarkStart w:id="3066" w:name="_Toc3687"/>
      <w:r>
        <w:rPr>
          <w:rFonts w:hint="eastAsia"/>
        </w:rPr>
        <w:t>5.2 部门规章</w:t>
      </w:r>
      <w:bookmarkEnd w:id="3038"/>
      <w:r>
        <w:rPr>
          <w:rFonts w:hint="eastAsia"/>
        </w:rPr>
        <w:t>及规范性文件</w:t>
      </w:r>
      <w:bookmarkEnd w:id="3039"/>
      <w:bookmarkEnd w:id="3040"/>
      <w:bookmarkEnd w:id="3041"/>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p>
    <w:p>
      <w:pPr>
        <w:tabs>
          <w:tab w:val="left" w:pos="0"/>
        </w:tabs>
        <w:ind w:firstLine="560"/>
        <w:rPr>
          <w:rFonts w:ascii="宋体" w:hAnsi="宋体" w:cs="宋体"/>
          <w:color w:val="000000" w:themeColor="text1"/>
        </w:rPr>
      </w:pPr>
      <w:bookmarkStart w:id="3067" w:name="_Toc295810568"/>
      <w:r>
        <w:rPr>
          <w:rFonts w:hint="eastAsia" w:ascii="宋体" w:hAnsi="宋体" w:cs="宋体"/>
        </w:rPr>
        <w:t>1）</w:t>
      </w:r>
      <w:r>
        <w:rPr>
          <w:rFonts w:hint="eastAsia" w:ascii="宋体" w:hAnsi="宋体" w:cs="宋体"/>
          <w:color w:val="000000" w:themeColor="text1"/>
        </w:rPr>
        <w:t>《危险化学品生产企业安全生产许可证实施办法》（国家安全生产监督管理总局令第41号，第79号第一次修正，第89号第二次修正）；</w:t>
      </w:r>
    </w:p>
    <w:p>
      <w:pPr>
        <w:tabs>
          <w:tab w:val="left" w:pos="0"/>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《生产经营单位安全培训规定》（国家安全生产监督管理总局令第3号，2006年3月1日施行。国家安全生产监督管理总局令第63号和第80号令修改）；</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《生产安全事故应急预案管理办法》（国家安全生产监督管理总局令第88号，根据2019年7月11日《应急管理部关于修改&lt;生产安全事故应急预案管理办法&gt;的决定》修正，2019年9月1日施行）；</w:t>
      </w:r>
    </w:p>
    <w:p>
      <w:pPr>
        <w:tabs>
          <w:tab w:val="left" w:pos="0"/>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《特种作业人员安全技术培训考核管理规定》（国家安全生产监督管理总局令第30号，2010年7月1日施行，国家安全生产监督管理总局令第80号修改）；</w:t>
      </w:r>
    </w:p>
    <w:p>
      <w:pPr>
        <w:tabs>
          <w:tab w:val="left" w:pos="0"/>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《危险化学品重大危险源监督管理暂行规定》（国家安全生产监督管理总局令第40号，2011年12月1日施行，国家安全生产监督管理总局令第79号修改）；</w:t>
      </w:r>
    </w:p>
    <w:p>
      <w:pPr>
        <w:tabs>
          <w:tab w:val="left" w:pos="0"/>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《安全生产培训管理办法》（国家安全生产监督管理总局令第44号，2012年3月1日施行，国家安全生产监督管理总局令第63号和第80号令修改）；</w:t>
      </w:r>
    </w:p>
    <w:p>
      <w:pPr>
        <w:tabs>
          <w:tab w:val="left" w:pos="0"/>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《危险化学品目录》（2022调整版）（应急管理部等10部门公告2022年第8号）；</w:t>
      </w:r>
    </w:p>
    <w:p>
      <w:pPr>
        <w:tabs>
          <w:tab w:val="left" w:pos="0"/>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《国家安全监管总局关于公布首批重点监管的危险化学品名录的通知》（安监总管三[2011]95号，2011年6月21日）；</w:t>
      </w:r>
    </w:p>
    <w:p>
      <w:pPr>
        <w:tabs>
          <w:tab w:val="left" w:pos="0"/>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《国家安全监管总局办公厅关于印发首批重点监管的危险化学品安全措施和应急处置原则的通知》（安监总厅管三[2011]142号，2011年7月1日）；</w:t>
      </w:r>
    </w:p>
    <w:p>
      <w:pPr>
        <w:tabs>
          <w:tab w:val="left" w:pos="0"/>
        </w:tabs>
        <w:ind w:firstLine="560"/>
        <w:rPr>
          <w:rFonts w:ascii="宋体" w:hAnsi="宋体" w:cs="宋体"/>
          <w:color w:val="000000" w:themeColor="text1"/>
        </w:rPr>
      </w:pPr>
      <w:r>
        <w:rPr>
          <w:rFonts w:hint="eastAsia" w:ascii="宋体" w:hAnsi="宋体" w:cs="宋体"/>
        </w:rPr>
        <w:t>10）</w:t>
      </w:r>
      <w:r>
        <w:rPr>
          <w:rFonts w:hint="eastAsia" w:ascii="宋体" w:hAnsi="宋体" w:cs="宋体"/>
          <w:color w:val="000000" w:themeColor="text1"/>
        </w:rPr>
        <w:t>《国家安全监管总局关于公布第二批重点监管危险化学品名录的通知》（安监总管三[2013]12号）；</w:t>
      </w:r>
    </w:p>
    <w:p>
      <w:pPr>
        <w:tabs>
          <w:tab w:val="left" w:pos="0"/>
        </w:tabs>
        <w:ind w:firstLine="560"/>
        <w:rPr>
          <w:rFonts w:ascii="宋体" w:hAnsi="宋体" w:cs="宋体"/>
          <w:color w:val="000000" w:themeColor="text1"/>
        </w:rPr>
      </w:pPr>
      <w:r>
        <w:rPr>
          <w:rFonts w:hint="eastAsia" w:ascii="宋体" w:hAnsi="宋体" w:cs="宋体"/>
        </w:rPr>
        <w:t>11）</w:t>
      </w:r>
      <w:r>
        <w:rPr>
          <w:rFonts w:hint="eastAsia" w:ascii="宋体" w:hAnsi="宋体" w:cs="宋体"/>
          <w:color w:val="000000" w:themeColor="text1"/>
        </w:rPr>
        <w:t>《易制爆危险化学品名录》（2017年版）（中华人民共和国公安部，2017年05月11日实施）；</w:t>
      </w:r>
    </w:p>
    <w:p>
      <w:pPr>
        <w:tabs>
          <w:tab w:val="left" w:pos="0"/>
        </w:tabs>
        <w:ind w:firstLine="560"/>
        <w:rPr>
          <w:rFonts w:ascii="宋体" w:hAnsi="宋体" w:cs="宋体"/>
          <w:color w:val="000000" w:themeColor="text1"/>
        </w:rPr>
      </w:pPr>
      <w:r>
        <w:rPr>
          <w:rFonts w:hint="eastAsia" w:ascii="宋体" w:hAnsi="宋体" w:cs="宋体"/>
        </w:rPr>
        <w:t>12）</w:t>
      </w:r>
      <w:r>
        <w:rPr>
          <w:rFonts w:hint="eastAsia" w:ascii="宋体" w:hAnsi="宋体" w:cs="宋体"/>
          <w:color w:val="000000" w:themeColor="text1"/>
        </w:rPr>
        <w:t>《建设工程消防设计审查验收管理暂行规定》（中华人民共和国住房和城乡建设部令（第51号））；</w:t>
      </w:r>
    </w:p>
    <w:p>
      <w:pPr>
        <w:tabs>
          <w:tab w:val="left" w:pos="0"/>
        </w:tabs>
        <w:ind w:firstLine="560"/>
        <w:rPr>
          <w:rFonts w:ascii="宋体" w:hAnsi="宋体" w:cs="宋体"/>
          <w:color w:val="000000" w:themeColor="text1"/>
        </w:rPr>
      </w:pPr>
      <w:r>
        <w:rPr>
          <w:rFonts w:hint="eastAsia" w:ascii="宋体" w:hAnsi="宋体" w:cs="宋体"/>
        </w:rPr>
        <w:t>13）</w:t>
      </w:r>
      <w:r>
        <w:rPr>
          <w:rFonts w:hint="eastAsia" w:ascii="宋体" w:hAnsi="宋体" w:cs="宋体"/>
          <w:color w:val="000000" w:themeColor="text1"/>
        </w:rPr>
        <w:t>《化工和危险化学品生产经营单位重大生产安全事故隐患判定标准（试行）》（安监总管三[2017]121号）；</w:t>
      </w:r>
    </w:p>
    <w:p>
      <w:pPr>
        <w:tabs>
          <w:tab w:val="left" w:pos="0"/>
        </w:tabs>
        <w:ind w:firstLine="560"/>
        <w:rPr>
          <w:rFonts w:ascii="宋体" w:hAnsi="宋体" w:cs="宋体"/>
          <w:color w:val="000000" w:themeColor="text1"/>
        </w:rPr>
      </w:pPr>
      <w:r>
        <w:rPr>
          <w:rFonts w:hint="eastAsia" w:ascii="宋体" w:hAnsi="宋体" w:cs="宋体"/>
        </w:rPr>
        <w:t>14）</w:t>
      </w:r>
      <w:r>
        <w:rPr>
          <w:rFonts w:hint="eastAsia" w:ascii="宋体" w:hAnsi="宋体" w:cs="宋体"/>
          <w:color w:val="000000" w:themeColor="text1"/>
        </w:rPr>
        <w:t>《关于印发&lt;企业安全生产费用提取和使用管理办法&gt;的通知》（财资[2022]136号，2022年11月21日）；</w:t>
      </w:r>
    </w:p>
    <w:p>
      <w:pPr>
        <w:tabs>
          <w:tab w:val="left" w:pos="0"/>
        </w:tabs>
        <w:ind w:firstLine="560"/>
        <w:rPr>
          <w:rFonts w:ascii="宋体" w:hAnsi="宋体" w:cs="宋体"/>
          <w:color w:val="000000" w:themeColor="text1"/>
        </w:rPr>
      </w:pPr>
      <w:r>
        <w:rPr>
          <w:rFonts w:hint="eastAsia" w:ascii="宋体" w:hAnsi="宋体" w:cs="宋体"/>
        </w:rPr>
        <w:t>15）</w:t>
      </w:r>
      <w:r>
        <w:rPr>
          <w:rFonts w:hint="eastAsia" w:ascii="宋体" w:hAnsi="宋体" w:cs="宋体"/>
          <w:color w:val="000000" w:themeColor="text1"/>
        </w:rPr>
        <w:t>《国家安全监管总局办公厅关于印发用人单位劳动防护用品管理规范的通知》（安监总厅安健[2018]3号）；</w:t>
      </w:r>
    </w:p>
    <w:p>
      <w:pPr>
        <w:tabs>
          <w:tab w:val="left" w:pos="0"/>
        </w:tabs>
        <w:ind w:firstLine="560"/>
        <w:rPr>
          <w:rFonts w:ascii="宋体" w:hAnsi="宋体" w:cs="宋体"/>
          <w:color w:val="000000" w:themeColor="text1"/>
        </w:rPr>
      </w:pPr>
      <w:r>
        <w:rPr>
          <w:rFonts w:hint="eastAsia" w:ascii="宋体" w:hAnsi="宋体" w:cs="宋体"/>
        </w:rPr>
        <w:t>16）</w:t>
      </w:r>
      <w:r>
        <w:rPr>
          <w:rFonts w:hint="eastAsia" w:ascii="宋体" w:hAnsi="宋体" w:cs="宋体"/>
          <w:color w:val="000000" w:themeColor="text1"/>
        </w:rPr>
        <w:t>《特别管控危险化学品目录》（2020年5月30日，应急管理部、工业和信息化部、公安部、交通运输部第3号公告）；</w:t>
      </w:r>
    </w:p>
    <w:p>
      <w:pPr>
        <w:tabs>
          <w:tab w:val="left" w:pos="0"/>
        </w:tabs>
        <w:ind w:firstLine="560"/>
        <w:rPr>
          <w:rFonts w:ascii="宋体" w:hAnsi="宋体" w:cs="宋体"/>
          <w:color w:val="000000" w:themeColor="text1"/>
        </w:rPr>
      </w:pPr>
      <w:r>
        <w:rPr>
          <w:rFonts w:hint="eastAsia" w:ascii="宋体" w:hAnsi="宋体" w:cs="宋体"/>
        </w:rPr>
        <w:t>17）</w:t>
      </w:r>
      <w:r>
        <w:rPr>
          <w:rFonts w:hint="eastAsia" w:ascii="宋体" w:hAnsi="宋体" w:cs="宋体"/>
          <w:color w:val="000000" w:themeColor="text1"/>
        </w:rPr>
        <w:t>《特种设备安全监督检查办法》（国家市场监督管理总局令第57号，</w:t>
      </w:r>
      <w:r>
        <w:rPr>
          <w:rFonts w:hint="eastAsia" w:ascii="宋体" w:hAnsi="宋体" w:cs="宋体"/>
          <w:color w:val="000000" w:themeColor="text1"/>
          <w:shd w:val="clear" w:color="auto" w:fill="FFFFFF"/>
        </w:rPr>
        <w:t>2022年5月10日市场监管总局第8次局务会议通过，2022年5月26日公布，自2022年7月1日起施行。</w:t>
      </w:r>
      <w:r>
        <w:rPr>
          <w:rFonts w:hint="eastAsia" w:ascii="宋体" w:hAnsi="宋体" w:cs="宋体"/>
          <w:color w:val="000000" w:themeColor="text1"/>
        </w:rPr>
        <w:t>）；</w:t>
      </w:r>
    </w:p>
    <w:p>
      <w:pPr>
        <w:tabs>
          <w:tab w:val="left" w:pos="0"/>
        </w:tabs>
        <w:ind w:firstLine="560"/>
        <w:rPr>
          <w:rFonts w:ascii="宋体" w:hAnsi="宋体" w:cs="宋体"/>
          <w:color w:val="000000" w:themeColor="text1"/>
        </w:rPr>
      </w:pPr>
      <w:r>
        <w:rPr>
          <w:rFonts w:hint="eastAsia" w:ascii="宋体" w:hAnsi="宋体" w:cs="宋体"/>
        </w:rPr>
        <w:t>18）</w:t>
      </w:r>
      <w:r>
        <w:rPr>
          <w:rFonts w:hint="eastAsia" w:ascii="宋体" w:hAnsi="宋体" w:cs="宋体"/>
          <w:color w:val="000000" w:themeColor="text1"/>
        </w:rPr>
        <w:t>《危险化学品安全管理条例》（(2002年1月26日中华人民共和国国务院令第344号公布2011年2月16日国务院第144次常务会议修订通过根据2013年12月7日《国务院关于修改部分行政法规的决定》修订）；</w:t>
      </w:r>
    </w:p>
    <w:p>
      <w:pPr>
        <w:tabs>
          <w:tab w:val="left" w:pos="0"/>
        </w:tabs>
        <w:ind w:firstLine="560"/>
        <w:rPr>
          <w:rFonts w:ascii="宋体" w:hAnsi="宋体" w:cs="宋体"/>
          <w:color w:val="000000" w:themeColor="text1"/>
        </w:rPr>
      </w:pPr>
      <w:r>
        <w:rPr>
          <w:rFonts w:hint="eastAsia" w:ascii="宋体" w:hAnsi="宋体" w:cs="宋体"/>
        </w:rPr>
        <w:t>19）</w:t>
      </w:r>
      <w:r>
        <w:rPr>
          <w:rFonts w:hint="eastAsia" w:ascii="宋体" w:hAnsi="宋体" w:cs="宋体"/>
          <w:color w:val="000000" w:themeColor="text1"/>
        </w:rPr>
        <w:t>《特种作业人员安全技术培训考核管理规定》(2010年4月26日国家安全生产监督管理总局局长办公会议审议通过，2010年5月24日公布，自2010年7月1日起施行，国家安监总局令第63号修正)；</w:t>
      </w:r>
    </w:p>
    <w:p>
      <w:pPr>
        <w:tabs>
          <w:tab w:val="left" w:pos="0"/>
        </w:tabs>
        <w:ind w:firstLine="560"/>
        <w:rPr>
          <w:rFonts w:ascii="宋体" w:hAnsi="宋体" w:cs="宋体"/>
          <w:color w:val="000000" w:themeColor="text1"/>
        </w:rPr>
      </w:pPr>
      <w:r>
        <w:rPr>
          <w:rFonts w:hint="eastAsia" w:ascii="宋体" w:hAnsi="宋体" w:cs="宋体"/>
        </w:rPr>
        <w:t>20）</w:t>
      </w:r>
      <w:r>
        <w:rPr>
          <w:rFonts w:hint="eastAsia" w:ascii="宋体" w:hAnsi="宋体" w:cs="宋体"/>
          <w:color w:val="000000" w:themeColor="text1"/>
        </w:rPr>
        <w:t>《危险化学品登记管理办法》（2012年7月1日国家安全生产监督管理总局令第53号公布，自2012年8月1日起施行）；</w:t>
      </w:r>
    </w:p>
    <w:p>
      <w:pPr>
        <w:tabs>
          <w:tab w:val="left" w:pos="0"/>
        </w:tabs>
        <w:ind w:firstLine="560"/>
        <w:rPr>
          <w:rFonts w:ascii="宋体" w:hAnsi="宋体" w:cs="宋体"/>
          <w:color w:val="000000" w:themeColor="text1"/>
        </w:rPr>
      </w:pPr>
      <w:r>
        <w:rPr>
          <w:rFonts w:hint="eastAsia" w:ascii="宋体" w:hAnsi="宋体" w:cs="宋体"/>
        </w:rPr>
        <w:t>21）</w:t>
      </w:r>
      <w:r>
        <w:rPr>
          <w:rFonts w:hint="eastAsia" w:ascii="宋体" w:hAnsi="宋体" w:cs="宋体"/>
          <w:color w:val="000000" w:themeColor="text1"/>
        </w:rPr>
        <w:t>《国家安全监管总局关于公布首批重点监管的危险化工工艺目录的通知》（安监总管三[2009]116号）；</w:t>
      </w:r>
    </w:p>
    <w:p>
      <w:pPr>
        <w:tabs>
          <w:tab w:val="left" w:pos="0"/>
        </w:tabs>
        <w:ind w:firstLine="560"/>
        <w:rPr>
          <w:rFonts w:ascii="宋体" w:hAnsi="宋体" w:cs="宋体"/>
          <w:color w:val="000000" w:themeColor="text1"/>
        </w:rPr>
      </w:pPr>
      <w:r>
        <w:rPr>
          <w:rFonts w:hint="eastAsia" w:ascii="宋体" w:hAnsi="宋体" w:cs="宋体"/>
        </w:rPr>
        <w:t>22）</w:t>
      </w:r>
      <w:r>
        <w:rPr>
          <w:rFonts w:hint="eastAsia" w:ascii="宋体" w:hAnsi="宋体" w:cs="宋体"/>
          <w:color w:val="000000" w:themeColor="text1"/>
        </w:rPr>
        <w:t>《国家安全监管总局关于公布第二批重点监管危险化工工艺目录和调整首批重点监管危险化工工艺中部分典型工艺的通知》（安监总管三〔2013〕3号）；</w:t>
      </w:r>
    </w:p>
    <w:p>
      <w:pPr>
        <w:tabs>
          <w:tab w:val="left" w:pos="0"/>
        </w:tabs>
        <w:ind w:firstLine="560"/>
        <w:rPr>
          <w:rFonts w:ascii="宋体" w:hAnsi="宋体" w:cs="宋体"/>
          <w:color w:val="000000" w:themeColor="text1"/>
        </w:rPr>
      </w:pPr>
      <w:r>
        <w:rPr>
          <w:rFonts w:hint="eastAsia" w:ascii="宋体" w:hAnsi="宋体" w:cs="宋体"/>
        </w:rPr>
        <w:t>23）</w:t>
      </w:r>
      <w:r>
        <w:rPr>
          <w:rFonts w:hint="eastAsia" w:ascii="宋体" w:hAnsi="宋体" w:cs="宋体"/>
          <w:color w:val="000000" w:themeColor="text1"/>
        </w:rPr>
        <w:t>《淘汰落后危险化学品安全生产工艺技术设备目录（第一批）》（应急厅〔2020〕38号，2020年10月23日公布）；</w:t>
      </w:r>
    </w:p>
    <w:p>
      <w:pPr>
        <w:tabs>
          <w:tab w:val="left" w:pos="0"/>
        </w:tabs>
        <w:ind w:firstLine="560"/>
        <w:rPr>
          <w:rFonts w:ascii="宋体" w:hAnsi="宋体" w:cs="宋体"/>
          <w:color w:val="000000" w:themeColor="text1"/>
        </w:rPr>
      </w:pPr>
      <w:r>
        <w:rPr>
          <w:rFonts w:hint="eastAsia" w:ascii="宋体" w:hAnsi="宋体" w:cs="宋体"/>
        </w:rPr>
        <w:t>24）</w:t>
      </w:r>
      <w:r>
        <w:rPr>
          <w:rFonts w:hint="eastAsia" w:ascii="宋体" w:hAnsi="宋体" w:cs="宋体"/>
          <w:color w:val="000000" w:themeColor="text1"/>
        </w:rPr>
        <w:t>《特种设备作业人员监督管理办法》（2005年1月10日国家质量监督检验检疫总局令第70号公布，根据2011年5月3日国家质监总局令第140号《国家质量监督检验检疫总局关于修改＜特种设备作业人员监督管理办法＞的决定》修订）；</w:t>
      </w:r>
    </w:p>
    <w:p>
      <w:pPr>
        <w:tabs>
          <w:tab w:val="left" w:pos="0"/>
        </w:tabs>
        <w:ind w:firstLine="560"/>
        <w:rPr>
          <w:rFonts w:ascii="宋体" w:hAnsi="宋体" w:cs="宋体"/>
          <w:color w:val="000000" w:themeColor="text1"/>
        </w:rPr>
      </w:pPr>
      <w:r>
        <w:rPr>
          <w:rFonts w:hint="eastAsia" w:ascii="宋体" w:hAnsi="宋体" w:cs="宋体"/>
        </w:rPr>
        <w:t>25）</w:t>
      </w:r>
      <w:r>
        <w:rPr>
          <w:rFonts w:hint="eastAsia" w:ascii="宋体" w:hAnsi="宋体" w:cs="宋体"/>
          <w:color w:val="000000" w:themeColor="text1"/>
        </w:rPr>
        <w:t>《特种设备目录》（质检总局关于修订《特种设备目录》的公告[2014]第114号，2014年10月30日施行)；</w:t>
      </w:r>
    </w:p>
    <w:p>
      <w:pPr>
        <w:tabs>
          <w:tab w:val="left" w:pos="0"/>
        </w:tabs>
        <w:ind w:firstLine="560"/>
        <w:rPr>
          <w:rFonts w:ascii="宋体" w:hAnsi="宋体" w:cs="宋体"/>
          <w:color w:val="000000" w:themeColor="text1"/>
        </w:rPr>
      </w:pPr>
      <w:r>
        <w:rPr>
          <w:rFonts w:hint="eastAsia" w:ascii="宋体" w:hAnsi="宋体" w:cs="宋体"/>
        </w:rPr>
        <w:t>26）</w:t>
      </w:r>
      <w:r>
        <w:rPr>
          <w:rFonts w:hint="eastAsia" w:ascii="宋体" w:hAnsi="宋体" w:cs="宋体"/>
          <w:color w:val="000000" w:themeColor="text1"/>
        </w:rPr>
        <w:t>《产业结构调整指导目录（2019年本）》（中华人民共和国国家发展和改革委员会令第29号，2019年8月27日第2次委务会议审议通过，2019年10月30日公布，自2020年1月1日起施行，2021年由国家发展和改革委员会第49号令《国家发展改革委关于修改〈产业结构调整指导目录（2019年本）〉的决定》修改，2021年12月30日施行）；</w:t>
      </w:r>
    </w:p>
    <w:p>
      <w:pPr>
        <w:tabs>
          <w:tab w:val="left" w:pos="0"/>
        </w:tabs>
        <w:ind w:firstLine="560"/>
        <w:rPr>
          <w:rFonts w:ascii="宋体" w:hAnsi="宋体" w:cs="宋体"/>
          <w:color w:val="000000" w:themeColor="text1"/>
        </w:rPr>
      </w:pPr>
      <w:r>
        <w:rPr>
          <w:rFonts w:hint="eastAsia" w:ascii="宋体" w:hAnsi="宋体" w:cs="宋体"/>
        </w:rPr>
        <w:t>27）</w:t>
      </w:r>
      <w:r>
        <w:rPr>
          <w:rFonts w:hint="eastAsia" w:ascii="宋体" w:hAnsi="宋体" w:cs="宋体"/>
          <w:color w:val="000000" w:themeColor="text1"/>
        </w:rPr>
        <w:t>《安全生产责任保险实施办法》（安监总办〔2017〕140号，2018年1月1日起施行）；</w:t>
      </w:r>
    </w:p>
    <w:p>
      <w:pPr>
        <w:tabs>
          <w:tab w:val="left" w:pos="0"/>
        </w:tabs>
        <w:ind w:firstLine="560"/>
        <w:rPr>
          <w:rFonts w:ascii="宋体" w:hAnsi="宋体" w:cs="宋体"/>
          <w:color w:val="000000" w:themeColor="text1"/>
        </w:rPr>
      </w:pPr>
      <w:r>
        <w:rPr>
          <w:rFonts w:hint="eastAsia" w:ascii="宋体" w:hAnsi="宋体" w:cs="宋体"/>
        </w:rPr>
        <w:t>28）</w:t>
      </w:r>
      <w:r>
        <w:rPr>
          <w:rFonts w:hint="eastAsia" w:ascii="宋体" w:hAnsi="宋体" w:cs="宋体"/>
          <w:color w:val="000000" w:themeColor="text1"/>
        </w:rPr>
        <w:t>《危险化学品企业安全风险隐患排查治理导则》（应急[2019]78号）；</w:t>
      </w:r>
    </w:p>
    <w:p>
      <w:pPr>
        <w:tabs>
          <w:tab w:val="left" w:pos="0"/>
        </w:tabs>
        <w:ind w:firstLine="560"/>
        <w:rPr>
          <w:rFonts w:ascii="宋体" w:hAnsi="宋体" w:cs="宋体"/>
          <w:color w:val="000000" w:themeColor="text1"/>
        </w:rPr>
      </w:pPr>
      <w:r>
        <w:rPr>
          <w:rFonts w:hint="eastAsia" w:ascii="宋体" w:hAnsi="宋体" w:cs="宋体"/>
          <w:lang w:val="en-US" w:eastAsia="zh-CN"/>
        </w:rPr>
        <w:t>29</w:t>
      </w:r>
      <w:r>
        <w:rPr>
          <w:rFonts w:hint="eastAsia" w:ascii="宋体" w:hAnsi="宋体" w:cs="宋体"/>
        </w:rPr>
        <w:t>）</w:t>
      </w:r>
      <w:r>
        <w:rPr>
          <w:rFonts w:hint="eastAsia" w:ascii="宋体" w:hAnsi="宋体" w:cs="宋体"/>
          <w:color w:val="000000" w:themeColor="text1"/>
        </w:rPr>
        <w:t>《全国安全生产专项整治三年行动计划》（国务院安全生产委员会安委【2020】3号，2020年4月1日公布）；</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lang w:val="en-US" w:eastAsia="zh-CN"/>
        </w:rPr>
        <w:t>0</w:t>
      </w:r>
      <w:r>
        <w:rPr>
          <w:rFonts w:hint="eastAsia" w:ascii="宋体" w:hAnsi="宋体" w:cs="宋体"/>
        </w:rPr>
        <w:t>）</w:t>
      </w:r>
      <w:r>
        <w:rPr>
          <w:rFonts w:hint="eastAsia" w:ascii="宋体" w:hAnsi="宋体" w:cs="宋体"/>
          <w:color w:val="000000" w:themeColor="text1"/>
        </w:rPr>
        <w:t>《危险化学品企业安全分类整治目录（2020年）》（应急〔2020〕84号，2020年10月31日公布）；</w:t>
      </w:r>
    </w:p>
    <w:p>
      <w:pPr>
        <w:tabs>
          <w:tab w:val="left" w:pos="0"/>
        </w:tabs>
        <w:ind w:firstLine="560"/>
        <w:rPr>
          <w:rFonts w:ascii="宋体" w:hAnsi="宋体" w:cs="宋体"/>
        </w:rPr>
      </w:pPr>
      <w:r>
        <w:rPr>
          <w:rFonts w:hint="eastAsia" w:ascii="宋体" w:hAnsi="宋体" w:cs="宋体"/>
        </w:rPr>
        <w:t>3</w:t>
      </w:r>
      <w:r>
        <w:rPr>
          <w:rFonts w:hint="eastAsia" w:ascii="宋体" w:hAnsi="宋体" w:cs="宋体"/>
          <w:lang w:val="en-US" w:eastAsia="zh-CN"/>
        </w:rPr>
        <w:t>1</w:t>
      </w:r>
      <w:r>
        <w:rPr>
          <w:rFonts w:hint="eastAsia" w:ascii="宋体" w:hAnsi="宋体" w:cs="宋体"/>
        </w:rPr>
        <w:t>）《使用有毒品作业场所劳动保护条例》</w:t>
      </w:r>
      <w:r>
        <w:rPr>
          <w:rFonts w:hint="eastAsia" w:ascii="宋体" w:hAnsi="宋体" w:cs="宋体"/>
          <w:szCs w:val="28"/>
        </w:rPr>
        <w:t>（</w:t>
      </w:r>
      <w:r>
        <w:rPr>
          <w:rFonts w:hint="eastAsia" w:ascii="宋体" w:hAnsi="宋体" w:cs="宋体"/>
          <w:color w:val="333333"/>
          <w:szCs w:val="28"/>
          <w:shd w:val="clear" w:color="auto" w:fill="FFFFFF"/>
        </w:rPr>
        <w:t>国务院令第352号</w:t>
      </w:r>
      <w:r>
        <w:rPr>
          <w:rFonts w:hint="eastAsia" w:ascii="宋体" w:hAnsi="宋体" w:cs="宋体"/>
          <w:szCs w:val="28"/>
        </w:rPr>
        <w:t>）；</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lang w:val="en-US" w:eastAsia="zh-CN"/>
        </w:rPr>
        <w:t>2</w:t>
      </w:r>
      <w:r>
        <w:rPr>
          <w:rFonts w:hint="eastAsia" w:ascii="宋体" w:hAnsi="宋体" w:cs="宋体"/>
        </w:rPr>
        <w:t>）</w:t>
      </w:r>
      <w:r>
        <w:rPr>
          <w:rFonts w:hint="eastAsia" w:ascii="宋体" w:hAnsi="宋体" w:cs="宋体"/>
          <w:color w:val="000000" w:themeColor="text1"/>
        </w:rPr>
        <w:t>《受限空间作业安全指导手册》（应急厅函〔2020〕299号）；</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lang w:val="en-US" w:eastAsia="zh-CN"/>
        </w:rPr>
        <w:t>3</w:t>
      </w:r>
      <w:r>
        <w:rPr>
          <w:rFonts w:hint="eastAsia" w:ascii="宋体" w:hAnsi="宋体" w:cs="宋体"/>
        </w:rPr>
        <w:t>）</w:t>
      </w:r>
      <w:r>
        <w:rPr>
          <w:rFonts w:hint="eastAsia" w:ascii="宋体" w:hAnsi="宋体" w:cs="宋体"/>
          <w:color w:val="000000" w:themeColor="text1"/>
        </w:rPr>
        <w:t>《受限空间作业事故安全施救指南》（应救协调〔2021〕5号，2021年5月11日公布）；</w:t>
      </w:r>
    </w:p>
    <w:p>
      <w:pPr>
        <w:tabs>
          <w:tab w:val="left" w:pos="0"/>
        </w:tabs>
        <w:ind w:firstLine="560"/>
        <w:rPr>
          <w:rFonts w:ascii="宋体" w:hAnsi="宋体" w:cs="宋体"/>
        </w:rPr>
      </w:pPr>
      <w:r>
        <w:rPr>
          <w:rFonts w:hint="eastAsia" w:ascii="宋体" w:hAnsi="宋体" w:cs="宋体"/>
        </w:rPr>
        <w:t>3</w:t>
      </w:r>
      <w:r>
        <w:rPr>
          <w:rFonts w:hint="eastAsia" w:ascii="宋体" w:hAnsi="宋体" w:cs="宋体"/>
          <w:lang w:val="en-US" w:eastAsia="zh-CN"/>
        </w:rPr>
        <w:t>4</w:t>
      </w:r>
      <w:r>
        <w:rPr>
          <w:rFonts w:hint="eastAsia" w:ascii="宋体" w:hAnsi="宋体" w:cs="宋体"/>
        </w:rPr>
        <w:t>）</w:t>
      </w:r>
      <w:r>
        <w:rPr>
          <w:rFonts w:hint="eastAsia" w:ascii="宋体" w:hAnsi="宋体" w:cs="宋体"/>
          <w:color w:val="000000" w:themeColor="text1"/>
        </w:rPr>
        <w:t>《国家安全监管总局关于加强化工安全仪表系统管理的指导意见》（安监总管三〔2014〕116号）</w:t>
      </w:r>
      <w:r>
        <w:rPr>
          <w:rFonts w:hint="eastAsia" w:ascii="宋体" w:hAnsi="宋体" w:cs="宋体"/>
          <w:szCs w:val="28"/>
        </w:rPr>
        <w:t>。</w:t>
      </w:r>
    </w:p>
    <w:p>
      <w:pPr>
        <w:pStyle w:val="4"/>
        <w:ind w:firstLine="562"/>
      </w:pPr>
      <w:bookmarkStart w:id="3068" w:name="_Toc22470"/>
      <w:bookmarkStart w:id="3069" w:name="_Toc31856"/>
      <w:bookmarkStart w:id="3070" w:name="_Toc19652"/>
      <w:bookmarkStart w:id="3071" w:name="_Toc17340"/>
      <w:bookmarkStart w:id="3072" w:name="_Toc19432"/>
      <w:bookmarkStart w:id="3073" w:name="_Toc13867"/>
      <w:bookmarkStart w:id="3074" w:name="_Toc22649"/>
      <w:bookmarkStart w:id="3075" w:name="_Toc27776"/>
      <w:bookmarkStart w:id="3076" w:name="_Toc78"/>
      <w:bookmarkStart w:id="3077" w:name="_Toc17413"/>
      <w:bookmarkStart w:id="3078" w:name="_Toc11977"/>
      <w:bookmarkStart w:id="3079" w:name="_Toc13611"/>
      <w:bookmarkStart w:id="3080" w:name="_Toc9045"/>
      <w:bookmarkStart w:id="3081" w:name="_Toc27484"/>
      <w:bookmarkStart w:id="3082" w:name="_Toc26437"/>
      <w:bookmarkStart w:id="3083" w:name="_Toc25405"/>
      <w:bookmarkStart w:id="3084" w:name="_Toc10482"/>
      <w:bookmarkStart w:id="3085" w:name="_Toc31316"/>
      <w:bookmarkStart w:id="3086" w:name="_Toc11593"/>
      <w:bookmarkStart w:id="3087" w:name="_Toc24216"/>
      <w:bookmarkStart w:id="3088" w:name="_Toc31185"/>
      <w:bookmarkStart w:id="3089" w:name="_Toc20991"/>
      <w:bookmarkStart w:id="3090" w:name="_Toc16579"/>
      <w:bookmarkStart w:id="3091" w:name="_Toc510448388"/>
      <w:bookmarkStart w:id="3092" w:name="_Toc525367178"/>
      <w:bookmarkStart w:id="3093" w:name="_Toc128056553"/>
      <w:r>
        <w:rPr>
          <w:rFonts w:hint="eastAsia"/>
        </w:rPr>
        <w:t>5.3 地方法规及文件</w:t>
      </w:r>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p>
    <w:p>
      <w:pPr>
        <w:tabs>
          <w:tab w:val="left" w:pos="0"/>
        </w:tabs>
        <w:ind w:firstLine="560"/>
        <w:rPr>
          <w:rFonts w:ascii="宋体" w:hAnsi="宋体" w:cs="宋体"/>
          <w:color w:val="000000" w:themeColor="text1"/>
        </w:rPr>
      </w:pPr>
      <w:r>
        <w:rPr>
          <w:rFonts w:hint="eastAsia" w:ascii="宋体" w:hAnsi="宋体" w:cs="宋体"/>
        </w:rPr>
        <w:t>1）</w:t>
      </w:r>
      <w:r>
        <w:rPr>
          <w:rFonts w:hint="eastAsia" w:ascii="宋体" w:hAnsi="宋体" w:cs="宋体"/>
          <w:color w:val="000000" w:themeColor="text1"/>
        </w:rPr>
        <w:t>《云南省安全生产条例》（已由云南省第十二届人民代表大会常务委员会第三十八次会议于2017年11月30日修订通过）；</w:t>
      </w:r>
    </w:p>
    <w:p>
      <w:pPr>
        <w:tabs>
          <w:tab w:val="left" w:pos="0"/>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《云南省应急管理厅关于印发云南省危险化学品生产储存企业化工安全仪表系统管理指导意见的通知》（云应急〔2019〕9号）；</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《云南省安全生产委员会关于印发&lt;云南省安全生产专项整治三年行动计划&gt;的通知》（云安〔2020〕4号）；</w:t>
      </w:r>
    </w:p>
    <w:p>
      <w:pPr>
        <w:tabs>
          <w:tab w:val="left" w:pos="0"/>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《云南省安全生产委员会关于印发&lt;云南省危险化学品安全风险集中治理实施方案&gt;的通知》（云安办〔2022〕4号）；</w:t>
      </w:r>
    </w:p>
    <w:p>
      <w:pPr>
        <w:tabs>
          <w:tab w:val="left" w:pos="0"/>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《云南省安全生产监督管理局云南省财政厅关于进一步加强安全生产风险抵押金管理有关问题的通知》（云安监管[2008]185号，2008年10月17日）；</w:t>
      </w:r>
    </w:p>
    <w:p>
      <w:pPr>
        <w:tabs>
          <w:tab w:val="left" w:pos="0"/>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《关于在全省高危行业推行人身意外伤害保险的通知》（云安监管[2008]102号，2008年5月7日）；</w:t>
      </w:r>
    </w:p>
    <w:p>
      <w:pPr>
        <w:tabs>
          <w:tab w:val="left" w:pos="0"/>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《云南省人民政府办公厅关于进一步加强危险化学品企业安全生产工作的实施意见》（云政办发[2011]112号，2011年6月25日）；</w:t>
      </w:r>
    </w:p>
    <w:p>
      <w:pPr>
        <w:tabs>
          <w:tab w:val="left" w:pos="0"/>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《云南省突发事件应对条列》（2014年7月27日云南省第十二届人民代表大会常务委员会第十次会议通过）；</w:t>
      </w:r>
    </w:p>
    <w:p>
      <w:pPr>
        <w:tabs>
          <w:tab w:val="left" w:pos="0"/>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《云南省应急管理厅关于印发云南省危险化学品生产储存企业四区分离技术指导意见的通知》（云应急〔2021〕4号）；</w:t>
      </w:r>
    </w:p>
    <w:p>
      <w:pPr>
        <w:pStyle w:val="2"/>
        <w:ind w:firstLine="560"/>
      </w:pPr>
      <w:r>
        <w:rPr>
          <w:rFonts w:hint="eastAsia"/>
        </w:rPr>
        <w:t>10）《云南省人民政府关于印发云南省生产经营单位安全生产主体责任规定的通知》(云政规〔2022〕4号)。</w:t>
      </w:r>
    </w:p>
    <w:p>
      <w:pPr>
        <w:pStyle w:val="4"/>
        <w:ind w:firstLine="562"/>
      </w:pPr>
      <w:bookmarkStart w:id="3094" w:name="_Toc16181"/>
      <w:bookmarkStart w:id="3095" w:name="_Toc19147"/>
      <w:bookmarkStart w:id="3096" w:name="_Toc25756"/>
      <w:bookmarkStart w:id="3097" w:name="_Toc12914"/>
      <w:bookmarkStart w:id="3098" w:name="_Toc24857"/>
      <w:bookmarkStart w:id="3099" w:name="_Toc2778"/>
      <w:bookmarkStart w:id="3100" w:name="_Toc26821"/>
      <w:bookmarkStart w:id="3101" w:name="_Toc4214"/>
      <w:bookmarkStart w:id="3102" w:name="_Toc20838"/>
      <w:bookmarkStart w:id="3103" w:name="_Toc15183"/>
      <w:bookmarkStart w:id="3104" w:name="_Toc26023"/>
      <w:bookmarkStart w:id="3105" w:name="_Toc5987"/>
      <w:bookmarkStart w:id="3106" w:name="_Toc2031"/>
      <w:bookmarkStart w:id="3107" w:name="_Toc3843"/>
      <w:bookmarkStart w:id="3108" w:name="_Toc21170"/>
      <w:bookmarkStart w:id="3109" w:name="_Toc20143"/>
      <w:bookmarkStart w:id="3110" w:name="_Toc25250"/>
      <w:bookmarkStart w:id="3111" w:name="_Toc17126"/>
      <w:bookmarkStart w:id="3112" w:name="_Toc4757"/>
      <w:bookmarkStart w:id="3113" w:name="_Toc20788"/>
      <w:bookmarkStart w:id="3114" w:name="_Toc18883"/>
      <w:bookmarkStart w:id="3115" w:name="_Toc6671"/>
      <w:bookmarkStart w:id="3116" w:name="_Toc28952"/>
      <w:r>
        <w:rPr>
          <w:rFonts w:hint="eastAsia"/>
        </w:rPr>
        <w:t>5.4 评价标准及规范</w:t>
      </w:r>
      <w:bookmarkEnd w:id="3042"/>
      <w:bookmarkEnd w:id="3043"/>
      <w:bookmarkEnd w:id="3067"/>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w:t>
      </w:r>
      <w:r>
        <w:rPr>
          <w:rFonts w:hint="eastAsia"/>
          <w:color w:val="000000" w:themeColor="text1"/>
        </w:rPr>
        <w:t>《建筑设计防火规范（2018年版）》（</w:t>
      </w:r>
      <w:r>
        <w:rPr>
          <w:color w:val="000000" w:themeColor="text1"/>
        </w:rPr>
        <w:t>GB50016</w:t>
      </w:r>
      <w:r>
        <w:rPr>
          <w:rFonts w:hint="eastAsia"/>
          <w:color w:val="000000" w:themeColor="text1"/>
        </w:rPr>
        <w:t>-2014）；</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w:t>
      </w:r>
      <w:r>
        <w:rPr>
          <w:rFonts w:hint="eastAsia"/>
          <w:color w:val="000000" w:themeColor="text1"/>
        </w:rPr>
        <w:t>《工业企业总平面设计规范》（GB50187-2012）；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w:t>
      </w:r>
      <w:r>
        <w:rPr>
          <w:rFonts w:hint="eastAsia"/>
          <w:color w:val="000000" w:themeColor="text1"/>
        </w:rPr>
        <w:t>《化工企业总图运输设计规范》（GB50489-2009）；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w:t>
      </w:r>
      <w:r>
        <w:rPr>
          <w:rFonts w:hint="eastAsia"/>
          <w:color w:val="000000" w:themeColor="text1"/>
        </w:rPr>
        <w:t>《建筑灭火器配置设计规范》（GB50140-2005）；</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w:t>
      </w:r>
      <w:r>
        <w:rPr>
          <w:rFonts w:hint="eastAsia"/>
          <w:color w:val="000000" w:themeColor="text1"/>
        </w:rPr>
        <w:t>《爆炸危险环境电力装置设计规范》（GB50058-2014）；</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6）</w:t>
      </w:r>
      <w:r>
        <w:rPr>
          <w:rFonts w:hint="eastAsia" w:cs="Times New Roman"/>
          <w:color w:val="000000" w:themeColor="text1"/>
          <w:kern w:val="2"/>
          <w:sz w:val="28"/>
          <w:szCs w:val="24"/>
          <w:lang w:val="en-US" w:eastAsia="zh-CN" w:bidi="ar-SA"/>
        </w:rPr>
        <w:t xml:space="preserve"> </w:t>
      </w:r>
      <w:r>
        <w:rPr>
          <w:rFonts w:hint="eastAsia"/>
          <w:color w:val="000000" w:themeColor="text1"/>
        </w:rPr>
        <w:t>《爆炸和火灾危险场所防雷装置检测技术规范》（GB/T32937-2016）；</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7）</w:t>
      </w:r>
      <w:r>
        <w:rPr>
          <w:rFonts w:hint="eastAsia"/>
          <w:color w:val="000000" w:themeColor="text1"/>
        </w:rPr>
        <w:t>《石油化工企业设计防火标准（2018版）》（GB50160-2008）；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8）</w:t>
      </w:r>
      <w:r>
        <w:rPr>
          <w:rFonts w:hint="eastAsia"/>
          <w:color w:val="000000" w:themeColor="text1"/>
        </w:rPr>
        <w:t>《生产过程安全卫生要求总则》（GB/T12801-2008）；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9）</w:t>
      </w:r>
      <w:r>
        <w:rPr>
          <w:rFonts w:hint="eastAsia"/>
          <w:color w:val="000000" w:themeColor="text1"/>
        </w:rPr>
        <w:t>《生产设备安全卫生设计总则》（GB5083-1999）；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10）</w:t>
      </w:r>
      <w:r>
        <w:rPr>
          <w:rFonts w:hint="eastAsia"/>
          <w:color w:val="000000" w:themeColor="text1"/>
        </w:rPr>
        <w:t>《建筑抗震设计规范（2016年版）》（GB50011-2010）；</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11）</w:t>
      </w:r>
      <w:r>
        <w:rPr>
          <w:rFonts w:hint="eastAsia"/>
          <w:color w:val="000000" w:themeColor="text1"/>
        </w:rPr>
        <w:t>《工业管道的基本识别色、识别符号和安全标识》（GB7231-2003）；</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12）</w:t>
      </w:r>
      <w:r>
        <w:rPr>
          <w:rFonts w:hint="eastAsia"/>
          <w:color w:val="000000" w:themeColor="text1"/>
        </w:rPr>
        <w:t>《消防安全标志第1部分：标志》（</w:t>
      </w:r>
      <w:r>
        <w:rPr>
          <w:color w:val="000000" w:themeColor="text1"/>
        </w:rPr>
        <w:t>GB1349</w:t>
      </w:r>
      <w:r>
        <w:rPr>
          <w:rFonts w:hint="eastAsia"/>
          <w:color w:val="000000" w:themeColor="text1"/>
        </w:rPr>
        <w:t>5.1</w:t>
      </w:r>
      <w:r>
        <w:rPr>
          <w:color w:val="000000" w:themeColor="text1"/>
        </w:rPr>
        <w:t>-</w:t>
      </w:r>
      <w:r>
        <w:rPr>
          <w:rFonts w:hint="eastAsia"/>
          <w:color w:val="000000" w:themeColor="text1"/>
        </w:rPr>
        <w:t>2015）；</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13）</w:t>
      </w:r>
      <w:r>
        <w:rPr>
          <w:rFonts w:hint="eastAsia"/>
          <w:color w:val="000000" w:themeColor="text1"/>
        </w:rPr>
        <w:t>《消防给水及消火栓系统技术规范》（GB50974-2014）；</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14）</w:t>
      </w:r>
      <w:r>
        <w:rPr>
          <w:rFonts w:hint="eastAsia"/>
          <w:color w:val="000000" w:themeColor="text1"/>
        </w:rPr>
        <w:t>《消防安全标志设置要求》（</w:t>
      </w:r>
      <w:r>
        <w:rPr>
          <w:color w:val="000000" w:themeColor="text1"/>
        </w:rPr>
        <w:t>GB15630-</w:t>
      </w:r>
      <w:r>
        <w:rPr>
          <w:rFonts w:hint="eastAsia"/>
          <w:color w:val="000000" w:themeColor="text1"/>
        </w:rPr>
        <w:t>19</w:t>
      </w:r>
      <w:r>
        <w:rPr>
          <w:color w:val="000000" w:themeColor="text1"/>
        </w:rPr>
        <w:t>95</w:t>
      </w:r>
      <w:r>
        <w:rPr>
          <w:rFonts w:hint="eastAsia"/>
          <w:color w:val="000000" w:themeColor="text1"/>
        </w:rPr>
        <w:t>）；</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15）</w:t>
      </w:r>
      <w:r>
        <w:rPr>
          <w:rFonts w:hint="eastAsia"/>
          <w:color w:val="000000" w:themeColor="text1"/>
        </w:rPr>
        <w:t>《安全标志及其使用导则》（</w:t>
      </w:r>
      <w:r>
        <w:rPr>
          <w:color w:val="000000" w:themeColor="text1"/>
        </w:rPr>
        <w:t>GB2894-</w:t>
      </w:r>
      <w:r>
        <w:rPr>
          <w:rFonts w:hint="eastAsia"/>
          <w:color w:val="000000" w:themeColor="text1"/>
        </w:rPr>
        <w:t>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16）</w:t>
      </w:r>
      <w:r>
        <w:rPr>
          <w:rFonts w:hint="eastAsia"/>
          <w:color w:val="000000" w:themeColor="text1"/>
        </w:rPr>
        <w:t>《安全色》（</w:t>
      </w:r>
      <w:r>
        <w:rPr>
          <w:color w:val="000000" w:themeColor="text1"/>
        </w:rPr>
        <w:t>GB2893-200</w:t>
      </w:r>
      <w:r>
        <w:rPr>
          <w:rFonts w:hint="eastAsia"/>
          <w:color w:val="000000" w:themeColor="text1"/>
        </w:rPr>
        <w:t>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17）</w:t>
      </w:r>
      <w:r>
        <w:rPr>
          <w:rFonts w:hint="eastAsia"/>
          <w:color w:val="000000" w:themeColor="text1"/>
        </w:rPr>
        <w:t>《固定式钢梯及平台安全要求第1部分：钢直梯》（GB4053.1-2009）；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18）</w:t>
      </w:r>
      <w:r>
        <w:rPr>
          <w:rFonts w:hint="eastAsia"/>
          <w:color w:val="000000" w:themeColor="text1"/>
        </w:rPr>
        <w:t>《固定式钢梯及平台安全要求第2部分：钢斜梯》（GB4053.2-2009）；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19）</w:t>
      </w:r>
      <w:r>
        <w:rPr>
          <w:rFonts w:hint="eastAsia"/>
          <w:color w:val="000000" w:themeColor="text1"/>
        </w:rPr>
        <w:t>《固定式钢梯及平台安全要求第3部分：工业防护栏杆及钢平台》（GB4053.3-2009）；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20）</w:t>
      </w:r>
      <w:r>
        <w:rPr>
          <w:rFonts w:hint="eastAsia"/>
          <w:color w:val="000000" w:themeColor="text1"/>
        </w:rPr>
        <w:t>《供配电系统设计规范》（GB50052-2009）；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21）</w:t>
      </w:r>
      <w:r>
        <w:rPr>
          <w:rFonts w:hint="eastAsia"/>
          <w:color w:val="000000" w:themeColor="text1"/>
        </w:rPr>
        <w:t>《低压配电设计规范》（</w:t>
      </w:r>
      <w:r>
        <w:rPr>
          <w:color w:val="000000" w:themeColor="text1"/>
        </w:rPr>
        <w:t>GB50054-</w:t>
      </w:r>
      <w:r>
        <w:rPr>
          <w:rFonts w:hint="eastAsia"/>
          <w:color w:val="000000" w:themeColor="text1"/>
        </w:rPr>
        <w:t>2011）；</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22）</w:t>
      </w:r>
      <w:r>
        <w:rPr>
          <w:rFonts w:hint="eastAsia"/>
          <w:color w:val="000000" w:themeColor="text1"/>
        </w:rPr>
        <w:t>《通用用电设备配电设计规范》（GB50055-2011）；</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23）</w:t>
      </w:r>
      <w:r>
        <w:rPr>
          <w:rFonts w:hint="eastAsia"/>
          <w:color w:val="000000" w:themeColor="text1"/>
        </w:rPr>
        <w:t>《建筑物防雷设计规范》（</w:t>
      </w:r>
      <w:r>
        <w:rPr>
          <w:color w:val="000000" w:themeColor="text1"/>
        </w:rPr>
        <w:t>GB50057-</w:t>
      </w:r>
      <w:r>
        <w:rPr>
          <w:rFonts w:hint="eastAsia"/>
          <w:color w:val="000000" w:themeColor="text1"/>
        </w:rPr>
        <w:t>2010）；</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24）</w:t>
      </w:r>
      <w:r>
        <w:rPr>
          <w:rFonts w:hint="eastAsia"/>
          <w:color w:val="000000" w:themeColor="text1"/>
        </w:rPr>
        <w:t>《用电安全导则》（GB/T13869-2017）；</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25）</w:t>
      </w:r>
      <w:r>
        <w:rPr>
          <w:rFonts w:hint="eastAsia"/>
          <w:color w:val="000000" w:themeColor="text1"/>
        </w:rPr>
        <w:t>《电气设备安全设计导则》（GB/T25295-2010）；</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26）</w:t>
      </w:r>
      <w:r>
        <w:rPr>
          <w:rFonts w:hint="eastAsia"/>
          <w:color w:val="000000" w:themeColor="text1"/>
        </w:rPr>
        <w:t>《防止静电事故通用导则》（</w:t>
      </w:r>
      <w:r>
        <w:rPr>
          <w:color w:val="000000" w:themeColor="text1"/>
        </w:rPr>
        <w:t>GB12158-</w:t>
      </w:r>
      <w:r>
        <w:rPr>
          <w:rFonts w:hint="eastAsia"/>
          <w:color w:val="000000" w:themeColor="text1"/>
        </w:rPr>
        <w:t>2006）；</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27）</w:t>
      </w:r>
      <w:r>
        <w:rPr>
          <w:rFonts w:hint="eastAsia"/>
          <w:color w:val="000000" w:themeColor="text1"/>
        </w:rPr>
        <w:t>《焊接与切割安全》（GB9448-1999）；</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28）</w:t>
      </w:r>
      <w:r>
        <w:rPr>
          <w:rFonts w:hint="eastAsia"/>
          <w:color w:val="000000" w:themeColor="text1"/>
        </w:rPr>
        <w:t>《危险化学品</w:t>
      </w:r>
      <w:r>
        <w:rPr>
          <w:rFonts w:hint="eastAsia"/>
          <w:color w:val="000000" w:themeColor="text1"/>
          <w:lang w:val="en-US" w:eastAsia="zh-CN"/>
        </w:rPr>
        <w:t>仓库</w:t>
      </w:r>
      <w:r>
        <w:rPr>
          <w:rFonts w:hint="eastAsia"/>
          <w:color w:val="000000" w:themeColor="text1"/>
        </w:rPr>
        <w:t>贮存通则》（GB15603-</w:t>
      </w:r>
      <w:r>
        <w:rPr>
          <w:rFonts w:hint="eastAsia"/>
          <w:color w:val="000000" w:themeColor="text1"/>
          <w:lang w:val="en-US" w:eastAsia="zh-CN"/>
        </w:rPr>
        <w:t>2022</w:t>
      </w:r>
      <w:r>
        <w:rPr>
          <w:rFonts w:hint="eastAsia"/>
          <w:color w:val="000000" w:themeColor="text1"/>
        </w:rPr>
        <w:t>）；</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29）</w:t>
      </w:r>
      <w:r>
        <w:rPr>
          <w:rFonts w:hint="eastAsia"/>
          <w:color w:val="000000" w:themeColor="text1"/>
        </w:rPr>
        <w:t>《生产过程危险和有害因素分类与代码》（</w:t>
      </w:r>
      <w:r>
        <w:rPr>
          <w:color w:val="000000" w:themeColor="text1"/>
        </w:rPr>
        <w:t>GB/T13861-</w:t>
      </w:r>
      <w:r>
        <w:rPr>
          <w:rFonts w:hint="eastAsia"/>
          <w:color w:val="000000" w:themeColor="text1"/>
        </w:rPr>
        <w:t>2022）；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30）</w:t>
      </w:r>
      <w:r>
        <w:rPr>
          <w:rFonts w:hint="eastAsia"/>
          <w:color w:val="000000" w:themeColor="text1"/>
        </w:rPr>
        <w:t>《危险化学品重大危险源辨识》（</w:t>
      </w:r>
      <w:r>
        <w:rPr>
          <w:color w:val="000000" w:themeColor="text1"/>
        </w:rPr>
        <w:t>GB18218-20</w:t>
      </w:r>
      <w:r>
        <w:rPr>
          <w:rFonts w:hint="eastAsia"/>
          <w:color w:val="000000" w:themeColor="text1"/>
        </w:rPr>
        <w:t>18）；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31）</w:t>
      </w:r>
      <w:r>
        <w:rPr>
          <w:rFonts w:hint="eastAsia"/>
          <w:color w:val="000000" w:themeColor="text1"/>
        </w:rPr>
        <w:t>《缺氧危险作业安全规程》（GB8958-2006）；</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32）</w:t>
      </w:r>
      <w:r>
        <w:rPr>
          <w:rFonts w:hint="eastAsia"/>
          <w:color w:val="000000" w:themeColor="text1"/>
        </w:rPr>
        <w:t>《危险货物分类和品名编号》（GB</w:t>
      </w:r>
      <w:r>
        <w:rPr>
          <w:color w:val="000000" w:themeColor="text1"/>
        </w:rPr>
        <w:t>6944-20</w:t>
      </w:r>
      <w:r>
        <w:rPr>
          <w:rFonts w:hint="eastAsia"/>
          <w:color w:val="000000" w:themeColor="text1"/>
        </w:rPr>
        <w:t>12）；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33）</w:t>
      </w:r>
      <w:r>
        <w:rPr>
          <w:rFonts w:hint="eastAsia"/>
          <w:color w:val="000000" w:themeColor="text1"/>
        </w:rPr>
        <w:t>《化学品分类和危险性公示通则》（</w:t>
      </w:r>
      <w:r>
        <w:rPr>
          <w:color w:val="000000" w:themeColor="text1"/>
        </w:rPr>
        <w:t>GB13690-2009</w:t>
      </w:r>
      <w:r>
        <w:rPr>
          <w:rFonts w:hint="eastAsia"/>
          <w:color w:val="000000" w:themeColor="text1"/>
        </w:rPr>
        <w:t>）；</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34）</w:t>
      </w:r>
      <w:r>
        <w:rPr>
          <w:rFonts w:hint="eastAsia"/>
          <w:color w:val="000000" w:themeColor="text1"/>
        </w:rPr>
        <w:t>《特种设备使用管理规则》（TSG08-2017）；</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35）</w:t>
      </w:r>
      <w:r>
        <w:rPr>
          <w:rFonts w:hint="eastAsia"/>
          <w:color w:val="000000" w:themeColor="text1"/>
        </w:rPr>
        <w:t>《企业职工伤亡事故分类》（</w:t>
      </w:r>
      <w:r>
        <w:rPr>
          <w:color w:val="000000" w:themeColor="text1"/>
        </w:rPr>
        <w:t>GB6441-</w:t>
      </w:r>
      <w:r>
        <w:rPr>
          <w:rFonts w:hint="eastAsia"/>
          <w:color w:val="000000" w:themeColor="text1"/>
        </w:rPr>
        <w:t>19</w:t>
      </w:r>
      <w:r>
        <w:rPr>
          <w:color w:val="000000" w:themeColor="text1"/>
        </w:rPr>
        <w:t>86</w:t>
      </w:r>
      <w:r>
        <w:rPr>
          <w:rFonts w:hint="eastAsia"/>
          <w:color w:val="000000" w:themeColor="text1"/>
        </w:rPr>
        <w:t>）；</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36）</w:t>
      </w:r>
      <w:r>
        <w:rPr>
          <w:rFonts w:hint="eastAsia"/>
          <w:color w:val="000000" w:themeColor="text1"/>
        </w:rPr>
        <w:t>《工业企业设计卫生标准》（GBZ1-2010）；</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37）</w:t>
      </w:r>
      <w:r>
        <w:rPr>
          <w:color w:val="000000" w:themeColor="text1"/>
        </w:rPr>
        <w:t>《</w:t>
      </w:r>
      <w:r>
        <w:rPr>
          <w:rFonts w:hint="eastAsia"/>
          <w:color w:val="000000" w:themeColor="text1"/>
        </w:rPr>
        <w:t>工作场所有害因素职业接触限值第1部分；化学有害因素》行业标准第1号修改单》（GBZ2.1-2019/XG1-2022）；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38）</w:t>
      </w:r>
      <w:r>
        <w:rPr>
          <w:rFonts w:hint="eastAsia"/>
          <w:color w:val="000000" w:themeColor="text1"/>
        </w:rPr>
        <w:t>《工作场所有害因素职业接触限值第2部分：物理因素》（GBZ2.2-2007）；</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39）</w:t>
      </w:r>
      <w:r>
        <w:rPr>
          <w:rFonts w:hint="eastAsia"/>
          <w:color w:val="000000" w:themeColor="text1"/>
        </w:rPr>
        <w:t>《职业性接触毒物危害程度分级》（GBZ 230-2010）；</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40）</w:t>
      </w:r>
      <w:r>
        <w:rPr>
          <w:rFonts w:hint="eastAsia"/>
          <w:color w:val="000000" w:themeColor="text1"/>
        </w:rPr>
        <w:t>《危险货物品名表》（GB12268-2012）；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41）</w:t>
      </w:r>
      <w:r>
        <w:rPr>
          <w:rFonts w:hint="eastAsia"/>
          <w:color w:val="000000" w:themeColor="text1"/>
        </w:rPr>
        <w:t>《危险化学品企业特殊作业安全规范》（GB30871-2022）；</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42）</w:t>
      </w:r>
      <w:r>
        <w:rPr>
          <w:rFonts w:hint="eastAsia"/>
          <w:color w:val="000000" w:themeColor="text1"/>
        </w:rPr>
        <w:t>《化工企业安全卫生设计规范》（HG20571-2014）；</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43）</w:t>
      </w:r>
      <w:r>
        <w:rPr>
          <w:rFonts w:hint="eastAsia"/>
          <w:color w:val="000000" w:themeColor="text1"/>
        </w:rPr>
        <w:t>《危险场所电气防爆安全规范》（AQ3009-2007）；</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44）</w:t>
      </w:r>
      <w:r>
        <w:rPr>
          <w:rFonts w:hint="eastAsia"/>
          <w:color w:val="000000" w:themeColor="text1"/>
        </w:rPr>
        <w:t>《危险化学品储罐区作业安全通则》（AQ3018-2008）；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45）</w:t>
      </w:r>
      <w:r>
        <w:rPr>
          <w:rFonts w:hint="eastAsia"/>
          <w:color w:val="000000" w:themeColor="text1"/>
        </w:rPr>
        <w:t>《化学品生产单位吊装作业安全规范》（AQ3021-2008）；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46）</w:t>
      </w:r>
      <w:r>
        <w:rPr>
          <w:rFonts w:hint="eastAsia"/>
          <w:color w:val="000000" w:themeColor="text1"/>
        </w:rPr>
        <w:t>《化学品生产单位动火作业安全规范》（AQ3022-2008）；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47）</w:t>
      </w:r>
      <w:r>
        <w:rPr>
          <w:rFonts w:hint="eastAsia"/>
          <w:color w:val="000000" w:themeColor="text1"/>
        </w:rPr>
        <w:t>《化学品生产单位动土作业安全规范》（AQ3023-2008）；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48）</w:t>
      </w:r>
      <w:r>
        <w:rPr>
          <w:rFonts w:hint="eastAsia"/>
          <w:color w:val="000000" w:themeColor="text1"/>
        </w:rPr>
        <w:t>《化学品生产单位断路作业安全规范》（AQ3024-2008）；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49）</w:t>
      </w:r>
      <w:r>
        <w:rPr>
          <w:rFonts w:hint="eastAsia"/>
          <w:color w:val="000000" w:themeColor="text1"/>
        </w:rPr>
        <w:t>《化学品生产单位高处作业安全规范》（AQ3025-2008）；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50）</w:t>
      </w:r>
      <w:r>
        <w:rPr>
          <w:rFonts w:hint="eastAsia"/>
          <w:color w:val="000000" w:themeColor="text1"/>
        </w:rPr>
        <w:t>《化学品生产单位设备检修作业安全规范》（AQ3026-2008）；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51）</w:t>
      </w:r>
      <w:r>
        <w:rPr>
          <w:rFonts w:hint="eastAsia"/>
          <w:color w:val="000000" w:themeColor="text1"/>
        </w:rPr>
        <w:t>《化学品生产单位盲板抽堵作业安全规范》（AQ3027-2008）；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52）</w:t>
      </w:r>
      <w:r>
        <w:rPr>
          <w:rFonts w:hint="eastAsia"/>
          <w:color w:val="000000" w:themeColor="text1"/>
        </w:rPr>
        <w:t>《化学品生产单位受限空间作业安全规范》（AQ3028-2008）；</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53）</w:t>
      </w:r>
      <w:r>
        <w:rPr>
          <w:rFonts w:hint="eastAsia"/>
          <w:color w:val="000000" w:themeColor="text1"/>
        </w:rPr>
        <w:t>《化学品作业场所安全警示标志规范》（AQ/T3047-2013）；</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54）</w:t>
      </w:r>
      <w:r>
        <w:rPr>
          <w:rFonts w:hint="eastAsia"/>
          <w:color w:val="000000" w:themeColor="text1"/>
        </w:rPr>
        <w:t>《化工企业劳动防护用品选用及配备》（AQ/T3048-2013）；</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55）</w:t>
      </w:r>
      <w:r>
        <w:rPr>
          <w:rFonts w:hint="eastAsia"/>
          <w:color w:val="000000" w:themeColor="text1"/>
        </w:rPr>
        <w:t>《安全评价通则》（AQ8001-2007）；</w:t>
      </w:r>
    </w:p>
    <w:p>
      <w:pPr>
        <w:numPr>
          <w:ilvl w:val="0"/>
          <w:numId w:val="0"/>
        </w:numPr>
        <w:ind w:firstLine="560" w:firstLineChars="200"/>
        <w:rPr>
          <w:color w:val="000000" w:themeColor="text1"/>
        </w:rPr>
      </w:pPr>
      <w:r>
        <w:rPr>
          <w:rFonts w:ascii="Times New Roman" w:hAnsi="Times New Roman" w:eastAsia="宋体" w:cs="Times New Roman"/>
          <w:color w:val="000000" w:themeColor="text1"/>
          <w:kern w:val="2"/>
          <w:sz w:val="28"/>
          <w:szCs w:val="24"/>
          <w:lang w:val="en-US" w:eastAsia="zh-CN" w:bidi="ar-SA"/>
        </w:rPr>
        <w:t>56）</w:t>
      </w:r>
      <w:r>
        <w:rPr>
          <w:rFonts w:hint="eastAsia"/>
          <w:color w:val="000000" w:themeColor="text1"/>
        </w:rPr>
        <w:t>《生产经营单位生产安全事故应急预案编制导则》（</w:t>
      </w:r>
      <w:r>
        <w:rPr>
          <w:color w:val="000000" w:themeColor="text1"/>
        </w:rPr>
        <w:t>GB</w:t>
      </w:r>
      <w:r>
        <w:rPr>
          <w:rFonts w:hint="eastAsia"/>
          <w:color w:val="000000" w:themeColor="text1"/>
        </w:rPr>
        <w:t>/</w:t>
      </w:r>
      <w:r>
        <w:rPr>
          <w:color w:val="000000" w:themeColor="text1"/>
        </w:rPr>
        <w:t>T29639-20</w:t>
      </w:r>
      <w:r>
        <w:rPr>
          <w:rFonts w:hint="eastAsia"/>
          <w:color w:val="000000" w:themeColor="text1"/>
        </w:rPr>
        <w:t>20）；</w:t>
      </w:r>
    </w:p>
    <w:p>
      <w:pPr>
        <w:pStyle w:val="2"/>
        <w:numPr>
          <w:ilvl w:val="0"/>
          <w:numId w:val="0"/>
        </w:numPr>
        <w:ind w:firstLine="560" w:firstLineChars="200"/>
      </w:pPr>
      <w:r>
        <w:rPr>
          <w:rFonts w:ascii="宋体" w:hAnsi="Courier New" w:eastAsia="宋体" w:cs="Times New Roman"/>
          <w:color w:val="000000"/>
          <w:kern w:val="2"/>
          <w:sz w:val="28"/>
          <w:szCs w:val="21"/>
          <w:lang w:val="en-US" w:eastAsia="zh-CN" w:bidi="ar-SA"/>
        </w:rPr>
        <w:t>57）</w:t>
      </w:r>
      <w:r>
        <w:rPr>
          <w:rFonts w:hint="eastAsia"/>
          <w:color w:val="auto"/>
        </w:rPr>
        <w:t>《危险化学品生产装置和储存设施外部安全防护距离确定方法》（GB/T37243-2019）。</w:t>
      </w:r>
    </w:p>
    <w:p>
      <w:pPr>
        <w:pStyle w:val="4"/>
        <w:ind w:firstLine="562"/>
      </w:pPr>
      <w:bookmarkStart w:id="3117" w:name="_Toc29992"/>
      <w:bookmarkStart w:id="3118" w:name="_Toc44"/>
      <w:bookmarkStart w:id="3119" w:name="_Toc310243823"/>
      <w:bookmarkStart w:id="3120" w:name="_Toc22380"/>
      <w:bookmarkStart w:id="3121" w:name="_Toc392234470"/>
      <w:bookmarkStart w:id="3122" w:name="_Toc173155557"/>
      <w:bookmarkStart w:id="3123" w:name="_Toc316585033"/>
      <w:bookmarkStart w:id="3124" w:name="_Toc26237"/>
      <w:bookmarkStart w:id="3125" w:name="_Toc413331913"/>
      <w:bookmarkStart w:id="3126" w:name="_Toc23323"/>
      <w:bookmarkStart w:id="3127" w:name="_Toc339727428"/>
      <w:bookmarkStart w:id="3128" w:name="_Toc297900061"/>
      <w:bookmarkStart w:id="3129" w:name="_Toc293586538"/>
      <w:bookmarkStart w:id="3130" w:name="_Toc26400"/>
      <w:bookmarkStart w:id="3131" w:name="_Toc16977"/>
      <w:bookmarkStart w:id="3132" w:name="_Toc19438"/>
      <w:bookmarkStart w:id="3133" w:name="_Toc342479346"/>
      <w:bookmarkStart w:id="3134" w:name="_Toc25519"/>
      <w:bookmarkStart w:id="3135" w:name="_Toc184381176"/>
      <w:bookmarkStart w:id="3136" w:name="_Toc293647158"/>
      <w:bookmarkStart w:id="3137" w:name="_Toc8814"/>
      <w:bookmarkStart w:id="3138" w:name="_Toc424062635"/>
      <w:bookmarkStart w:id="3139" w:name="_Toc313716326"/>
      <w:bookmarkStart w:id="3140" w:name="_Toc22098"/>
      <w:bookmarkStart w:id="3141" w:name="_Toc338949236"/>
      <w:bookmarkStart w:id="3142" w:name="_Toc316585295"/>
      <w:bookmarkStart w:id="3143" w:name="_Toc582"/>
      <w:bookmarkStart w:id="3144" w:name="_Toc15115"/>
      <w:bookmarkStart w:id="3145" w:name="_Toc28472"/>
      <w:bookmarkStart w:id="3146" w:name="_Toc9696"/>
      <w:bookmarkStart w:id="3147" w:name="_Toc128056554"/>
      <w:bookmarkStart w:id="3148" w:name="_Toc9551"/>
      <w:bookmarkStart w:id="3149" w:name="_Toc5820"/>
      <w:bookmarkStart w:id="3150" w:name="_Toc1114"/>
      <w:bookmarkStart w:id="3151" w:name="_Toc17920"/>
      <w:bookmarkStart w:id="3152" w:name="_Toc325135708"/>
      <w:bookmarkStart w:id="3153" w:name="_Toc22389"/>
      <w:bookmarkStart w:id="3154" w:name="_Toc300059764"/>
      <w:bookmarkStart w:id="3155" w:name="_Toc4307"/>
      <w:bookmarkStart w:id="3156" w:name="_Toc306353292"/>
      <w:bookmarkStart w:id="3157" w:name="_Toc29125"/>
      <w:bookmarkStart w:id="3158" w:name="_Toc297737206"/>
      <w:bookmarkStart w:id="3159" w:name="_Toc21317"/>
      <w:bookmarkStart w:id="3160" w:name="_Toc314084037"/>
      <w:bookmarkStart w:id="3161" w:name="_Toc32461"/>
      <w:r>
        <w:rPr>
          <w:rFonts w:hint="eastAsia"/>
        </w:rPr>
        <w:t>5.5 被评价单位提供的相关资料</w:t>
      </w:r>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p>
    <w:p>
      <w:pPr>
        <w:topLinePunct/>
        <w:ind w:firstLine="560"/>
        <w:rPr>
          <w:rFonts w:ascii="宋体" w:hAnsi="宋体" w:cs="宋体"/>
          <w:color w:val="000000" w:themeColor="text1"/>
          <w:szCs w:val="28"/>
        </w:rPr>
      </w:pPr>
      <w:r>
        <w:rPr>
          <w:rFonts w:hint="eastAsia" w:ascii="宋体" w:hAnsi="宋体" w:cs="宋体"/>
          <w:color w:val="000000" w:themeColor="text1"/>
          <w:szCs w:val="28"/>
        </w:rPr>
        <w:t>1）安全现状评价委托书；</w:t>
      </w:r>
    </w:p>
    <w:p>
      <w:pPr>
        <w:topLinePunct/>
        <w:ind w:firstLine="560"/>
        <w:rPr>
          <w:rFonts w:ascii="宋体" w:hAnsi="宋体" w:cs="宋体"/>
          <w:color w:val="000000" w:themeColor="text1"/>
          <w:szCs w:val="28"/>
        </w:rPr>
      </w:pPr>
      <w:r>
        <w:rPr>
          <w:rFonts w:hint="eastAsia" w:ascii="宋体" w:hAnsi="宋体" w:cs="宋体"/>
          <w:color w:val="000000" w:themeColor="text1"/>
          <w:szCs w:val="28"/>
        </w:rPr>
        <w:t>2）营业执照；</w:t>
      </w:r>
    </w:p>
    <w:p>
      <w:pPr>
        <w:topLinePunct/>
        <w:ind w:firstLine="560"/>
        <w:rPr>
          <w:rFonts w:ascii="宋体" w:hAnsi="宋体" w:cs="宋体"/>
          <w:color w:val="000000" w:themeColor="text1"/>
          <w:szCs w:val="28"/>
        </w:rPr>
      </w:pPr>
      <w:r>
        <w:rPr>
          <w:rFonts w:hint="eastAsia" w:ascii="宋体" w:hAnsi="宋体" w:cs="宋体"/>
          <w:color w:val="000000" w:themeColor="text1"/>
          <w:szCs w:val="28"/>
        </w:rPr>
        <w:t>3）安全生产许可证；</w:t>
      </w:r>
    </w:p>
    <w:p>
      <w:pPr>
        <w:topLinePunct/>
        <w:ind w:firstLine="560"/>
        <w:rPr>
          <w:rFonts w:ascii="宋体" w:hAnsi="宋体" w:cs="宋体"/>
          <w:color w:val="000000" w:themeColor="text1"/>
          <w:szCs w:val="28"/>
        </w:rPr>
      </w:pPr>
      <w:bookmarkStart w:id="3162" w:name="_Toc339727429"/>
      <w:bookmarkStart w:id="3163" w:name="_Toc342479347"/>
      <w:bookmarkStart w:id="3164" w:name="_Toc392234471"/>
      <w:bookmarkStart w:id="3165" w:name="_Toc338949237"/>
      <w:bookmarkStart w:id="3166" w:name="_Toc424062636"/>
      <w:r>
        <w:rPr>
          <w:rFonts w:hint="eastAsia" w:ascii="宋体" w:hAnsi="宋体" w:cs="宋体"/>
          <w:color w:val="000000" w:themeColor="text1"/>
          <w:szCs w:val="28"/>
        </w:rPr>
        <w:t>4）其它相关技术资料</w:t>
      </w:r>
      <w:bookmarkEnd w:id="3162"/>
      <w:bookmarkEnd w:id="3163"/>
      <w:bookmarkEnd w:id="3164"/>
      <w:bookmarkEnd w:id="3165"/>
      <w:bookmarkEnd w:id="3166"/>
      <w:r>
        <w:rPr>
          <w:rFonts w:hint="eastAsia" w:ascii="宋体" w:hAnsi="宋体" w:cs="宋体"/>
          <w:color w:val="000000" w:themeColor="text1"/>
          <w:szCs w:val="28"/>
        </w:rPr>
        <w:t>。</w:t>
      </w:r>
    </w:p>
    <w:bookmarkEnd w:id="1746"/>
    <w:bookmarkEnd w:id="1747"/>
    <w:p>
      <w:pPr>
        <w:pStyle w:val="3"/>
        <w:topLinePunct/>
        <w:rPr>
          <w:rFonts w:ascii="宋体" w:hAnsi="宋体" w:eastAsia="宋体" w:cs="宋体"/>
          <w:b/>
          <w:bCs w:val="0"/>
        </w:rPr>
      </w:pPr>
      <w:bookmarkStart w:id="3167" w:name="_Toc182625085"/>
      <w:bookmarkStart w:id="3168" w:name="_Toc272416103"/>
      <w:bookmarkStart w:id="3169" w:name="_Toc3522_WPSOffice_Level1"/>
      <w:bookmarkStart w:id="3170" w:name="_Toc509659555"/>
      <w:bookmarkStart w:id="3171" w:name="_Toc332670317"/>
      <w:bookmarkStart w:id="3172" w:name="_Toc187718335"/>
      <w:bookmarkStart w:id="3173" w:name="_Toc31008_WPSOffice_Level1"/>
      <w:bookmarkStart w:id="3174" w:name="_Toc26359"/>
      <w:bookmarkStart w:id="3175" w:name="_Toc16400"/>
      <w:bookmarkStart w:id="3176" w:name="_Toc15945"/>
      <w:bookmarkStart w:id="3177" w:name="_Toc25309"/>
      <w:bookmarkStart w:id="3178" w:name="_Toc29244"/>
      <w:bookmarkStart w:id="3179" w:name="_Toc24589"/>
      <w:bookmarkStart w:id="3180" w:name="_Toc27621"/>
      <w:bookmarkStart w:id="3181" w:name="_Toc19778"/>
      <w:bookmarkStart w:id="3182" w:name="_Toc22312"/>
      <w:bookmarkStart w:id="3183" w:name="_Toc633"/>
      <w:bookmarkStart w:id="3184" w:name="_Toc17635"/>
      <w:bookmarkStart w:id="3185" w:name="_Toc128056555"/>
      <w:bookmarkStart w:id="3186" w:name="_Toc32259"/>
      <w:bookmarkStart w:id="3187" w:name="_Toc9428"/>
      <w:bookmarkStart w:id="3188" w:name="_Toc29583"/>
      <w:bookmarkStart w:id="3189" w:name="_Toc7163"/>
      <w:bookmarkStart w:id="3190" w:name="_Toc14082"/>
      <w:bookmarkStart w:id="3191" w:name="_Toc16238"/>
      <w:bookmarkStart w:id="3192" w:name="_Toc21658"/>
      <w:bookmarkStart w:id="3193" w:name="_Toc22622"/>
      <w:bookmarkStart w:id="3194" w:name="_Toc62740984"/>
      <w:bookmarkStart w:id="3195" w:name="_Toc15461"/>
      <w:bookmarkStart w:id="3196" w:name="_Toc12648"/>
      <w:bookmarkStart w:id="3197" w:name="_Toc29725"/>
      <w:bookmarkStart w:id="3198" w:name="_Toc16285"/>
      <w:r>
        <w:rPr>
          <w:rFonts w:hint="eastAsia" w:ascii="宋体" w:hAnsi="宋体" w:eastAsia="宋体" w:cs="宋体"/>
          <w:b/>
          <w:bCs w:val="0"/>
        </w:rPr>
        <w:t>附件</w:t>
      </w:r>
      <w:bookmarkEnd w:id="3167"/>
      <w:bookmarkEnd w:id="3168"/>
      <w:bookmarkEnd w:id="3169"/>
      <w:bookmarkEnd w:id="3170"/>
      <w:bookmarkEnd w:id="3171"/>
      <w:bookmarkEnd w:id="3172"/>
      <w:bookmarkEnd w:id="3173"/>
      <w:r>
        <w:rPr>
          <w:rFonts w:hint="eastAsia" w:ascii="宋体" w:hAnsi="宋体" w:eastAsia="宋体" w:cs="宋体"/>
          <w:b/>
          <w:bCs w:val="0"/>
        </w:rPr>
        <w:t>6  企业提供的原始资料</w:t>
      </w:r>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p>
    <w:p>
      <w:pPr>
        <w:keepNext/>
        <w:keepLines/>
        <w:pageBreakBefore w:val="0"/>
        <w:widowControl w:val="0"/>
        <w:kinsoku/>
        <w:wordWrap/>
        <w:overflowPunct/>
        <w:topLinePunct w:val="0"/>
        <w:autoSpaceDE/>
        <w:autoSpaceDN/>
        <w:bidi w:val="0"/>
        <w:adjustRightInd w:val="0"/>
        <w:snapToGrid w:val="0"/>
        <w:ind w:firstLine="562"/>
        <w:textAlignment w:val="auto"/>
        <w:outlineLvl w:val="9"/>
        <w:rPr>
          <w:rFonts w:hint="eastAsia"/>
        </w:rPr>
      </w:pPr>
      <w:bookmarkStart w:id="3199" w:name="_Toc19350"/>
      <w:bookmarkStart w:id="3200" w:name="_Toc23386"/>
      <w:bookmarkStart w:id="3201" w:name="_Toc4143"/>
      <w:bookmarkStart w:id="3202" w:name="_Toc2923"/>
      <w:bookmarkStart w:id="3203" w:name="_Toc6822"/>
      <w:bookmarkStart w:id="3204" w:name="_Toc1598"/>
    </w:p>
    <w:p>
      <w:pPr>
        <w:pStyle w:val="5"/>
        <w:ind w:firstLine="562"/>
      </w:pPr>
      <w:bookmarkStart w:id="3205" w:name="_Toc21427"/>
      <w:bookmarkStart w:id="3206" w:name="_Toc20178"/>
      <w:bookmarkStart w:id="3207" w:name="_Toc31678"/>
      <w:bookmarkStart w:id="3208" w:name="_Toc6972"/>
      <w:r>
        <w:rPr>
          <w:rFonts w:hint="eastAsia"/>
        </w:rPr>
        <w:t>附件6.1 委托书</w:t>
      </w:r>
      <w:bookmarkEnd w:id="3199"/>
      <w:bookmarkEnd w:id="3200"/>
      <w:bookmarkEnd w:id="3201"/>
      <w:bookmarkEnd w:id="3202"/>
      <w:bookmarkEnd w:id="3203"/>
      <w:bookmarkEnd w:id="3204"/>
      <w:bookmarkEnd w:id="3205"/>
      <w:bookmarkEnd w:id="3206"/>
      <w:bookmarkEnd w:id="3207"/>
      <w:bookmarkEnd w:id="3208"/>
    </w:p>
    <w:p>
      <w:pPr>
        <w:pStyle w:val="60"/>
        <w:topLinePunct/>
        <w:ind w:firstLine="0" w:firstLineChars="0"/>
        <w:rPr>
          <w:rFonts w:hint="eastAsia" w:eastAsia="宋体"/>
          <w:color w:val="000000" w:themeColor="text1"/>
          <w:lang w:eastAsia="zh-CN"/>
        </w:rPr>
      </w:pPr>
      <w:r>
        <w:rPr>
          <w:rFonts w:hint="eastAsia" w:eastAsia="宋体"/>
          <w:color w:val="000000" w:themeColor="text1"/>
          <w:lang w:eastAsia="zh-CN"/>
        </w:rPr>
        <w:drawing>
          <wp:inline distT="0" distB="0" distL="114300" distR="114300">
            <wp:extent cx="5578475" cy="7328535"/>
            <wp:effectExtent l="0" t="0" r="3175" b="5715"/>
            <wp:docPr id="25" name="图片 25" descr="d55f752d3e91526e63958a4ee5219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55f752d3e91526e63958a4ee5219e8"/>
                    <pic:cNvPicPr>
                      <a:picLocks noChangeAspect="1"/>
                    </pic:cNvPicPr>
                  </pic:nvPicPr>
                  <pic:blipFill>
                    <a:blip r:embed="rId42"/>
                    <a:stretch>
                      <a:fillRect/>
                    </a:stretch>
                  </pic:blipFill>
                  <pic:spPr>
                    <a:xfrm>
                      <a:off x="0" y="0"/>
                      <a:ext cx="5578475" cy="7328535"/>
                    </a:xfrm>
                    <a:prstGeom prst="rect">
                      <a:avLst/>
                    </a:prstGeom>
                  </pic:spPr>
                </pic:pic>
              </a:graphicData>
            </a:graphic>
          </wp:inline>
        </w:drawing>
      </w:r>
    </w:p>
    <w:p>
      <w:pPr>
        <w:keepNext/>
        <w:keepLines/>
        <w:pageBreakBefore/>
        <w:widowControl w:val="0"/>
        <w:kinsoku/>
        <w:wordWrap/>
        <w:overflowPunct/>
        <w:topLinePunct w:val="0"/>
        <w:autoSpaceDE/>
        <w:autoSpaceDN/>
        <w:bidi w:val="0"/>
        <w:adjustRightInd w:val="0"/>
        <w:snapToGrid w:val="0"/>
        <w:ind w:firstLine="0" w:firstLineChars="0"/>
        <w:textAlignment w:val="auto"/>
        <w:outlineLvl w:val="9"/>
        <w:rPr>
          <w:rFonts w:hint="default"/>
          <w:lang w:val="en-US" w:eastAsia="zh-CN"/>
        </w:rPr>
      </w:pPr>
      <w:bookmarkStart w:id="3209" w:name="_GoBack"/>
      <w:bookmarkEnd w:id="3209"/>
    </w:p>
    <w:sectPr>
      <w:headerReference r:id="rId16" w:type="default"/>
      <w:footerReference r:id="rId17" w:type="default"/>
      <w:pgSz w:w="11906" w:h="16838"/>
      <w:pgMar w:top="1417" w:right="1417" w:bottom="1587" w:left="1417" w:header="851" w:footer="1020" w:gutter="0"/>
      <w:cols w:space="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饶旭军" w:date="2023-11-01T15:30:05Z" w:initials="A">
    <w:p w14:paraId="041820BA">
      <w:pPr>
        <w:pStyle w:val="12"/>
        <w:rPr>
          <w:rFonts w:hint="eastAsia" w:eastAsia="宋体"/>
          <w:lang w:eastAsia="zh-CN"/>
        </w:rPr>
      </w:pPr>
      <w:r>
        <w:rPr>
          <w:rFonts w:hint="eastAsia"/>
          <w:lang w:eastAsia="zh-CN"/>
        </w:rPr>
        <w:t>两家公司应签订“安全管理协议”。报告中补充相关内容</w:t>
      </w:r>
    </w:p>
  </w:comment>
  <w:comment w:id="1" w:author="WPS_1631685940" w:date="2023-11-06T11:25:36Z" w:initials="">
    <w:p w14:paraId="6A88582F">
      <w:pPr>
        <w:pStyle w:val="12"/>
        <w:rPr>
          <w:rFonts w:hint="default" w:eastAsia="宋体"/>
          <w:lang w:val="en-US" w:eastAsia="zh-CN"/>
        </w:rPr>
      </w:pPr>
      <w:r>
        <w:rPr>
          <w:rFonts w:hint="eastAsia"/>
          <w:lang w:val="en-US" w:eastAsia="zh-CN"/>
        </w:rPr>
        <w:t>已签订，详见附件6.37</w:t>
      </w:r>
    </w:p>
  </w:comment>
  <w:comment w:id="2" w:author="WPS_1631685940" w:date="2023-11-06T11:36:40Z" w:initials="">
    <w:p w14:paraId="50682C11">
      <w:pPr>
        <w:pStyle w:val="12"/>
      </w:pPr>
      <w:r>
        <w:rPr>
          <w:rFonts w:hint="eastAsia" w:ascii="宋体" w:hAnsi="宋体" w:eastAsia="宋体" w:cs="宋体"/>
          <w:sz w:val="28"/>
          <w:szCs w:val="28"/>
          <w:u w:val="none" w:color="auto"/>
          <w:lang w:val="en-US" w:eastAsia="zh-CN"/>
        </w:rPr>
        <w:t>产生的废气处置</w:t>
      </w:r>
      <w:r>
        <w:rPr>
          <w:rFonts w:hint="eastAsia" w:ascii="宋体" w:hAnsi="宋体" w:cs="宋体"/>
          <w:sz w:val="28"/>
          <w:szCs w:val="28"/>
          <w:u w:val="none" w:color="auto"/>
          <w:lang w:val="en-US" w:eastAsia="zh-CN"/>
        </w:rPr>
        <w:t>方法</w:t>
      </w:r>
    </w:p>
  </w:comment>
  <w:comment w:id="3" w:author="饶旭军" w:date="2023-11-01T14:53:37Z" w:initials="A">
    <w:p w14:paraId="5115707F">
      <w:pPr>
        <w:pStyle w:val="12"/>
        <w:rPr>
          <w:rFonts w:hint="default" w:eastAsia="宋体"/>
          <w:lang w:val="en-US" w:eastAsia="zh-CN"/>
        </w:rPr>
      </w:pPr>
      <w:r>
        <w:rPr>
          <w:rFonts w:hint="eastAsia"/>
          <w:lang w:eastAsia="zh-CN"/>
        </w:rPr>
        <w:t>蒸汽管道</w:t>
      </w:r>
      <w:r>
        <w:rPr>
          <w:rFonts w:hint="eastAsia"/>
          <w:lang w:val="en-US" w:eastAsia="zh-CN"/>
        </w:rPr>
        <w:t xml:space="preserve">  是否属特种设备？</w:t>
      </w:r>
    </w:p>
  </w:comment>
  <w:comment w:id="4" w:author="WPS_1631685940" w:date="2023-11-06T11:37:41Z" w:initials="">
    <w:p w14:paraId="65F37431">
      <w:pPr>
        <w:pStyle w:val="12"/>
        <w:rPr>
          <w:rFonts w:hint="default" w:eastAsia="宋体"/>
          <w:lang w:val="en-US" w:eastAsia="zh-CN"/>
        </w:rPr>
      </w:pPr>
      <w:r>
        <w:rPr>
          <w:rFonts w:hint="eastAsia"/>
        </w:rPr>
        <w:t>蒸汽管，其内径：80m，压力为0.6~0.8</w:t>
      </w:r>
      <w:r>
        <w:rPr>
          <w:rFonts w:hint="eastAsia"/>
          <w:lang w:eastAsia="zh-CN"/>
        </w:rPr>
        <w:t>，</w:t>
      </w:r>
      <w:r>
        <w:rPr>
          <w:rFonts w:hint="eastAsia"/>
          <w:lang w:val="en-US" w:eastAsia="zh-CN"/>
        </w:rPr>
        <w:t>蒸汽从天辰购买，天辰公司对</w:t>
      </w:r>
      <w:r>
        <w:rPr>
          <w:rFonts w:hint="eastAsia"/>
        </w:rPr>
        <w:t>蒸汽管</w:t>
      </w:r>
      <w:r>
        <w:rPr>
          <w:rFonts w:hint="eastAsia"/>
          <w:lang w:val="en-US" w:eastAsia="zh-CN"/>
        </w:rPr>
        <w:t>未按特种设备处理</w:t>
      </w:r>
    </w:p>
  </w:comment>
  <w:comment w:id="5" w:author="WPS_1631685940" w:date="2023-11-02T12:36:59Z" w:initials="">
    <w:p w14:paraId="0F2A4261">
      <w:pPr>
        <w:pStyle w:val="12"/>
      </w:pPr>
      <w:r>
        <w:rPr>
          <w:rFonts w:hint="eastAsia" w:ascii="宋体" w:hAnsi="宋体" w:cs="宋体"/>
          <w:sz w:val="28"/>
          <w:szCs w:val="28"/>
          <w:u w:val="none" w:color="auto"/>
          <w:lang w:val="en-US" w:eastAsia="zh-CN"/>
        </w:rPr>
        <w:t>已</w:t>
      </w:r>
      <w:r>
        <w:rPr>
          <w:rFonts w:hint="eastAsia" w:ascii="宋体" w:hAnsi="宋体" w:eastAsia="宋体" w:cs="宋体"/>
          <w:sz w:val="28"/>
          <w:szCs w:val="28"/>
          <w:u w:val="none" w:color="auto"/>
          <w:lang w:val="en-US" w:eastAsia="zh-CN"/>
        </w:rPr>
        <w:t>补充视频监控的内容</w:t>
      </w:r>
    </w:p>
  </w:comment>
  <w:comment w:id="6" w:author="WPS_1631685940" w:date="2023-11-02T13:15:22Z" w:initials="">
    <w:p w14:paraId="07885D04">
      <w:pPr>
        <w:pStyle w:val="12"/>
      </w:pPr>
      <w:r>
        <w:rPr>
          <w:rFonts w:hint="eastAsia" w:ascii="宋体" w:hAnsi="宋体" w:cs="宋体"/>
          <w:sz w:val="28"/>
          <w:szCs w:val="28"/>
          <w:u w:val="none" w:color="auto"/>
          <w:lang w:val="en-US" w:eastAsia="zh-CN"/>
        </w:rPr>
        <w:t>已</w:t>
      </w:r>
      <w:r>
        <w:rPr>
          <w:rFonts w:hint="eastAsia" w:ascii="宋体" w:hAnsi="宋体" w:eastAsia="宋体" w:cs="宋体"/>
          <w:sz w:val="28"/>
          <w:szCs w:val="28"/>
          <w:u w:val="none" w:color="auto"/>
          <w:lang w:val="en-US" w:eastAsia="zh-CN"/>
        </w:rPr>
        <w:t>补充作息时间</w:t>
      </w:r>
    </w:p>
  </w:comment>
  <w:comment w:id="7" w:author="WPS_1631685940" w:date="2023-11-03T11:36:24Z" w:initials="">
    <w:p w14:paraId="043D79B2">
      <w:pPr>
        <w:pStyle w:val="12"/>
        <w:rPr>
          <w:rFonts w:hint="default"/>
          <w:lang w:val="en-US"/>
        </w:rPr>
      </w:pPr>
      <w:r>
        <w:rPr>
          <w:rFonts w:hint="eastAsia" w:ascii="宋体" w:hAnsi="宋体" w:eastAsia="宋体" w:cs="宋体"/>
          <w:sz w:val="28"/>
          <w:szCs w:val="28"/>
          <w:u w:val="none" w:color="auto"/>
          <w:lang w:val="en-US" w:eastAsia="zh-CN"/>
        </w:rPr>
        <w:t>安全标准化的创建情况</w:t>
      </w:r>
      <w:r>
        <w:rPr>
          <w:rFonts w:hint="eastAsia" w:ascii="宋体" w:hAnsi="宋体" w:cs="宋体"/>
          <w:sz w:val="28"/>
          <w:szCs w:val="28"/>
          <w:u w:val="none" w:color="auto"/>
          <w:lang w:val="en-US" w:eastAsia="zh-CN"/>
        </w:rPr>
        <w:t>，业主答复因安全标准化不是强制性，故未更新</w:t>
      </w:r>
    </w:p>
  </w:comment>
  <w:comment w:id="8" w:author="WPS_1631685940" w:date="2023-11-06T11:55:24Z" w:initials="">
    <w:p w14:paraId="477C5EF4">
      <w:pPr>
        <w:pStyle w:val="12"/>
      </w:pPr>
      <w:r>
        <w:rPr>
          <w:rFonts w:hint="eastAsia" w:ascii="宋体" w:hAnsi="宋体" w:eastAsia="宋体" w:cs="宋体"/>
          <w:sz w:val="28"/>
          <w:szCs w:val="28"/>
          <w:u w:val="none" w:color="auto"/>
          <w:lang w:val="en-US" w:eastAsia="zh-CN"/>
        </w:rPr>
        <w:t>废气的</w:t>
      </w:r>
      <w:r>
        <w:rPr>
          <w:rFonts w:hint="eastAsia" w:ascii="宋体" w:hAnsi="宋体" w:cs="宋体"/>
          <w:sz w:val="28"/>
          <w:szCs w:val="28"/>
          <w:u w:val="none" w:color="auto"/>
          <w:lang w:val="en-US" w:eastAsia="zh-CN"/>
        </w:rPr>
        <w:t>处置方法</w:t>
      </w:r>
    </w:p>
  </w:comment>
  <w:comment w:id="9" w:author="WPS_1631685940" w:date="2023-11-06T11:58:25Z" w:initials="">
    <w:p w14:paraId="455A2CCA">
      <w:pPr>
        <w:pStyle w:val="12"/>
      </w:pPr>
      <w:r>
        <w:rPr>
          <w:rFonts w:hint="eastAsia" w:ascii="宋体" w:hAnsi="宋体" w:eastAsia="宋体" w:cs="宋体"/>
          <w:sz w:val="28"/>
          <w:szCs w:val="28"/>
          <w:u w:val="none" w:color="auto"/>
          <w:lang w:val="en-US" w:eastAsia="zh-CN"/>
        </w:rPr>
        <w:t>压力表、安全阀定期校验进行描述</w:t>
      </w:r>
    </w:p>
  </w:comment>
  <w:comment w:id="10" w:author="WPS_1631685940" w:date="2023-11-06T12:29:46Z" w:initials="">
    <w:p w14:paraId="545872AE">
      <w:pPr>
        <w:pStyle w:val="12"/>
        <w:rPr>
          <w:rFonts w:hint="default" w:eastAsia="宋体"/>
          <w:lang w:val="en-US" w:eastAsia="zh-CN"/>
        </w:rPr>
      </w:pPr>
      <w:r>
        <w:rPr>
          <w:rFonts w:hint="eastAsia"/>
          <w:lang w:val="en-US" w:eastAsia="zh-CN"/>
        </w:rPr>
        <w:t>已修改完善</w:t>
      </w:r>
    </w:p>
  </w:comment>
  <w:comment w:id="11" w:author="WPS_1631685940" w:date="2023-11-06T12:00:32Z" w:initials="">
    <w:p w14:paraId="6F76465C">
      <w:pPr>
        <w:pStyle w:val="12"/>
      </w:pPr>
      <w:r>
        <w:rPr>
          <w:rFonts w:hint="eastAsia" w:ascii="宋体" w:hAnsi="宋体" w:eastAsia="宋体" w:cs="宋体"/>
          <w:sz w:val="28"/>
          <w:szCs w:val="28"/>
          <w:u w:val="none" w:color="auto"/>
          <w:lang w:val="en-US" w:eastAsia="zh-CN"/>
        </w:rPr>
        <w:t>部分新安法条款完善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41820BA" w15:done="0"/>
  <w15:commentEx w15:paraId="6A88582F" w15:done="0" w15:paraIdParent="041820BA"/>
  <w15:commentEx w15:paraId="50682C11" w15:done="0"/>
  <w15:commentEx w15:paraId="5115707F" w15:done="0"/>
  <w15:commentEx w15:paraId="65F37431" w15:done="0" w15:paraIdParent="5115707F"/>
  <w15:commentEx w15:paraId="0F2A4261" w15:done="0"/>
  <w15:commentEx w15:paraId="07885D04" w15:done="0"/>
  <w15:commentEx w15:paraId="043D79B2" w15:done="0"/>
  <w15:commentEx w15:paraId="477C5EF4" w15:done="0"/>
  <w15:commentEx w15:paraId="455A2CCA" w15:done="0"/>
  <w15:commentEx w15:paraId="545872AE" w15:done="0"/>
  <w15:commentEx w15:paraId="6F76465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宋体-18030">
    <w:altName w:val="SimSun-ExtB"/>
    <w:panose1 w:val="00000000000000000000"/>
    <w:charset w:val="86"/>
    <w:family w:val="modern"/>
    <w:pitch w:val="default"/>
    <w:sig w:usb0="00000000" w:usb1="00000000" w:usb2="000A005E" w:usb3="00000000" w:csb0="00040001" w:csb1="00000000"/>
  </w:font>
  <w:font w:name="Tahoma">
    <w:panose1 w:val="020B0604030504040204"/>
    <w:charset w:val="00"/>
    <w:family w:val="swiss"/>
    <w:pitch w:val="default"/>
    <w:sig w:usb0="E1002EFF" w:usb1="C000605B" w:usb2="00000029" w:usb3="00000000" w:csb0="200101FF" w:csb1="20280000"/>
  </w:font>
  <w:font w:name="E-BZ">
    <w:altName w:val="Times New Roman"/>
    <w:panose1 w:val="00000000000000000000"/>
    <w:charset w:val="00"/>
    <w:family w:val="auto"/>
    <w:pitch w:val="default"/>
    <w:sig w:usb0="00000000" w:usb1="00000000" w:usb2="00000000" w:usb3="00000000" w:csb0="00000000" w:csb1="00000000"/>
  </w:font>
  <w:font w:name="F3">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p>
    <w:pPr>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p>
    <w:pPr>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enter" w:pos="4592"/>
        <w:tab w:val="clear" w:pos="4153"/>
      </w:tabs>
      <w:spacing w:line="240" w:lineRule="auto"/>
      <w:ind w:firstLine="0" w:firstLineChars="0"/>
      <w:rPr>
        <w:sz w:val="21"/>
        <w:szCs w:val="21"/>
      </w:rPr>
    </w:pPr>
    <w:r>
      <w:rPr>
        <w:sz w:val="21"/>
      </w:rPr>
      <w:pict>
        <v:shape id="_x0000_s2071" o:spid="_x0000_s207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21"/>
                  <w:ind w:firstLine="360"/>
                </w:pPr>
                <w:r>
                  <w:fldChar w:fldCharType="begin"/>
                </w:r>
                <w:r>
                  <w:instrText xml:space="preserve"> PAGE  \* MERGEFORMAT </w:instrText>
                </w:r>
                <w:r>
                  <w:fldChar w:fldCharType="separate"/>
                </w:r>
                <w:r>
                  <w:t>II</w:t>
                </w:r>
                <w:r>
                  <w:fldChar w:fldCharType="end"/>
                </w:r>
              </w:p>
            </w:txbxContent>
          </v:textbox>
        </v:shape>
      </w:pict>
    </w:r>
    <w:r>
      <w:rPr>
        <w:rFonts w:hint="eastAsia"/>
        <w:sz w:val="21"/>
        <w:szCs w:val="21"/>
      </w:rPr>
      <w:t>昭通市鼎安科技有限公司</w:t>
    </w:r>
    <w:r>
      <w:rPr>
        <w:rFonts w:hint="eastAsia"/>
        <w:sz w:val="21"/>
        <w:szCs w:val="21"/>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pacing w:line="240" w:lineRule="auto"/>
      <w:ind w:firstLine="0" w:firstLineChars="0"/>
      <w:rPr>
        <w:sz w:val="21"/>
        <w:szCs w:val="21"/>
      </w:rPr>
    </w:pPr>
    <w:r>
      <w:rPr>
        <w:sz w:val="21"/>
      </w:rPr>
      <w:pict>
        <v:shape id="_x0000_s2064" o:spid="_x0000_s206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1"/>
                  <w:ind w:firstLine="360"/>
                  <w:jc w:val="center"/>
                </w:pPr>
                <w:r>
                  <w:fldChar w:fldCharType="begin"/>
                </w:r>
                <w:r>
                  <w:instrText xml:space="preserve"> PAGE  \* MERGEFORMAT </w:instrText>
                </w:r>
                <w:r>
                  <w:fldChar w:fldCharType="separate"/>
                </w:r>
                <w:r>
                  <w:t>VIII</w:t>
                </w:r>
                <w:r>
                  <w:fldChar w:fldCharType="end"/>
                </w:r>
              </w:p>
            </w:txbxContent>
          </v:textbox>
        </v:shape>
      </w:pict>
    </w:r>
    <w:r>
      <w:rPr>
        <w:rFonts w:hint="eastAsia"/>
        <w:sz w:val="21"/>
        <w:szCs w:val="21"/>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pacing w:line="240" w:lineRule="auto"/>
      <w:ind w:firstLine="0" w:firstLineChars="0"/>
      <w:rPr>
        <w:sz w:val="21"/>
        <w:szCs w:val="21"/>
      </w:rPr>
    </w:pPr>
    <w:r>
      <w:rPr>
        <w:sz w:val="21"/>
      </w:rPr>
      <w:pict>
        <v:shape id="_x0000_s2073" o:spid="_x0000_s2073" o:spt="202" type="#_x0000_t202" style="position:absolute;left:0pt;margin-left:205.05pt;margin-top:0pt;height:18.65pt;width:85.4pt;mso-position-horizontal-relative:margin;z-index:251662336;mso-width-relative:page;mso-height-relative:page;" filled="f" stroked="f" coordsize="21600,21600">
          <v:path/>
          <v:fill on="f" focussize="0,0"/>
          <v:stroke on="f"/>
          <v:imagedata o:title=""/>
          <o:lock v:ext="edit" aspectratio="f"/>
          <v:textbox inset="0mm,0mm,0mm,0mm">
            <w:txbxContent>
              <w:p>
                <w:pPr>
                  <w:pStyle w:val="21"/>
                  <w:ind w:firstLine="360"/>
                  <w:rPr>
                    <w:rFonts w:hint="eastAsia" w:eastAsia="宋体"/>
                    <w:lang w:val="en-US" w:eastAsia="zh-CN"/>
                  </w:rPr>
                </w:pPr>
                <w:r>
                  <w:rPr>
                    <w:rFonts w:hint="eastAsia"/>
                    <w:lang w:val="en-US" w:eastAsia="zh-CN"/>
                  </w:rPr>
                  <w:t>第</w:t>
                </w:r>
                <w:r>
                  <w:fldChar w:fldCharType="begin"/>
                </w:r>
                <w:r>
                  <w:instrText xml:space="preserve"> PAGE  \* MERGEFORMAT </w:instrText>
                </w:r>
                <w:r>
                  <w:fldChar w:fldCharType="separate"/>
                </w:r>
                <w:r>
                  <w:t>271</w:t>
                </w:r>
                <w:r>
                  <w:fldChar w:fldCharType="end"/>
                </w:r>
                <w:r>
                  <w:rPr>
                    <w:rFonts w:hint="eastAsia" w:ascii="宋体" w:hAnsi="宋体" w:cs="宋体"/>
                  </w:rPr>
                  <w:t>页</w:t>
                </w:r>
              </w:p>
            </w:txbxContent>
          </v:textbox>
        </v:shape>
      </w:pict>
    </w:r>
    <w:r>
      <w:rPr>
        <w:sz w:val="21"/>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path/>
          <v:fill on="f" focussize="0,0"/>
          <v:stroke on="f" weight="0.5pt" joinstyle="miter"/>
          <v:imagedata o:title=""/>
          <o:lock v:ext="edit"/>
          <v:textbox inset="0mm,0mm,0mm,0mm" style="mso-fit-shape-to-text:t;">
            <w:txbxContent>
              <w:p>
                <w:pPr>
                  <w:ind w:firstLine="560"/>
                </w:pPr>
              </w:p>
            </w:txbxContent>
          </v:textbox>
        </v:shape>
      </w:pict>
    </w:r>
    <w:r>
      <w:rPr>
        <w:rFonts w:hint="eastAsia"/>
        <w:sz w:val="21"/>
        <w:szCs w:val="21"/>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p>
    <w:pPr>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p>
    <w:pPr>
      <w:ind w:firstLine="5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line="240" w:lineRule="auto"/>
      <w:ind w:firstLine="0" w:firstLineChars="0"/>
    </w:pPr>
    <w:r>
      <w:rPr>
        <w:rFonts w:hint="eastAsia"/>
        <w:sz w:val="21"/>
        <w:szCs w:val="21"/>
        <w:lang w:eastAsia="zh-CN"/>
      </w:rPr>
      <w:t>昆明合起工贸有限公司澄江氟化分公司</w:t>
    </w:r>
    <w:r>
      <w:rPr>
        <w:bCs/>
        <w:kern w:val="3"/>
        <w:sz w:val="21"/>
        <w:szCs w:val="21"/>
      </w:rPr>
      <w:t>安全</w:t>
    </w:r>
    <w:r>
      <w:rPr>
        <w:rFonts w:hint="eastAsia"/>
        <w:bCs/>
        <w:kern w:val="3"/>
        <w:sz w:val="21"/>
        <w:szCs w:val="21"/>
      </w:rPr>
      <w:t>现状</w:t>
    </w:r>
    <w:r>
      <w:rPr>
        <w:bCs/>
        <w:kern w:val="3"/>
        <w:sz w:val="21"/>
        <w:szCs w:val="21"/>
      </w:rPr>
      <w:t>评价报</w:t>
    </w:r>
    <w:r>
      <w:rPr>
        <w:rFonts w:hint="eastAsia"/>
        <w:bCs/>
        <w:kern w:val="3"/>
        <w:sz w:val="21"/>
        <w:szCs w:val="21"/>
      </w:rPr>
      <w:t>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line="240" w:lineRule="auto"/>
      <w:ind w:firstLine="0" w:firstLineChars="0"/>
      <w:rPr>
        <w:rFonts w:ascii="宋体" w:hAnsi="宋体" w:cs="宋体"/>
      </w:rPr>
    </w:pPr>
    <w:r>
      <w:rPr>
        <w:rFonts w:hint="eastAsia" w:ascii="宋体" w:hAnsi="宋体" w:cs="宋体"/>
        <w:lang w:eastAsia="zh-CN"/>
      </w:rPr>
      <w:t>昆明合起工贸有限公司澄江氟化分公司</w:t>
    </w:r>
    <w:r>
      <w:rPr>
        <w:rFonts w:hint="eastAsia" w:ascii="宋体" w:hAnsi="宋体" w:cs="宋体"/>
        <w:bCs/>
        <w:kern w:val="3"/>
      </w:rPr>
      <w:t>安全现状评价报告</w:t>
    </w:r>
  </w:p>
  <w:p>
    <w:pPr>
      <w:pStyle w:val="2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7EFB5B"/>
    <w:multiLevelType w:val="singleLevel"/>
    <w:tmpl w:val="EC7EFB5B"/>
    <w:lvl w:ilvl="0" w:tentative="0">
      <w:start w:val="1"/>
      <w:numFmt w:val="decimal"/>
      <w:suff w:val="nothing"/>
      <w:lvlText w:val="%1）"/>
      <w:lvlJc w:val="left"/>
    </w:lvl>
  </w:abstractNum>
  <w:abstractNum w:abstractNumId="1">
    <w:nsid w:val="4C9F3C63"/>
    <w:multiLevelType w:val="multilevel"/>
    <w:tmpl w:val="4C9F3C63"/>
    <w:lvl w:ilvl="0" w:tentative="0">
      <w:start w:val="1"/>
      <w:numFmt w:val="decimal"/>
      <w:lvlText w:val="%1）"/>
      <w:lvlJc w:val="left"/>
      <w:pPr>
        <w:ind w:left="980" w:hanging="420"/>
      </w:pPr>
      <w:rPr>
        <w:rFonts w:hint="eastAsia"/>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6A836D3B"/>
    <w:multiLevelType w:val="multilevel"/>
    <w:tmpl w:val="6A836D3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饶旭军">
    <w15:presenceInfo w15:providerId="None" w15:userId="饶旭军"/>
  </w15:person>
  <w15:person w15:author="WPS_1631685940">
    <w15:presenceInfo w15:providerId="WPS Office" w15:userId="44340687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hideSpellingErrors/>
  <w:revisionView w:markup="0"/>
  <w:documentProtection w:enforcement="0"/>
  <w:defaultTabStop w:val="0"/>
  <w:drawingGridHorizontalSpacing w:val="280"/>
  <w:drawingGridVerticalSpacing w:val="-794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yMmYxN2E3MzAyNzc3YmRmMjM4Y2NhZDNkODVjOWYifQ=="/>
    <w:docVar w:name="KSO_WPS_MARK_KEY" w:val="08982369-bab3-40b0-bcc5-f4f603939ba5"/>
  </w:docVars>
  <w:rsids>
    <w:rsidRoot w:val="00172A27"/>
    <w:rsid w:val="000045D9"/>
    <w:rsid w:val="0000672C"/>
    <w:rsid w:val="000067BC"/>
    <w:rsid w:val="00007E3E"/>
    <w:rsid w:val="000132C9"/>
    <w:rsid w:val="0001455D"/>
    <w:rsid w:val="000162E1"/>
    <w:rsid w:val="000163F2"/>
    <w:rsid w:val="00021F34"/>
    <w:rsid w:val="00023F5D"/>
    <w:rsid w:val="00024862"/>
    <w:rsid w:val="000376E0"/>
    <w:rsid w:val="00041D68"/>
    <w:rsid w:val="00043A8E"/>
    <w:rsid w:val="000453AD"/>
    <w:rsid w:val="00045937"/>
    <w:rsid w:val="00052B38"/>
    <w:rsid w:val="00053969"/>
    <w:rsid w:val="000544B7"/>
    <w:rsid w:val="0006018A"/>
    <w:rsid w:val="00060CB8"/>
    <w:rsid w:val="0006146F"/>
    <w:rsid w:val="000617CF"/>
    <w:rsid w:val="00061C47"/>
    <w:rsid w:val="000633B3"/>
    <w:rsid w:val="000752EB"/>
    <w:rsid w:val="00075E29"/>
    <w:rsid w:val="000770BA"/>
    <w:rsid w:val="00077575"/>
    <w:rsid w:val="000840AA"/>
    <w:rsid w:val="0008594A"/>
    <w:rsid w:val="000906D9"/>
    <w:rsid w:val="00090FA8"/>
    <w:rsid w:val="000920A1"/>
    <w:rsid w:val="00097F36"/>
    <w:rsid w:val="000A4861"/>
    <w:rsid w:val="000A7A05"/>
    <w:rsid w:val="000B5B84"/>
    <w:rsid w:val="000C08F3"/>
    <w:rsid w:val="000C496E"/>
    <w:rsid w:val="000C505B"/>
    <w:rsid w:val="000C6064"/>
    <w:rsid w:val="000D1ECB"/>
    <w:rsid w:val="000D4D69"/>
    <w:rsid w:val="000D7674"/>
    <w:rsid w:val="000E4CCA"/>
    <w:rsid w:val="000F0860"/>
    <w:rsid w:val="000F0DE5"/>
    <w:rsid w:val="000F1C90"/>
    <w:rsid w:val="000F2663"/>
    <w:rsid w:val="000F483B"/>
    <w:rsid w:val="000F4B5A"/>
    <w:rsid w:val="000F5698"/>
    <w:rsid w:val="00104AEB"/>
    <w:rsid w:val="001063A5"/>
    <w:rsid w:val="001105AA"/>
    <w:rsid w:val="00111B3F"/>
    <w:rsid w:val="00112361"/>
    <w:rsid w:val="001149D8"/>
    <w:rsid w:val="00115110"/>
    <w:rsid w:val="00117390"/>
    <w:rsid w:val="00124C66"/>
    <w:rsid w:val="001265E2"/>
    <w:rsid w:val="00131133"/>
    <w:rsid w:val="00131223"/>
    <w:rsid w:val="00132E4B"/>
    <w:rsid w:val="00133E7D"/>
    <w:rsid w:val="00141B3D"/>
    <w:rsid w:val="00142F26"/>
    <w:rsid w:val="00146DE0"/>
    <w:rsid w:val="00151027"/>
    <w:rsid w:val="00152813"/>
    <w:rsid w:val="00162D0B"/>
    <w:rsid w:val="00164794"/>
    <w:rsid w:val="001663EC"/>
    <w:rsid w:val="00170918"/>
    <w:rsid w:val="001715AF"/>
    <w:rsid w:val="00172A27"/>
    <w:rsid w:val="00172C3A"/>
    <w:rsid w:val="00174155"/>
    <w:rsid w:val="00175C8F"/>
    <w:rsid w:val="0018425F"/>
    <w:rsid w:val="001848EE"/>
    <w:rsid w:val="00187AC6"/>
    <w:rsid w:val="001903B4"/>
    <w:rsid w:val="00190797"/>
    <w:rsid w:val="001921DA"/>
    <w:rsid w:val="00196748"/>
    <w:rsid w:val="00197C5E"/>
    <w:rsid w:val="001A190E"/>
    <w:rsid w:val="001B030A"/>
    <w:rsid w:val="001B2CDA"/>
    <w:rsid w:val="001B4E6D"/>
    <w:rsid w:val="001C0946"/>
    <w:rsid w:val="001C1A5C"/>
    <w:rsid w:val="001C3B61"/>
    <w:rsid w:val="001C4881"/>
    <w:rsid w:val="001D5FAA"/>
    <w:rsid w:val="001D7C54"/>
    <w:rsid w:val="001E1335"/>
    <w:rsid w:val="001E4C7A"/>
    <w:rsid w:val="001E6850"/>
    <w:rsid w:val="001F52D5"/>
    <w:rsid w:val="00210B1A"/>
    <w:rsid w:val="00220A78"/>
    <w:rsid w:val="002210D5"/>
    <w:rsid w:val="00221BCF"/>
    <w:rsid w:val="00224784"/>
    <w:rsid w:val="00225FB3"/>
    <w:rsid w:val="00230580"/>
    <w:rsid w:val="002313E2"/>
    <w:rsid w:val="0023211A"/>
    <w:rsid w:val="00232F7D"/>
    <w:rsid w:val="00252F5A"/>
    <w:rsid w:val="00254353"/>
    <w:rsid w:val="002549D3"/>
    <w:rsid w:val="00255684"/>
    <w:rsid w:val="00262BAF"/>
    <w:rsid w:val="00262FFE"/>
    <w:rsid w:val="00267279"/>
    <w:rsid w:val="002728DB"/>
    <w:rsid w:val="00273F0B"/>
    <w:rsid w:val="00273F16"/>
    <w:rsid w:val="0028173B"/>
    <w:rsid w:val="002861AF"/>
    <w:rsid w:val="002915EF"/>
    <w:rsid w:val="0029278F"/>
    <w:rsid w:val="00294392"/>
    <w:rsid w:val="002957BB"/>
    <w:rsid w:val="002A0DE4"/>
    <w:rsid w:val="002A2C32"/>
    <w:rsid w:val="002A5D00"/>
    <w:rsid w:val="002A64ED"/>
    <w:rsid w:val="002A78D4"/>
    <w:rsid w:val="002B270A"/>
    <w:rsid w:val="002B4721"/>
    <w:rsid w:val="002B632C"/>
    <w:rsid w:val="002B6E79"/>
    <w:rsid w:val="002B7792"/>
    <w:rsid w:val="002C1B5C"/>
    <w:rsid w:val="002C353F"/>
    <w:rsid w:val="002C3BFA"/>
    <w:rsid w:val="002C549A"/>
    <w:rsid w:val="002C56B4"/>
    <w:rsid w:val="002C7CA0"/>
    <w:rsid w:val="002D00BD"/>
    <w:rsid w:val="002D023A"/>
    <w:rsid w:val="002D2C12"/>
    <w:rsid w:val="002E3570"/>
    <w:rsid w:val="002E6850"/>
    <w:rsid w:val="002E6FC6"/>
    <w:rsid w:val="002F22DA"/>
    <w:rsid w:val="002F6C74"/>
    <w:rsid w:val="002F768A"/>
    <w:rsid w:val="003002E6"/>
    <w:rsid w:val="00304F51"/>
    <w:rsid w:val="00307C05"/>
    <w:rsid w:val="00307D5E"/>
    <w:rsid w:val="00314D30"/>
    <w:rsid w:val="0031522A"/>
    <w:rsid w:val="00321FEA"/>
    <w:rsid w:val="003234D5"/>
    <w:rsid w:val="00323F56"/>
    <w:rsid w:val="003254D5"/>
    <w:rsid w:val="0032661F"/>
    <w:rsid w:val="00327A94"/>
    <w:rsid w:val="00331C24"/>
    <w:rsid w:val="00333D58"/>
    <w:rsid w:val="003342DE"/>
    <w:rsid w:val="00336BCE"/>
    <w:rsid w:val="00341084"/>
    <w:rsid w:val="00342D65"/>
    <w:rsid w:val="00344B22"/>
    <w:rsid w:val="00345934"/>
    <w:rsid w:val="00346388"/>
    <w:rsid w:val="003518AE"/>
    <w:rsid w:val="003524C9"/>
    <w:rsid w:val="00353613"/>
    <w:rsid w:val="00355535"/>
    <w:rsid w:val="00365080"/>
    <w:rsid w:val="0036711C"/>
    <w:rsid w:val="00370352"/>
    <w:rsid w:val="0037073E"/>
    <w:rsid w:val="00370972"/>
    <w:rsid w:val="00374D87"/>
    <w:rsid w:val="003750E3"/>
    <w:rsid w:val="00376226"/>
    <w:rsid w:val="003769F1"/>
    <w:rsid w:val="00380306"/>
    <w:rsid w:val="00383896"/>
    <w:rsid w:val="00384F51"/>
    <w:rsid w:val="00393901"/>
    <w:rsid w:val="0039512C"/>
    <w:rsid w:val="0039549E"/>
    <w:rsid w:val="003A768C"/>
    <w:rsid w:val="003B14F3"/>
    <w:rsid w:val="003B32C8"/>
    <w:rsid w:val="003B46BC"/>
    <w:rsid w:val="003B4B5F"/>
    <w:rsid w:val="003B6A1A"/>
    <w:rsid w:val="003C2C80"/>
    <w:rsid w:val="003C7B61"/>
    <w:rsid w:val="003D7939"/>
    <w:rsid w:val="003E40B3"/>
    <w:rsid w:val="003E6FFF"/>
    <w:rsid w:val="003F0A37"/>
    <w:rsid w:val="003F21EA"/>
    <w:rsid w:val="003F2AD4"/>
    <w:rsid w:val="003F34E1"/>
    <w:rsid w:val="003F4C1F"/>
    <w:rsid w:val="003F53BA"/>
    <w:rsid w:val="00403C38"/>
    <w:rsid w:val="00405531"/>
    <w:rsid w:val="004063E4"/>
    <w:rsid w:val="004065A8"/>
    <w:rsid w:val="00407382"/>
    <w:rsid w:val="00413321"/>
    <w:rsid w:val="00421DC8"/>
    <w:rsid w:val="004228EC"/>
    <w:rsid w:val="0042492E"/>
    <w:rsid w:val="00430551"/>
    <w:rsid w:val="00430B01"/>
    <w:rsid w:val="004328BC"/>
    <w:rsid w:val="00435754"/>
    <w:rsid w:val="00435894"/>
    <w:rsid w:val="00435F59"/>
    <w:rsid w:val="004372F7"/>
    <w:rsid w:val="00443C95"/>
    <w:rsid w:val="00447270"/>
    <w:rsid w:val="004479A8"/>
    <w:rsid w:val="00447BE1"/>
    <w:rsid w:val="004505FB"/>
    <w:rsid w:val="00453022"/>
    <w:rsid w:val="004533FC"/>
    <w:rsid w:val="004578F4"/>
    <w:rsid w:val="00460B53"/>
    <w:rsid w:val="004637C8"/>
    <w:rsid w:val="00472D54"/>
    <w:rsid w:val="004733BE"/>
    <w:rsid w:val="00487CF7"/>
    <w:rsid w:val="004900F9"/>
    <w:rsid w:val="00490EE6"/>
    <w:rsid w:val="00492644"/>
    <w:rsid w:val="0049469E"/>
    <w:rsid w:val="00495EA0"/>
    <w:rsid w:val="004A09DD"/>
    <w:rsid w:val="004A4C8F"/>
    <w:rsid w:val="004B225A"/>
    <w:rsid w:val="004B2B75"/>
    <w:rsid w:val="004B2C81"/>
    <w:rsid w:val="004B6601"/>
    <w:rsid w:val="004C0AFB"/>
    <w:rsid w:val="004C13F1"/>
    <w:rsid w:val="004D44AF"/>
    <w:rsid w:val="004D4EE3"/>
    <w:rsid w:val="004D7953"/>
    <w:rsid w:val="004E43B5"/>
    <w:rsid w:val="004E5C06"/>
    <w:rsid w:val="004E6CC5"/>
    <w:rsid w:val="004F2753"/>
    <w:rsid w:val="004F2F66"/>
    <w:rsid w:val="004F595C"/>
    <w:rsid w:val="004F725E"/>
    <w:rsid w:val="00501CD1"/>
    <w:rsid w:val="00507396"/>
    <w:rsid w:val="00511A4B"/>
    <w:rsid w:val="0051574F"/>
    <w:rsid w:val="00517B42"/>
    <w:rsid w:val="00517D7E"/>
    <w:rsid w:val="00527E4C"/>
    <w:rsid w:val="00530689"/>
    <w:rsid w:val="00530DEB"/>
    <w:rsid w:val="00537EF5"/>
    <w:rsid w:val="005425B4"/>
    <w:rsid w:val="00543479"/>
    <w:rsid w:val="0054388F"/>
    <w:rsid w:val="00543BF5"/>
    <w:rsid w:val="00544BEA"/>
    <w:rsid w:val="00551CD9"/>
    <w:rsid w:val="00552D1A"/>
    <w:rsid w:val="00554336"/>
    <w:rsid w:val="005544D4"/>
    <w:rsid w:val="0055567B"/>
    <w:rsid w:val="00557680"/>
    <w:rsid w:val="0056259B"/>
    <w:rsid w:val="0056522A"/>
    <w:rsid w:val="00566A41"/>
    <w:rsid w:val="00566DF2"/>
    <w:rsid w:val="005679BB"/>
    <w:rsid w:val="0057483B"/>
    <w:rsid w:val="00580056"/>
    <w:rsid w:val="005855A2"/>
    <w:rsid w:val="00585846"/>
    <w:rsid w:val="00591269"/>
    <w:rsid w:val="005916F3"/>
    <w:rsid w:val="00593626"/>
    <w:rsid w:val="005A0DFA"/>
    <w:rsid w:val="005A2A54"/>
    <w:rsid w:val="005A4D52"/>
    <w:rsid w:val="005A6563"/>
    <w:rsid w:val="005A68B2"/>
    <w:rsid w:val="005A7B36"/>
    <w:rsid w:val="005A7BFD"/>
    <w:rsid w:val="005B0FD0"/>
    <w:rsid w:val="005B2DC0"/>
    <w:rsid w:val="005B2E7F"/>
    <w:rsid w:val="005B6594"/>
    <w:rsid w:val="005B6898"/>
    <w:rsid w:val="005B7E60"/>
    <w:rsid w:val="005C7925"/>
    <w:rsid w:val="005D01D8"/>
    <w:rsid w:val="005D225F"/>
    <w:rsid w:val="005E3FFC"/>
    <w:rsid w:val="005F42B9"/>
    <w:rsid w:val="005F4939"/>
    <w:rsid w:val="005F5A08"/>
    <w:rsid w:val="005F5C22"/>
    <w:rsid w:val="005F788B"/>
    <w:rsid w:val="006000D6"/>
    <w:rsid w:val="00606321"/>
    <w:rsid w:val="006073A8"/>
    <w:rsid w:val="0061263A"/>
    <w:rsid w:val="006140FC"/>
    <w:rsid w:val="00614EB3"/>
    <w:rsid w:val="00615B44"/>
    <w:rsid w:val="006162D6"/>
    <w:rsid w:val="006165B3"/>
    <w:rsid w:val="00617B37"/>
    <w:rsid w:val="0062099A"/>
    <w:rsid w:val="00621C3E"/>
    <w:rsid w:val="0062260B"/>
    <w:rsid w:val="00622C69"/>
    <w:rsid w:val="006247A6"/>
    <w:rsid w:val="006262CD"/>
    <w:rsid w:val="00626DC4"/>
    <w:rsid w:val="006308FC"/>
    <w:rsid w:val="00632040"/>
    <w:rsid w:val="006333F7"/>
    <w:rsid w:val="006346D3"/>
    <w:rsid w:val="00641A95"/>
    <w:rsid w:val="00642FC8"/>
    <w:rsid w:val="00645D83"/>
    <w:rsid w:val="00645FCB"/>
    <w:rsid w:val="006465C7"/>
    <w:rsid w:val="006465D7"/>
    <w:rsid w:val="006504CC"/>
    <w:rsid w:val="00650F0A"/>
    <w:rsid w:val="00653129"/>
    <w:rsid w:val="006533F8"/>
    <w:rsid w:val="00656936"/>
    <w:rsid w:val="006603E9"/>
    <w:rsid w:val="00661C97"/>
    <w:rsid w:val="006620D2"/>
    <w:rsid w:val="0066673C"/>
    <w:rsid w:val="00671B0C"/>
    <w:rsid w:val="00672693"/>
    <w:rsid w:val="00672D2F"/>
    <w:rsid w:val="00676C39"/>
    <w:rsid w:val="0068304E"/>
    <w:rsid w:val="006839A0"/>
    <w:rsid w:val="00683BC3"/>
    <w:rsid w:val="00685E55"/>
    <w:rsid w:val="006876CC"/>
    <w:rsid w:val="0069493C"/>
    <w:rsid w:val="006A1E7D"/>
    <w:rsid w:val="006A20F0"/>
    <w:rsid w:val="006A3533"/>
    <w:rsid w:val="006A7FB8"/>
    <w:rsid w:val="006B14B2"/>
    <w:rsid w:val="006B5703"/>
    <w:rsid w:val="006B629D"/>
    <w:rsid w:val="006D0045"/>
    <w:rsid w:val="006D17B5"/>
    <w:rsid w:val="006D1D75"/>
    <w:rsid w:val="006D29E5"/>
    <w:rsid w:val="006D3270"/>
    <w:rsid w:val="006D41A6"/>
    <w:rsid w:val="006D4753"/>
    <w:rsid w:val="006D63F3"/>
    <w:rsid w:val="006E28C6"/>
    <w:rsid w:val="006E36C8"/>
    <w:rsid w:val="006F0F32"/>
    <w:rsid w:val="006F1E8A"/>
    <w:rsid w:val="006F4C3C"/>
    <w:rsid w:val="006F4DBD"/>
    <w:rsid w:val="00704F3A"/>
    <w:rsid w:val="00705091"/>
    <w:rsid w:val="00705D78"/>
    <w:rsid w:val="00706169"/>
    <w:rsid w:val="00710771"/>
    <w:rsid w:val="0071087E"/>
    <w:rsid w:val="00711402"/>
    <w:rsid w:val="007154E0"/>
    <w:rsid w:val="007165B7"/>
    <w:rsid w:val="00722754"/>
    <w:rsid w:val="00723A17"/>
    <w:rsid w:val="0072539A"/>
    <w:rsid w:val="00731628"/>
    <w:rsid w:val="00741174"/>
    <w:rsid w:val="00747BFB"/>
    <w:rsid w:val="00762017"/>
    <w:rsid w:val="00762963"/>
    <w:rsid w:val="00765CD4"/>
    <w:rsid w:val="00767021"/>
    <w:rsid w:val="00767147"/>
    <w:rsid w:val="0076747D"/>
    <w:rsid w:val="00771D08"/>
    <w:rsid w:val="00771FDF"/>
    <w:rsid w:val="0077292A"/>
    <w:rsid w:val="00776219"/>
    <w:rsid w:val="00776DB5"/>
    <w:rsid w:val="00777A77"/>
    <w:rsid w:val="007822D7"/>
    <w:rsid w:val="00790329"/>
    <w:rsid w:val="007906F3"/>
    <w:rsid w:val="0079275A"/>
    <w:rsid w:val="0079313C"/>
    <w:rsid w:val="0079708A"/>
    <w:rsid w:val="007A45AE"/>
    <w:rsid w:val="007A51FC"/>
    <w:rsid w:val="007A5E32"/>
    <w:rsid w:val="007A7AC2"/>
    <w:rsid w:val="007B043A"/>
    <w:rsid w:val="007B1059"/>
    <w:rsid w:val="007B5F8E"/>
    <w:rsid w:val="007B732D"/>
    <w:rsid w:val="007C286A"/>
    <w:rsid w:val="007C4A21"/>
    <w:rsid w:val="007C78B5"/>
    <w:rsid w:val="007D1D27"/>
    <w:rsid w:val="007D4EFE"/>
    <w:rsid w:val="007E374A"/>
    <w:rsid w:val="007E395D"/>
    <w:rsid w:val="00800005"/>
    <w:rsid w:val="00800238"/>
    <w:rsid w:val="00804998"/>
    <w:rsid w:val="00806173"/>
    <w:rsid w:val="008075F6"/>
    <w:rsid w:val="00811614"/>
    <w:rsid w:val="00812240"/>
    <w:rsid w:val="0082170C"/>
    <w:rsid w:val="00822C15"/>
    <w:rsid w:val="00824974"/>
    <w:rsid w:val="00830924"/>
    <w:rsid w:val="00831228"/>
    <w:rsid w:val="00836241"/>
    <w:rsid w:val="0084100C"/>
    <w:rsid w:val="008473A0"/>
    <w:rsid w:val="00850702"/>
    <w:rsid w:val="008530AB"/>
    <w:rsid w:val="008537D9"/>
    <w:rsid w:val="008566E5"/>
    <w:rsid w:val="0085742D"/>
    <w:rsid w:val="00857E65"/>
    <w:rsid w:val="008606D7"/>
    <w:rsid w:val="008619D7"/>
    <w:rsid w:val="00861F47"/>
    <w:rsid w:val="00870682"/>
    <w:rsid w:val="008719D5"/>
    <w:rsid w:val="00871DBA"/>
    <w:rsid w:val="00874558"/>
    <w:rsid w:val="0087756C"/>
    <w:rsid w:val="008812E3"/>
    <w:rsid w:val="00886985"/>
    <w:rsid w:val="00892342"/>
    <w:rsid w:val="008970BD"/>
    <w:rsid w:val="008978DD"/>
    <w:rsid w:val="008A2C81"/>
    <w:rsid w:val="008B145E"/>
    <w:rsid w:val="008B2ABD"/>
    <w:rsid w:val="008B3917"/>
    <w:rsid w:val="008B75F2"/>
    <w:rsid w:val="008C03D3"/>
    <w:rsid w:val="008C065D"/>
    <w:rsid w:val="008C60C1"/>
    <w:rsid w:val="008D0184"/>
    <w:rsid w:val="008D40B3"/>
    <w:rsid w:val="008D43BD"/>
    <w:rsid w:val="008D5231"/>
    <w:rsid w:val="008D5823"/>
    <w:rsid w:val="008E1FF1"/>
    <w:rsid w:val="008E557B"/>
    <w:rsid w:val="008E56F6"/>
    <w:rsid w:val="008E5955"/>
    <w:rsid w:val="008E5EDC"/>
    <w:rsid w:val="008E6017"/>
    <w:rsid w:val="008F6290"/>
    <w:rsid w:val="008F7978"/>
    <w:rsid w:val="009004E8"/>
    <w:rsid w:val="00900DAF"/>
    <w:rsid w:val="009056A4"/>
    <w:rsid w:val="00915942"/>
    <w:rsid w:val="009174A3"/>
    <w:rsid w:val="00917C1B"/>
    <w:rsid w:val="00920856"/>
    <w:rsid w:val="00923B2F"/>
    <w:rsid w:val="00925D49"/>
    <w:rsid w:val="00925ED1"/>
    <w:rsid w:val="009269F2"/>
    <w:rsid w:val="00931967"/>
    <w:rsid w:val="00932376"/>
    <w:rsid w:val="00940FA0"/>
    <w:rsid w:val="009429EC"/>
    <w:rsid w:val="0094416F"/>
    <w:rsid w:val="009450BA"/>
    <w:rsid w:val="00946EE2"/>
    <w:rsid w:val="00954CEE"/>
    <w:rsid w:val="0096000A"/>
    <w:rsid w:val="0096687B"/>
    <w:rsid w:val="00966AE9"/>
    <w:rsid w:val="0097057C"/>
    <w:rsid w:val="00972671"/>
    <w:rsid w:val="009733CF"/>
    <w:rsid w:val="009736AD"/>
    <w:rsid w:val="00980259"/>
    <w:rsid w:val="0098092B"/>
    <w:rsid w:val="009835A7"/>
    <w:rsid w:val="00990826"/>
    <w:rsid w:val="00990A3D"/>
    <w:rsid w:val="00992DF3"/>
    <w:rsid w:val="0099339D"/>
    <w:rsid w:val="009946AC"/>
    <w:rsid w:val="00994AFF"/>
    <w:rsid w:val="00996252"/>
    <w:rsid w:val="009A03C6"/>
    <w:rsid w:val="009A3710"/>
    <w:rsid w:val="009A4423"/>
    <w:rsid w:val="009A4732"/>
    <w:rsid w:val="009A487D"/>
    <w:rsid w:val="009A5AF5"/>
    <w:rsid w:val="009A7A78"/>
    <w:rsid w:val="009B1E0C"/>
    <w:rsid w:val="009B2122"/>
    <w:rsid w:val="009D194D"/>
    <w:rsid w:val="009D2FC9"/>
    <w:rsid w:val="009D314E"/>
    <w:rsid w:val="009D4D41"/>
    <w:rsid w:val="009D7536"/>
    <w:rsid w:val="009E793C"/>
    <w:rsid w:val="009F155F"/>
    <w:rsid w:val="009F2A11"/>
    <w:rsid w:val="009F3FE0"/>
    <w:rsid w:val="009F6E7B"/>
    <w:rsid w:val="00A014D5"/>
    <w:rsid w:val="00A04387"/>
    <w:rsid w:val="00A062D2"/>
    <w:rsid w:val="00A138C9"/>
    <w:rsid w:val="00A14E5F"/>
    <w:rsid w:val="00A150DF"/>
    <w:rsid w:val="00A16E0B"/>
    <w:rsid w:val="00A1727D"/>
    <w:rsid w:val="00A17391"/>
    <w:rsid w:val="00A20FA5"/>
    <w:rsid w:val="00A221CE"/>
    <w:rsid w:val="00A22CEC"/>
    <w:rsid w:val="00A250A0"/>
    <w:rsid w:val="00A346E3"/>
    <w:rsid w:val="00A377AE"/>
    <w:rsid w:val="00A37DA6"/>
    <w:rsid w:val="00A41459"/>
    <w:rsid w:val="00A42103"/>
    <w:rsid w:val="00A42F44"/>
    <w:rsid w:val="00A462E1"/>
    <w:rsid w:val="00A51C22"/>
    <w:rsid w:val="00A54343"/>
    <w:rsid w:val="00A552F7"/>
    <w:rsid w:val="00A55C6D"/>
    <w:rsid w:val="00A55E04"/>
    <w:rsid w:val="00A570E5"/>
    <w:rsid w:val="00A578B3"/>
    <w:rsid w:val="00A60C1E"/>
    <w:rsid w:val="00A6459E"/>
    <w:rsid w:val="00A66BE6"/>
    <w:rsid w:val="00A77010"/>
    <w:rsid w:val="00A858C7"/>
    <w:rsid w:val="00A86268"/>
    <w:rsid w:val="00A87406"/>
    <w:rsid w:val="00A935FB"/>
    <w:rsid w:val="00A95845"/>
    <w:rsid w:val="00A97014"/>
    <w:rsid w:val="00AA16AA"/>
    <w:rsid w:val="00AA27E8"/>
    <w:rsid w:val="00AA2913"/>
    <w:rsid w:val="00AA6F62"/>
    <w:rsid w:val="00AB438D"/>
    <w:rsid w:val="00AB5679"/>
    <w:rsid w:val="00AB6698"/>
    <w:rsid w:val="00AC13D8"/>
    <w:rsid w:val="00AC2064"/>
    <w:rsid w:val="00AC29D9"/>
    <w:rsid w:val="00AC46A3"/>
    <w:rsid w:val="00AC4719"/>
    <w:rsid w:val="00AC50C4"/>
    <w:rsid w:val="00AC6C24"/>
    <w:rsid w:val="00AD5613"/>
    <w:rsid w:val="00AD5F7C"/>
    <w:rsid w:val="00AE7EFC"/>
    <w:rsid w:val="00AF0B0A"/>
    <w:rsid w:val="00AF447A"/>
    <w:rsid w:val="00AF5E2F"/>
    <w:rsid w:val="00B016FA"/>
    <w:rsid w:val="00B02294"/>
    <w:rsid w:val="00B03F54"/>
    <w:rsid w:val="00B067E5"/>
    <w:rsid w:val="00B078CC"/>
    <w:rsid w:val="00B12DF8"/>
    <w:rsid w:val="00B12E60"/>
    <w:rsid w:val="00B1472B"/>
    <w:rsid w:val="00B14AF3"/>
    <w:rsid w:val="00B163DC"/>
    <w:rsid w:val="00B1706A"/>
    <w:rsid w:val="00B210D6"/>
    <w:rsid w:val="00B2115F"/>
    <w:rsid w:val="00B2359A"/>
    <w:rsid w:val="00B33C1E"/>
    <w:rsid w:val="00B40B86"/>
    <w:rsid w:val="00B410D1"/>
    <w:rsid w:val="00B4351F"/>
    <w:rsid w:val="00B436B6"/>
    <w:rsid w:val="00B453A5"/>
    <w:rsid w:val="00B46BF8"/>
    <w:rsid w:val="00B504B1"/>
    <w:rsid w:val="00B53332"/>
    <w:rsid w:val="00B6260D"/>
    <w:rsid w:val="00B63D6D"/>
    <w:rsid w:val="00B641CB"/>
    <w:rsid w:val="00B654C2"/>
    <w:rsid w:val="00B701F0"/>
    <w:rsid w:val="00B70BF7"/>
    <w:rsid w:val="00B73913"/>
    <w:rsid w:val="00B76CA9"/>
    <w:rsid w:val="00B808B2"/>
    <w:rsid w:val="00B81F98"/>
    <w:rsid w:val="00B84C56"/>
    <w:rsid w:val="00B84CEF"/>
    <w:rsid w:val="00B86D4F"/>
    <w:rsid w:val="00B935B2"/>
    <w:rsid w:val="00B950F2"/>
    <w:rsid w:val="00B95F86"/>
    <w:rsid w:val="00BA09BD"/>
    <w:rsid w:val="00BB0338"/>
    <w:rsid w:val="00BB03F9"/>
    <w:rsid w:val="00BB1B48"/>
    <w:rsid w:val="00BB288E"/>
    <w:rsid w:val="00BB7802"/>
    <w:rsid w:val="00BC313C"/>
    <w:rsid w:val="00BC349D"/>
    <w:rsid w:val="00BD0088"/>
    <w:rsid w:val="00BD2102"/>
    <w:rsid w:val="00BD4B37"/>
    <w:rsid w:val="00BD6AC4"/>
    <w:rsid w:val="00BD768D"/>
    <w:rsid w:val="00BE066F"/>
    <w:rsid w:val="00BE6980"/>
    <w:rsid w:val="00BE7768"/>
    <w:rsid w:val="00BE7A80"/>
    <w:rsid w:val="00BF156C"/>
    <w:rsid w:val="00BF330A"/>
    <w:rsid w:val="00BF37FF"/>
    <w:rsid w:val="00BF3E05"/>
    <w:rsid w:val="00BF3F75"/>
    <w:rsid w:val="00BF45B5"/>
    <w:rsid w:val="00BF589D"/>
    <w:rsid w:val="00C03F63"/>
    <w:rsid w:val="00C07BC3"/>
    <w:rsid w:val="00C1110E"/>
    <w:rsid w:val="00C11409"/>
    <w:rsid w:val="00C12A7A"/>
    <w:rsid w:val="00C169B7"/>
    <w:rsid w:val="00C20815"/>
    <w:rsid w:val="00C20B68"/>
    <w:rsid w:val="00C20DB1"/>
    <w:rsid w:val="00C2234F"/>
    <w:rsid w:val="00C22A8E"/>
    <w:rsid w:val="00C23EC4"/>
    <w:rsid w:val="00C24098"/>
    <w:rsid w:val="00C269AB"/>
    <w:rsid w:val="00C3075D"/>
    <w:rsid w:val="00C319CE"/>
    <w:rsid w:val="00C32EBE"/>
    <w:rsid w:val="00C33C67"/>
    <w:rsid w:val="00C35A81"/>
    <w:rsid w:val="00C3615C"/>
    <w:rsid w:val="00C36C69"/>
    <w:rsid w:val="00C41B82"/>
    <w:rsid w:val="00C41CAB"/>
    <w:rsid w:val="00C4262F"/>
    <w:rsid w:val="00C43567"/>
    <w:rsid w:val="00C472DC"/>
    <w:rsid w:val="00C47B0C"/>
    <w:rsid w:val="00C52CC0"/>
    <w:rsid w:val="00C541F2"/>
    <w:rsid w:val="00C552D1"/>
    <w:rsid w:val="00C57506"/>
    <w:rsid w:val="00C57E28"/>
    <w:rsid w:val="00C655A7"/>
    <w:rsid w:val="00C66A60"/>
    <w:rsid w:val="00C70D23"/>
    <w:rsid w:val="00C75D82"/>
    <w:rsid w:val="00C7668D"/>
    <w:rsid w:val="00C8051D"/>
    <w:rsid w:val="00C806D4"/>
    <w:rsid w:val="00C817DF"/>
    <w:rsid w:val="00C839C0"/>
    <w:rsid w:val="00C83F57"/>
    <w:rsid w:val="00C8549E"/>
    <w:rsid w:val="00C87E35"/>
    <w:rsid w:val="00C90BFD"/>
    <w:rsid w:val="00C92006"/>
    <w:rsid w:val="00C9700C"/>
    <w:rsid w:val="00CA07DD"/>
    <w:rsid w:val="00CA12AE"/>
    <w:rsid w:val="00CA42C0"/>
    <w:rsid w:val="00CA6B9B"/>
    <w:rsid w:val="00CB1E1A"/>
    <w:rsid w:val="00CB2A1F"/>
    <w:rsid w:val="00CB389D"/>
    <w:rsid w:val="00CB51C0"/>
    <w:rsid w:val="00CB6793"/>
    <w:rsid w:val="00CB71D8"/>
    <w:rsid w:val="00CC0A70"/>
    <w:rsid w:val="00CC0DD0"/>
    <w:rsid w:val="00CC0E80"/>
    <w:rsid w:val="00CC20BF"/>
    <w:rsid w:val="00CD57F5"/>
    <w:rsid w:val="00CD5968"/>
    <w:rsid w:val="00CD73BB"/>
    <w:rsid w:val="00CE3F9C"/>
    <w:rsid w:val="00CE45F9"/>
    <w:rsid w:val="00CE6919"/>
    <w:rsid w:val="00CF009E"/>
    <w:rsid w:val="00CF0A76"/>
    <w:rsid w:val="00CF2B05"/>
    <w:rsid w:val="00CF5B47"/>
    <w:rsid w:val="00CF750B"/>
    <w:rsid w:val="00D0279A"/>
    <w:rsid w:val="00D05442"/>
    <w:rsid w:val="00D05562"/>
    <w:rsid w:val="00D061F4"/>
    <w:rsid w:val="00D06D22"/>
    <w:rsid w:val="00D12519"/>
    <w:rsid w:val="00D15AFD"/>
    <w:rsid w:val="00D16B35"/>
    <w:rsid w:val="00D22429"/>
    <w:rsid w:val="00D248B4"/>
    <w:rsid w:val="00D25E05"/>
    <w:rsid w:val="00D329F5"/>
    <w:rsid w:val="00D35FC5"/>
    <w:rsid w:val="00D41913"/>
    <w:rsid w:val="00D44954"/>
    <w:rsid w:val="00D47918"/>
    <w:rsid w:val="00D5202F"/>
    <w:rsid w:val="00D5232B"/>
    <w:rsid w:val="00D5698D"/>
    <w:rsid w:val="00D63ED4"/>
    <w:rsid w:val="00D6478E"/>
    <w:rsid w:val="00D648E7"/>
    <w:rsid w:val="00D718C3"/>
    <w:rsid w:val="00D71D02"/>
    <w:rsid w:val="00D7212E"/>
    <w:rsid w:val="00D72467"/>
    <w:rsid w:val="00D75370"/>
    <w:rsid w:val="00D7641E"/>
    <w:rsid w:val="00D80747"/>
    <w:rsid w:val="00D80E3E"/>
    <w:rsid w:val="00D83CC5"/>
    <w:rsid w:val="00D85318"/>
    <w:rsid w:val="00D8550A"/>
    <w:rsid w:val="00D87CA8"/>
    <w:rsid w:val="00D919CC"/>
    <w:rsid w:val="00D95437"/>
    <w:rsid w:val="00D978DC"/>
    <w:rsid w:val="00DA2CF4"/>
    <w:rsid w:val="00DA3417"/>
    <w:rsid w:val="00DA3E78"/>
    <w:rsid w:val="00DA3F20"/>
    <w:rsid w:val="00DB6763"/>
    <w:rsid w:val="00DC3E72"/>
    <w:rsid w:val="00DC75D1"/>
    <w:rsid w:val="00DC7635"/>
    <w:rsid w:val="00DC7BC5"/>
    <w:rsid w:val="00DD17FB"/>
    <w:rsid w:val="00DD187F"/>
    <w:rsid w:val="00DD7D49"/>
    <w:rsid w:val="00DE3770"/>
    <w:rsid w:val="00DE5CEB"/>
    <w:rsid w:val="00DE6EE5"/>
    <w:rsid w:val="00DF2265"/>
    <w:rsid w:val="00DF452E"/>
    <w:rsid w:val="00DF4D4C"/>
    <w:rsid w:val="00DF7413"/>
    <w:rsid w:val="00DF7668"/>
    <w:rsid w:val="00E00A46"/>
    <w:rsid w:val="00E05EB3"/>
    <w:rsid w:val="00E068E9"/>
    <w:rsid w:val="00E11C18"/>
    <w:rsid w:val="00E142B3"/>
    <w:rsid w:val="00E17A68"/>
    <w:rsid w:val="00E17B2F"/>
    <w:rsid w:val="00E20C43"/>
    <w:rsid w:val="00E21AFF"/>
    <w:rsid w:val="00E21E7E"/>
    <w:rsid w:val="00E25DA7"/>
    <w:rsid w:val="00E276C3"/>
    <w:rsid w:val="00E27767"/>
    <w:rsid w:val="00E27FCA"/>
    <w:rsid w:val="00E405ED"/>
    <w:rsid w:val="00E43831"/>
    <w:rsid w:val="00E45A16"/>
    <w:rsid w:val="00E53CAD"/>
    <w:rsid w:val="00E6039B"/>
    <w:rsid w:val="00E65ABE"/>
    <w:rsid w:val="00E67CB4"/>
    <w:rsid w:val="00E713B0"/>
    <w:rsid w:val="00E76BBD"/>
    <w:rsid w:val="00E81546"/>
    <w:rsid w:val="00E82EDE"/>
    <w:rsid w:val="00E901F1"/>
    <w:rsid w:val="00E92452"/>
    <w:rsid w:val="00E95228"/>
    <w:rsid w:val="00EA1B1D"/>
    <w:rsid w:val="00EA20E8"/>
    <w:rsid w:val="00EA45CC"/>
    <w:rsid w:val="00EA4E59"/>
    <w:rsid w:val="00EA5F1F"/>
    <w:rsid w:val="00EB0194"/>
    <w:rsid w:val="00EB0AB6"/>
    <w:rsid w:val="00EB30A4"/>
    <w:rsid w:val="00EB334B"/>
    <w:rsid w:val="00EC382B"/>
    <w:rsid w:val="00EC3990"/>
    <w:rsid w:val="00EC4BAC"/>
    <w:rsid w:val="00EC4E83"/>
    <w:rsid w:val="00EC63A4"/>
    <w:rsid w:val="00EC640F"/>
    <w:rsid w:val="00ED0D47"/>
    <w:rsid w:val="00ED38C5"/>
    <w:rsid w:val="00ED5E6A"/>
    <w:rsid w:val="00ED6DC8"/>
    <w:rsid w:val="00ED70A2"/>
    <w:rsid w:val="00EE3602"/>
    <w:rsid w:val="00EE67C0"/>
    <w:rsid w:val="00EF04B0"/>
    <w:rsid w:val="00EF0937"/>
    <w:rsid w:val="00EF42E2"/>
    <w:rsid w:val="00F043D7"/>
    <w:rsid w:val="00F062ED"/>
    <w:rsid w:val="00F10363"/>
    <w:rsid w:val="00F115C5"/>
    <w:rsid w:val="00F11AD1"/>
    <w:rsid w:val="00F16B32"/>
    <w:rsid w:val="00F2224E"/>
    <w:rsid w:val="00F2428E"/>
    <w:rsid w:val="00F24EB8"/>
    <w:rsid w:val="00F2513D"/>
    <w:rsid w:val="00F26B1A"/>
    <w:rsid w:val="00F31A6F"/>
    <w:rsid w:val="00F331B9"/>
    <w:rsid w:val="00F40072"/>
    <w:rsid w:val="00F44B0D"/>
    <w:rsid w:val="00F50A36"/>
    <w:rsid w:val="00F53DD5"/>
    <w:rsid w:val="00F55484"/>
    <w:rsid w:val="00F61085"/>
    <w:rsid w:val="00F6204A"/>
    <w:rsid w:val="00F63648"/>
    <w:rsid w:val="00F706D3"/>
    <w:rsid w:val="00F7127B"/>
    <w:rsid w:val="00F71D90"/>
    <w:rsid w:val="00F73FA8"/>
    <w:rsid w:val="00F749FF"/>
    <w:rsid w:val="00F74FBD"/>
    <w:rsid w:val="00F75B40"/>
    <w:rsid w:val="00F77D81"/>
    <w:rsid w:val="00F83AC2"/>
    <w:rsid w:val="00F90392"/>
    <w:rsid w:val="00F90615"/>
    <w:rsid w:val="00F91ACD"/>
    <w:rsid w:val="00F923ED"/>
    <w:rsid w:val="00F92A72"/>
    <w:rsid w:val="00F934AF"/>
    <w:rsid w:val="00F952A0"/>
    <w:rsid w:val="00F961F3"/>
    <w:rsid w:val="00FA034B"/>
    <w:rsid w:val="00FA15F2"/>
    <w:rsid w:val="00FA25AC"/>
    <w:rsid w:val="00FA63F3"/>
    <w:rsid w:val="00FB4149"/>
    <w:rsid w:val="00FC04F0"/>
    <w:rsid w:val="00FC0CD4"/>
    <w:rsid w:val="00FC390A"/>
    <w:rsid w:val="00FD6A89"/>
    <w:rsid w:val="00FD7E27"/>
    <w:rsid w:val="00FE3A2B"/>
    <w:rsid w:val="00FE3B1F"/>
    <w:rsid w:val="00FE43B0"/>
    <w:rsid w:val="00FE4CD7"/>
    <w:rsid w:val="00FE6503"/>
    <w:rsid w:val="00FF0A70"/>
    <w:rsid w:val="00FF219C"/>
    <w:rsid w:val="00FF24C7"/>
    <w:rsid w:val="00FF3D6F"/>
    <w:rsid w:val="00FF4BBB"/>
    <w:rsid w:val="0137659F"/>
    <w:rsid w:val="015334C9"/>
    <w:rsid w:val="019B1B6D"/>
    <w:rsid w:val="022E3484"/>
    <w:rsid w:val="02463ABF"/>
    <w:rsid w:val="029764B8"/>
    <w:rsid w:val="029E398B"/>
    <w:rsid w:val="02A371B2"/>
    <w:rsid w:val="02AE3B1F"/>
    <w:rsid w:val="02DB21D1"/>
    <w:rsid w:val="02E27D16"/>
    <w:rsid w:val="0326409A"/>
    <w:rsid w:val="03452178"/>
    <w:rsid w:val="034F7102"/>
    <w:rsid w:val="038742D9"/>
    <w:rsid w:val="03B175EF"/>
    <w:rsid w:val="03D76F34"/>
    <w:rsid w:val="04895F2E"/>
    <w:rsid w:val="048E18CD"/>
    <w:rsid w:val="04EB2668"/>
    <w:rsid w:val="05072139"/>
    <w:rsid w:val="05596E0B"/>
    <w:rsid w:val="05740424"/>
    <w:rsid w:val="05802D47"/>
    <w:rsid w:val="05876ACC"/>
    <w:rsid w:val="05CE0C4F"/>
    <w:rsid w:val="05F7326D"/>
    <w:rsid w:val="06215761"/>
    <w:rsid w:val="062C51A3"/>
    <w:rsid w:val="06357A3E"/>
    <w:rsid w:val="067A4160"/>
    <w:rsid w:val="067F73AD"/>
    <w:rsid w:val="069E5C29"/>
    <w:rsid w:val="06E47C44"/>
    <w:rsid w:val="07394621"/>
    <w:rsid w:val="074975EE"/>
    <w:rsid w:val="082F2348"/>
    <w:rsid w:val="083378D0"/>
    <w:rsid w:val="083E7A3A"/>
    <w:rsid w:val="084E71A9"/>
    <w:rsid w:val="085221E4"/>
    <w:rsid w:val="085F26EE"/>
    <w:rsid w:val="087D1CE6"/>
    <w:rsid w:val="08B2657A"/>
    <w:rsid w:val="08C93DE4"/>
    <w:rsid w:val="08D12F8B"/>
    <w:rsid w:val="08E458C1"/>
    <w:rsid w:val="091C1D9B"/>
    <w:rsid w:val="09336848"/>
    <w:rsid w:val="09703606"/>
    <w:rsid w:val="09B13514"/>
    <w:rsid w:val="09BE0A46"/>
    <w:rsid w:val="09C149CA"/>
    <w:rsid w:val="0A0A40C8"/>
    <w:rsid w:val="0A4505E1"/>
    <w:rsid w:val="0A510573"/>
    <w:rsid w:val="0A86407F"/>
    <w:rsid w:val="0AA91AC1"/>
    <w:rsid w:val="0ACF40E5"/>
    <w:rsid w:val="0BA949BA"/>
    <w:rsid w:val="0C071380"/>
    <w:rsid w:val="0C823B38"/>
    <w:rsid w:val="0CB52394"/>
    <w:rsid w:val="0CE46B4A"/>
    <w:rsid w:val="0D3E43E7"/>
    <w:rsid w:val="0D3E4E9B"/>
    <w:rsid w:val="0D516DF9"/>
    <w:rsid w:val="0D583AE1"/>
    <w:rsid w:val="0D5A0848"/>
    <w:rsid w:val="0D7D3D80"/>
    <w:rsid w:val="0DE911AC"/>
    <w:rsid w:val="0E057656"/>
    <w:rsid w:val="0E0E2131"/>
    <w:rsid w:val="0E1D01B5"/>
    <w:rsid w:val="0E68490C"/>
    <w:rsid w:val="0EB55A66"/>
    <w:rsid w:val="0ECD15BB"/>
    <w:rsid w:val="0EFD148A"/>
    <w:rsid w:val="0F517A28"/>
    <w:rsid w:val="0F5E6B56"/>
    <w:rsid w:val="0F785254"/>
    <w:rsid w:val="0F902CCD"/>
    <w:rsid w:val="0F9F2315"/>
    <w:rsid w:val="0FD66E76"/>
    <w:rsid w:val="0FFC699B"/>
    <w:rsid w:val="101954C1"/>
    <w:rsid w:val="10296A2B"/>
    <w:rsid w:val="10420CDA"/>
    <w:rsid w:val="106349A8"/>
    <w:rsid w:val="10C23ADD"/>
    <w:rsid w:val="10CC098E"/>
    <w:rsid w:val="10DF403F"/>
    <w:rsid w:val="111354C8"/>
    <w:rsid w:val="11484522"/>
    <w:rsid w:val="11610A06"/>
    <w:rsid w:val="117707CC"/>
    <w:rsid w:val="11862055"/>
    <w:rsid w:val="11D802DE"/>
    <w:rsid w:val="11E37225"/>
    <w:rsid w:val="11ED078A"/>
    <w:rsid w:val="12324185"/>
    <w:rsid w:val="124C2BBB"/>
    <w:rsid w:val="125651B6"/>
    <w:rsid w:val="12761529"/>
    <w:rsid w:val="12AA7B7B"/>
    <w:rsid w:val="12BF2167"/>
    <w:rsid w:val="12C65D7C"/>
    <w:rsid w:val="12DE25D9"/>
    <w:rsid w:val="135875D7"/>
    <w:rsid w:val="13923AD2"/>
    <w:rsid w:val="13D749A0"/>
    <w:rsid w:val="142C25F0"/>
    <w:rsid w:val="144A2C1F"/>
    <w:rsid w:val="145B30F5"/>
    <w:rsid w:val="145E0AE4"/>
    <w:rsid w:val="148B7D46"/>
    <w:rsid w:val="152149F8"/>
    <w:rsid w:val="15225950"/>
    <w:rsid w:val="15265CF5"/>
    <w:rsid w:val="1572180A"/>
    <w:rsid w:val="15887CD3"/>
    <w:rsid w:val="15C77A87"/>
    <w:rsid w:val="161032A9"/>
    <w:rsid w:val="161D0664"/>
    <w:rsid w:val="163D745D"/>
    <w:rsid w:val="164732D5"/>
    <w:rsid w:val="165A3300"/>
    <w:rsid w:val="168004AF"/>
    <w:rsid w:val="16B11567"/>
    <w:rsid w:val="16B625D6"/>
    <w:rsid w:val="1764262E"/>
    <w:rsid w:val="176F247D"/>
    <w:rsid w:val="177D54E6"/>
    <w:rsid w:val="17A07012"/>
    <w:rsid w:val="17E22115"/>
    <w:rsid w:val="1844637C"/>
    <w:rsid w:val="18893D8F"/>
    <w:rsid w:val="188C5381"/>
    <w:rsid w:val="18AC3C01"/>
    <w:rsid w:val="18B85453"/>
    <w:rsid w:val="1909164A"/>
    <w:rsid w:val="190F1C78"/>
    <w:rsid w:val="192755D0"/>
    <w:rsid w:val="19927F79"/>
    <w:rsid w:val="19CA1792"/>
    <w:rsid w:val="1A22421B"/>
    <w:rsid w:val="1A63615E"/>
    <w:rsid w:val="1AD16BE2"/>
    <w:rsid w:val="1AE26521"/>
    <w:rsid w:val="1B06628E"/>
    <w:rsid w:val="1B79109C"/>
    <w:rsid w:val="1BC36C3C"/>
    <w:rsid w:val="1C2F44C9"/>
    <w:rsid w:val="1C505C76"/>
    <w:rsid w:val="1C9A3182"/>
    <w:rsid w:val="1CA5382A"/>
    <w:rsid w:val="1CB60FE5"/>
    <w:rsid w:val="1D022A76"/>
    <w:rsid w:val="1D0D71EF"/>
    <w:rsid w:val="1D2C216B"/>
    <w:rsid w:val="1D6D6EE1"/>
    <w:rsid w:val="1DA914AE"/>
    <w:rsid w:val="1DDC09C2"/>
    <w:rsid w:val="1E213B1A"/>
    <w:rsid w:val="1E343EE2"/>
    <w:rsid w:val="1F060B09"/>
    <w:rsid w:val="1F0A1EFD"/>
    <w:rsid w:val="1F2C2360"/>
    <w:rsid w:val="1F3A633D"/>
    <w:rsid w:val="1F4A6332"/>
    <w:rsid w:val="1F5A0379"/>
    <w:rsid w:val="1F5B1E8A"/>
    <w:rsid w:val="1F844ACE"/>
    <w:rsid w:val="1F933745"/>
    <w:rsid w:val="1FC0077F"/>
    <w:rsid w:val="1FFD640C"/>
    <w:rsid w:val="20087C8F"/>
    <w:rsid w:val="204D28BD"/>
    <w:rsid w:val="2054616A"/>
    <w:rsid w:val="20594C9A"/>
    <w:rsid w:val="20694209"/>
    <w:rsid w:val="2093443B"/>
    <w:rsid w:val="20A06A5B"/>
    <w:rsid w:val="20E44CA0"/>
    <w:rsid w:val="211251F5"/>
    <w:rsid w:val="21154D5A"/>
    <w:rsid w:val="21731A80"/>
    <w:rsid w:val="21D028FA"/>
    <w:rsid w:val="21DD6EFA"/>
    <w:rsid w:val="21EF6C24"/>
    <w:rsid w:val="220F06DD"/>
    <w:rsid w:val="221C2849"/>
    <w:rsid w:val="22253F09"/>
    <w:rsid w:val="226B16FA"/>
    <w:rsid w:val="22A0630B"/>
    <w:rsid w:val="235546B0"/>
    <w:rsid w:val="23B4686F"/>
    <w:rsid w:val="23FA1D3F"/>
    <w:rsid w:val="2454571E"/>
    <w:rsid w:val="24E73DF7"/>
    <w:rsid w:val="25081AED"/>
    <w:rsid w:val="252E7A72"/>
    <w:rsid w:val="25B44582"/>
    <w:rsid w:val="25DA55B8"/>
    <w:rsid w:val="26105AEF"/>
    <w:rsid w:val="261E645E"/>
    <w:rsid w:val="262C7835"/>
    <w:rsid w:val="2670658E"/>
    <w:rsid w:val="26AA718F"/>
    <w:rsid w:val="26DA2507"/>
    <w:rsid w:val="27036136"/>
    <w:rsid w:val="2789611F"/>
    <w:rsid w:val="27CC08F8"/>
    <w:rsid w:val="27E45B68"/>
    <w:rsid w:val="27F05BD9"/>
    <w:rsid w:val="28351ACB"/>
    <w:rsid w:val="283602B3"/>
    <w:rsid w:val="28A47EA8"/>
    <w:rsid w:val="28B00F91"/>
    <w:rsid w:val="28F72F97"/>
    <w:rsid w:val="28FB31CE"/>
    <w:rsid w:val="294044CE"/>
    <w:rsid w:val="29546686"/>
    <w:rsid w:val="29583F6E"/>
    <w:rsid w:val="299E1C1A"/>
    <w:rsid w:val="29B165B4"/>
    <w:rsid w:val="29D01D3C"/>
    <w:rsid w:val="2A052FD4"/>
    <w:rsid w:val="2A0E0598"/>
    <w:rsid w:val="2A185859"/>
    <w:rsid w:val="2A386D9D"/>
    <w:rsid w:val="2A7B6971"/>
    <w:rsid w:val="2A8252F5"/>
    <w:rsid w:val="2A905451"/>
    <w:rsid w:val="2A9769E6"/>
    <w:rsid w:val="2ABB7305"/>
    <w:rsid w:val="2AE3364E"/>
    <w:rsid w:val="2B0D6D78"/>
    <w:rsid w:val="2B563166"/>
    <w:rsid w:val="2B632E76"/>
    <w:rsid w:val="2C14760E"/>
    <w:rsid w:val="2C157FEC"/>
    <w:rsid w:val="2C646B3B"/>
    <w:rsid w:val="2C6A1786"/>
    <w:rsid w:val="2C9269DA"/>
    <w:rsid w:val="2CAD5E46"/>
    <w:rsid w:val="2CAF5C93"/>
    <w:rsid w:val="2CC43190"/>
    <w:rsid w:val="2CCF34B2"/>
    <w:rsid w:val="2CE67DB8"/>
    <w:rsid w:val="2D23596E"/>
    <w:rsid w:val="2D2B7FB1"/>
    <w:rsid w:val="2DD33BEA"/>
    <w:rsid w:val="2DF753F3"/>
    <w:rsid w:val="2E263827"/>
    <w:rsid w:val="2E2D5263"/>
    <w:rsid w:val="2E513836"/>
    <w:rsid w:val="2E627140"/>
    <w:rsid w:val="2EC41BF2"/>
    <w:rsid w:val="2EDA3ED6"/>
    <w:rsid w:val="2F335142"/>
    <w:rsid w:val="2F490323"/>
    <w:rsid w:val="2F5E167A"/>
    <w:rsid w:val="2F715E9F"/>
    <w:rsid w:val="30D01D12"/>
    <w:rsid w:val="31012C04"/>
    <w:rsid w:val="31142525"/>
    <w:rsid w:val="31483744"/>
    <w:rsid w:val="316D784E"/>
    <w:rsid w:val="31723557"/>
    <w:rsid w:val="31D449D0"/>
    <w:rsid w:val="325952C7"/>
    <w:rsid w:val="32AC24D8"/>
    <w:rsid w:val="32DD3D3F"/>
    <w:rsid w:val="32E10588"/>
    <w:rsid w:val="32FA4BA9"/>
    <w:rsid w:val="330F2495"/>
    <w:rsid w:val="331704BD"/>
    <w:rsid w:val="334D5700"/>
    <w:rsid w:val="33742515"/>
    <w:rsid w:val="3389284D"/>
    <w:rsid w:val="33F027C8"/>
    <w:rsid w:val="33FF66AE"/>
    <w:rsid w:val="34AB779F"/>
    <w:rsid w:val="34E42621"/>
    <w:rsid w:val="34FA4956"/>
    <w:rsid w:val="34FD1935"/>
    <w:rsid w:val="3523075C"/>
    <w:rsid w:val="354B30DE"/>
    <w:rsid w:val="35522719"/>
    <w:rsid w:val="35814314"/>
    <w:rsid w:val="35970E48"/>
    <w:rsid w:val="35CE0770"/>
    <w:rsid w:val="35EE4B17"/>
    <w:rsid w:val="36813CC6"/>
    <w:rsid w:val="368D2CCB"/>
    <w:rsid w:val="36E7211F"/>
    <w:rsid w:val="37347096"/>
    <w:rsid w:val="37477BDB"/>
    <w:rsid w:val="37534696"/>
    <w:rsid w:val="376936DD"/>
    <w:rsid w:val="3823671E"/>
    <w:rsid w:val="383C4372"/>
    <w:rsid w:val="386D0811"/>
    <w:rsid w:val="38DA75AB"/>
    <w:rsid w:val="3914549F"/>
    <w:rsid w:val="394762CF"/>
    <w:rsid w:val="396B4D78"/>
    <w:rsid w:val="39727BE4"/>
    <w:rsid w:val="39A6259B"/>
    <w:rsid w:val="39CB0253"/>
    <w:rsid w:val="39D466BC"/>
    <w:rsid w:val="3A0C753E"/>
    <w:rsid w:val="3AFD61EB"/>
    <w:rsid w:val="3B0A0213"/>
    <w:rsid w:val="3B2F187C"/>
    <w:rsid w:val="3BC60920"/>
    <w:rsid w:val="3BDE3B98"/>
    <w:rsid w:val="3C7F2B87"/>
    <w:rsid w:val="3CD607F5"/>
    <w:rsid w:val="3CDD62DF"/>
    <w:rsid w:val="3E0456AB"/>
    <w:rsid w:val="3E210442"/>
    <w:rsid w:val="3E351992"/>
    <w:rsid w:val="3E497999"/>
    <w:rsid w:val="3EC219BE"/>
    <w:rsid w:val="3ECE2606"/>
    <w:rsid w:val="3EDD33CB"/>
    <w:rsid w:val="3F7144BD"/>
    <w:rsid w:val="3F782176"/>
    <w:rsid w:val="3F85610C"/>
    <w:rsid w:val="3FDE2142"/>
    <w:rsid w:val="3FFC0435"/>
    <w:rsid w:val="40541616"/>
    <w:rsid w:val="40774C27"/>
    <w:rsid w:val="407C248E"/>
    <w:rsid w:val="407E0F2B"/>
    <w:rsid w:val="408323EF"/>
    <w:rsid w:val="408C0AD5"/>
    <w:rsid w:val="409E221E"/>
    <w:rsid w:val="40BE1D32"/>
    <w:rsid w:val="41517290"/>
    <w:rsid w:val="42442951"/>
    <w:rsid w:val="426E3E72"/>
    <w:rsid w:val="42AF7DD4"/>
    <w:rsid w:val="42C849F8"/>
    <w:rsid w:val="42DF46B3"/>
    <w:rsid w:val="43701287"/>
    <w:rsid w:val="43BB47FB"/>
    <w:rsid w:val="44337740"/>
    <w:rsid w:val="443A1120"/>
    <w:rsid w:val="443A6796"/>
    <w:rsid w:val="444B6D06"/>
    <w:rsid w:val="445A0C15"/>
    <w:rsid w:val="44802648"/>
    <w:rsid w:val="448F0B5E"/>
    <w:rsid w:val="44A27E03"/>
    <w:rsid w:val="44E159CF"/>
    <w:rsid w:val="44E6046C"/>
    <w:rsid w:val="44FB6886"/>
    <w:rsid w:val="4509487E"/>
    <w:rsid w:val="453D457F"/>
    <w:rsid w:val="45483559"/>
    <w:rsid w:val="456D52CF"/>
    <w:rsid w:val="45A52CD8"/>
    <w:rsid w:val="45D72D19"/>
    <w:rsid w:val="46F304F7"/>
    <w:rsid w:val="4712708C"/>
    <w:rsid w:val="47300ED3"/>
    <w:rsid w:val="479B4674"/>
    <w:rsid w:val="47D84B60"/>
    <w:rsid w:val="47DE73A4"/>
    <w:rsid w:val="480B2645"/>
    <w:rsid w:val="48B06AE9"/>
    <w:rsid w:val="48C324D1"/>
    <w:rsid w:val="48FE39E5"/>
    <w:rsid w:val="493703AF"/>
    <w:rsid w:val="493F5E50"/>
    <w:rsid w:val="49550A5F"/>
    <w:rsid w:val="498D7405"/>
    <w:rsid w:val="49D4280C"/>
    <w:rsid w:val="49E47230"/>
    <w:rsid w:val="4A315949"/>
    <w:rsid w:val="4A43603B"/>
    <w:rsid w:val="4A8A3813"/>
    <w:rsid w:val="4B0C07A1"/>
    <w:rsid w:val="4B225EDD"/>
    <w:rsid w:val="4B3901B0"/>
    <w:rsid w:val="4B3E0C8C"/>
    <w:rsid w:val="4BB96379"/>
    <w:rsid w:val="4BDF7FC3"/>
    <w:rsid w:val="4C1A13B7"/>
    <w:rsid w:val="4C2555A1"/>
    <w:rsid w:val="4C411CB0"/>
    <w:rsid w:val="4C7262D2"/>
    <w:rsid w:val="4C903268"/>
    <w:rsid w:val="4CA27D90"/>
    <w:rsid w:val="4CF64455"/>
    <w:rsid w:val="4E2F77AC"/>
    <w:rsid w:val="4E455463"/>
    <w:rsid w:val="4E8923E9"/>
    <w:rsid w:val="4F371C8D"/>
    <w:rsid w:val="4F8E6B2F"/>
    <w:rsid w:val="50385EA1"/>
    <w:rsid w:val="50647DD8"/>
    <w:rsid w:val="508A3423"/>
    <w:rsid w:val="50A373DC"/>
    <w:rsid w:val="50AD25A8"/>
    <w:rsid w:val="50B74D8C"/>
    <w:rsid w:val="50B85EFA"/>
    <w:rsid w:val="50F87728"/>
    <w:rsid w:val="5155243B"/>
    <w:rsid w:val="51757C4B"/>
    <w:rsid w:val="517D5B5C"/>
    <w:rsid w:val="518A1021"/>
    <w:rsid w:val="51B92038"/>
    <w:rsid w:val="51F45050"/>
    <w:rsid w:val="52140EE5"/>
    <w:rsid w:val="522022C0"/>
    <w:rsid w:val="522352C6"/>
    <w:rsid w:val="525B350F"/>
    <w:rsid w:val="52886750"/>
    <w:rsid w:val="52AF77D3"/>
    <w:rsid w:val="52EC292D"/>
    <w:rsid w:val="52F43F1F"/>
    <w:rsid w:val="5348780F"/>
    <w:rsid w:val="53502299"/>
    <w:rsid w:val="53641748"/>
    <w:rsid w:val="536A211B"/>
    <w:rsid w:val="53A53FF8"/>
    <w:rsid w:val="53B02F92"/>
    <w:rsid w:val="53D63625"/>
    <w:rsid w:val="53EC197D"/>
    <w:rsid w:val="53F81B57"/>
    <w:rsid w:val="53F87569"/>
    <w:rsid w:val="54071E21"/>
    <w:rsid w:val="541D6890"/>
    <w:rsid w:val="546B1CB7"/>
    <w:rsid w:val="54754273"/>
    <w:rsid w:val="54CF0BBD"/>
    <w:rsid w:val="55074BC5"/>
    <w:rsid w:val="5567366E"/>
    <w:rsid w:val="556857A4"/>
    <w:rsid w:val="55975D69"/>
    <w:rsid w:val="55B13BDB"/>
    <w:rsid w:val="55C220B3"/>
    <w:rsid w:val="56044770"/>
    <w:rsid w:val="56065296"/>
    <w:rsid w:val="56133F49"/>
    <w:rsid w:val="563D0A12"/>
    <w:rsid w:val="564E0B56"/>
    <w:rsid w:val="56555344"/>
    <w:rsid w:val="56972E93"/>
    <w:rsid w:val="569F233C"/>
    <w:rsid w:val="576D288D"/>
    <w:rsid w:val="579721BE"/>
    <w:rsid w:val="57BF7092"/>
    <w:rsid w:val="57E22FDF"/>
    <w:rsid w:val="58306A9F"/>
    <w:rsid w:val="5874501F"/>
    <w:rsid w:val="58871675"/>
    <w:rsid w:val="590043B0"/>
    <w:rsid w:val="59613991"/>
    <w:rsid w:val="59702F38"/>
    <w:rsid w:val="59C510BE"/>
    <w:rsid w:val="5A032094"/>
    <w:rsid w:val="5B2146B7"/>
    <w:rsid w:val="5BA10B81"/>
    <w:rsid w:val="5BB751BD"/>
    <w:rsid w:val="5BCB5AAD"/>
    <w:rsid w:val="5C0C1F9E"/>
    <w:rsid w:val="5C2C48EB"/>
    <w:rsid w:val="5C6C74ED"/>
    <w:rsid w:val="5C9A739D"/>
    <w:rsid w:val="5CF42237"/>
    <w:rsid w:val="5D0C147C"/>
    <w:rsid w:val="5D1F42CF"/>
    <w:rsid w:val="5D283106"/>
    <w:rsid w:val="5D745BF0"/>
    <w:rsid w:val="5D7A7F7C"/>
    <w:rsid w:val="5D8030A5"/>
    <w:rsid w:val="5D804D2D"/>
    <w:rsid w:val="5D8E24E9"/>
    <w:rsid w:val="5D9352A1"/>
    <w:rsid w:val="5DA53C27"/>
    <w:rsid w:val="5DD24E50"/>
    <w:rsid w:val="5DFE302A"/>
    <w:rsid w:val="5E607C20"/>
    <w:rsid w:val="5E6442C2"/>
    <w:rsid w:val="5E8C3CE0"/>
    <w:rsid w:val="5E8F33E0"/>
    <w:rsid w:val="5EEB68C8"/>
    <w:rsid w:val="5F2B7797"/>
    <w:rsid w:val="5F520003"/>
    <w:rsid w:val="5F592028"/>
    <w:rsid w:val="5F703451"/>
    <w:rsid w:val="5F8E0A77"/>
    <w:rsid w:val="5F8E0F70"/>
    <w:rsid w:val="5F9A3C70"/>
    <w:rsid w:val="5FA04CCE"/>
    <w:rsid w:val="5FB6714D"/>
    <w:rsid w:val="5FD636D0"/>
    <w:rsid w:val="5FE546DC"/>
    <w:rsid w:val="5FE64056"/>
    <w:rsid w:val="605215A2"/>
    <w:rsid w:val="607250C6"/>
    <w:rsid w:val="607F080D"/>
    <w:rsid w:val="61BB026E"/>
    <w:rsid w:val="61CE7046"/>
    <w:rsid w:val="61D45C62"/>
    <w:rsid w:val="620C773C"/>
    <w:rsid w:val="62125F22"/>
    <w:rsid w:val="62193B44"/>
    <w:rsid w:val="62640EAB"/>
    <w:rsid w:val="627A21BD"/>
    <w:rsid w:val="62953E80"/>
    <w:rsid w:val="62F7703F"/>
    <w:rsid w:val="62FD2091"/>
    <w:rsid w:val="630F2E44"/>
    <w:rsid w:val="63EF661E"/>
    <w:rsid w:val="64235377"/>
    <w:rsid w:val="6436261C"/>
    <w:rsid w:val="64412D3D"/>
    <w:rsid w:val="644219A8"/>
    <w:rsid w:val="64F51A13"/>
    <w:rsid w:val="65B46E32"/>
    <w:rsid w:val="65C85707"/>
    <w:rsid w:val="65D30F4A"/>
    <w:rsid w:val="65F065A9"/>
    <w:rsid w:val="65F35C48"/>
    <w:rsid w:val="65F67978"/>
    <w:rsid w:val="65FE20EE"/>
    <w:rsid w:val="660217B4"/>
    <w:rsid w:val="66444454"/>
    <w:rsid w:val="66620352"/>
    <w:rsid w:val="668C0EC9"/>
    <w:rsid w:val="66CD0DD8"/>
    <w:rsid w:val="66DA5008"/>
    <w:rsid w:val="66E77112"/>
    <w:rsid w:val="67434A37"/>
    <w:rsid w:val="678269D9"/>
    <w:rsid w:val="67961B57"/>
    <w:rsid w:val="67C57B1C"/>
    <w:rsid w:val="680D77CC"/>
    <w:rsid w:val="6831369E"/>
    <w:rsid w:val="683C7AA3"/>
    <w:rsid w:val="684F4452"/>
    <w:rsid w:val="6860521B"/>
    <w:rsid w:val="68672A17"/>
    <w:rsid w:val="68692B4B"/>
    <w:rsid w:val="693D4AE1"/>
    <w:rsid w:val="69456CF1"/>
    <w:rsid w:val="69CE3337"/>
    <w:rsid w:val="69EE108F"/>
    <w:rsid w:val="69FE2589"/>
    <w:rsid w:val="6A1810E4"/>
    <w:rsid w:val="6A2E2D28"/>
    <w:rsid w:val="6A5F5CCB"/>
    <w:rsid w:val="6A885221"/>
    <w:rsid w:val="6A9836A1"/>
    <w:rsid w:val="6AC44964"/>
    <w:rsid w:val="6AE4546E"/>
    <w:rsid w:val="6AEA365D"/>
    <w:rsid w:val="6B4F053D"/>
    <w:rsid w:val="6B5812C5"/>
    <w:rsid w:val="6B735C79"/>
    <w:rsid w:val="6B7635C5"/>
    <w:rsid w:val="6BB52E77"/>
    <w:rsid w:val="6BE45604"/>
    <w:rsid w:val="6BE50451"/>
    <w:rsid w:val="6BF80C10"/>
    <w:rsid w:val="6C6770B8"/>
    <w:rsid w:val="6CC60283"/>
    <w:rsid w:val="6CE22D84"/>
    <w:rsid w:val="6D121E3F"/>
    <w:rsid w:val="6D152BEB"/>
    <w:rsid w:val="6D666D7B"/>
    <w:rsid w:val="6DBF6998"/>
    <w:rsid w:val="6DD10979"/>
    <w:rsid w:val="6E2A4841"/>
    <w:rsid w:val="6E2C5628"/>
    <w:rsid w:val="6E393B4B"/>
    <w:rsid w:val="6E5B202B"/>
    <w:rsid w:val="6E7431E9"/>
    <w:rsid w:val="6E8E0466"/>
    <w:rsid w:val="6E8F40DC"/>
    <w:rsid w:val="6E9817AB"/>
    <w:rsid w:val="6EA812D3"/>
    <w:rsid w:val="6EDC1FE0"/>
    <w:rsid w:val="6FBE6DF9"/>
    <w:rsid w:val="6FCB6A78"/>
    <w:rsid w:val="6FFE3215"/>
    <w:rsid w:val="704232A8"/>
    <w:rsid w:val="7097772E"/>
    <w:rsid w:val="70AA79C1"/>
    <w:rsid w:val="712B1068"/>
    <w:rsid w:val="71566079"/>
    <w:rsid w:val="71950224"/>
    <w:rsid w:val="71AD4849"/>
    <w:rsid w:val="71C4522A"/>
    <w:rsid w:val="722B357C"/>
    <w:rsid w:val="724C2CE1"/>
    <w:rsid w:val="730356A9"/>
    <w:rsid w:val="733E19BE"/>
    <w:rsid w:val="739A4CCC"/>
    <w:rsid w:val="73A164AE"/>
    <w:rsid w:val="74441A16"/>
    <w:rsid w:val="746F2FAE"/>
    <w:rsid w:val="74E00A25"/>
    <w:rsid w:val="74EE70DF"/>
    <w:rsid w:val="7576277D"/>
    <w:rsid w:val="758025CE"/>
    <w:rsid w:val="75D073C6"/>
    <w:rsid w:val="76204C69"/>
    <w:rsid w:val="764D3A7B"/>
    <w:rsid w:val="76826E52"/>
    <w:rsid w:val="76AE22C2"/>
    <w:rsid w:val="775540C7"/>
    <w:rsid w:val="77DF5765"/>
    <w:rsid w:val="788B7B69"/>
    <w:rsid w:val="78F61EF0"/>
    <w:rsid w:val="79414954"/>
    <w:rsid w:val="799D76BB"/>
    <w:rsid w:val="79B60B3B"/>
    <w:rsid w:val="7A0D1EB5"/>
    <w:rsid w:val="7A2053AC"/>
    <w:rsid w:val="7A694E90"/>
    <w:rsid w:val="7A6A0CFC"/>
    <w:rsid w:val="7A9457ED"/>
    <w:rsid w:val="7AB5589B"/>
    <w:rsid w:val="7AD40992"/>
    <w:rsid w:val="7AF661D7"/>
    <w:rsid w:val="7B291956"/>
    <w:rsid w:val="7B483060"/>
    <w:rsid w:val="7BA2336B"/>
    <w:rsid w:val="7BA6343F"/>
    <w:rsid w:val="7BBE0E7E"/>
    <w:rsid w:val="7BD945C5"/>
    <w:rsid w:val="7C6232FA"/>
    <w:rsid w:val="7CFA3D6A"/>
    <w:rsid w:val="7D11190D"/>
    <w:rsid w:val="7D2E4DCE"/>
    <w:rsid w:val="7D3237C2"/>
    <w:rsid w:val="7D514FC1"/>
    <w:rsid w:val="7DC266CD"/>
    <w:rsid w:val="7E8B6C36"/>
    <w:rsid w:val="7EBC562D"/>
    <w:rsid w:val="7ED52422"/>
    <w:rsid w:val="7F0C3E47"/>
    <w:rsid w:val="7F2301A8"/>
    <w:rsid w:val="7F2964B5"/>
    <w:rsid w:val="7F4C286A"/>
    <w:rsid w:val="7F864898"/>
    <w:rsid w:val="7F911EB1"/>
    <w:rsid w:val="7F961D37"/>
    <w:rsid w:val="7FCC37E3"/>
    <w:rsid w:val="7FE00E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name="List Number"/>
    <w:lsdException w:uiPriority="0" w:name="List 2"/>
    <w:lsdException w:uiPriority="0" w:name="List 3"/>
    <w:lsdException w:unhideWhenUsed="0" w:uiPriority="0" w:name="List 4"/>
    <w:lsdException w:unhideWhenUsed="0"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Times New Roman" w:hAnsi="Times New Roman" w:eastAsia="宋体" w:cs="Times New Roman"/>
      <w:color w:val="000000"/>
      <w:kern w:val="2"/>
      <w:sz w:val="28"/>
      <w:szCs w:val="24"/>
      <w:lang w:val="en-US" w:eastAsia="zh-CN" w:bidi="ar-SA"/>
    </w:rPr>
  </w:style>
  <w:style w:type="paragraph" w:styleId="3">
    <w:name w:val="heading 1"/>
    <w:basedOn w:val="1"/>
    <w:next w:val="1"/>
    <w:qFormat/>
    <w:uiPriority w:val="0"/>
    <w:pPr>
      <w:keepNext/>
      <w:keepLines/>
      <w:pageBreakBefore/>
      <w:ind w:firstLine="0" w:firstLineChars="0"/>
      <w:jc w:val="center"/>
      <w:outlineLvl w:val="0"/>
    </w:pPr>
    <w:rPr>
      <w:rFonts w:ascii="黑体" w:hAnsi="黑体" w:eastAsia="黑体"/>
      <w:bCs/>
      <w:kern w:val="44"/>
      <w:sz w:val="32"/>
      <w:szCs w:val="32"/>
    </w:rPr>
  </w:style>
  <w:style w:type="paragraph" w:styleId="4">
    <w:name w:val="heading 2"/>
    <w:basedOn w:val="1"/>
    <w:next w:val="1"/>
    <w:link w:val="95"/>
    <w:qFormat/>
    <w:uiPriority w:val="0"/>
    <w:pPr>
      <w:keepNext/>
      <w:keepLines/>
      <w:outlineLvl w:val="1"/>
    </w:pPr>
    <w:rPr>
      <w:rFonts w:ascii="宋体" w:hAnsi="宋体"/>
      <w:b/>
      <w:bCs/>
      <w:color w:val="auto"/>
      <w:szCs w:val="28"/>
    </w:rPr>
  </w:style>
  <w:style w:type="paragraph" w:styleId="5">
    <w:name w:val="heading 3"/>
    <w:basedOn w:val="1"/>
    <w:next w:val="1"/>
    <w:link w:val="50"/>
    <w:qFormat/>
    <w:uiPriority w:val="0"/>
    <w:pPr>
      <w:keepNext/>
      <w:keepLines/>
      <w:outlineLvl w:val="2"/>
    </w:pPr>
    <w:rPr>
      <w:rFonts w:ascii="宋体" w:hAnsi="宋体"/>
      <w:b/>
      <w:bCs/>
      <w:color w:val="000000" w:themeColor="text1"/>
      <w:szCs w:val="28"/>
    </w:rPr>
  </w:style>
  <w:style w:type="paragraph" w:styleId="6">
    <w:name w:val="heading 4"/>
    <w:basedOn w:val="1"/>
    <w:next w:val="1"/>
    <w:qFormat/>
    <w:uiPriority w:val="0"/>
    <w:pPr>
      <w:keepNext/>
      <w:ind w:firstLine="560"/>
      <w:outlineLvl w:val="3"/>
    </w:pPr>
    <w:rPr>
      <w:rFonts w:ascii="宋体" w:hAnsi="宋体"/>
      <w:b/>
      <w:color w:val="auto"/>
    </w:rPr>
  </w:style>
  <w:style w:type="paragraph" w:styleId="7">
    <w:name w:val="heading 5"/>
    <w:basedOn w:val="1"/>
    <w:next w:val="1"/>
    <w:unhideWhenUsed/>
    <w:qFormat/>
    <w:uiPriority w:val="9"/>
    <w:pPr>
      <w:keepNext/>
      <w:keepLines/>
      <w:kinsoku w:val="0"/>
      <w:autoSpaceDE w:val="0"/>
      <w:autoSpaceDN w:val="0"/>
      <w:spacing w:before="280" w:after="290" w:line="376" w:lineRule="atLeast"/>
      <w:outlineLvl w:val="4"/>
    </w:pPr>
    <w:rPr>
      <w:b/>
      <w:bCs/>
      <w:szCs w:val="28"/>
      <w:lang w:val="zh-CN"/>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8">
    <w:name w:val="toc 7"/>
    <w:basedOn w:val="1"/>
    <w:next w:val="1"/>
    <w:unhideWhenUsed/>
    <w:qFormat/>
    <w:uiPriority w:val="39"/>
    <w:pPr>
      <w:ind w:left="1680"/>
      <w:jc w:val="left"/>
    </w:pPr>
    <w:rPr>
      <w:rFonts w:asciiTheme="minorHAnsi" w:hAnsiTheme="minorHAnsi" w:cstheme="minorHAnsi"/>
      <w:sz w:val="18"/>
      <w:szCs w:val="18"/>
    </w:rPr>
  </w:style>
  <w:style w:type="paragraph" w:styleId="9">
    <w:name w:val="Normal Indent"/>
    <w:basedOn w:val="1"/>
    <w:qFormat/>
    <w:uiPriority w:val="0"/>
    <w:pPr>
      <w:ind w:firstLine="420"/>
    </w:pPr>
    <w:rPr>
      <w:rFonts w:ascii="等线" w:hAnsi="等线" w:eastAsia="等线"/>
      <w:color w:val="auto"/>
      <w:sz w:val="21"/>
      <w:szCs w:val="20"/>
    </w:rPr>
  </w:style>
  <w:style w:type="paragraph" w:styleId="10">
    <w:name w:val="caption"/>
    <w:basedOn w:val="1"/>
    <w:next w:val="1"/>
    <w:qFormat/>
    <w:uiPriority w:val="0"/>
    <w:rPr>
      <w:rFonts w:ascii="Arial" w:hAnsi="Arial" w:eastAsia="黑体" w:cs="Arial"/>
      <w:sz w:val="20"/>
      <w:szCs w:val="20"/>
    </w:rPr>
  </w:style>
  <w:style w:type="paragraph" w:styleId="11">
    <w:name w:val="Document Map"/>
    <w:basedOn w:val="1"/>
    <w:link w:val="94"/>
    <w:semiHidden/>
    <w:unhideWhenUsed/>
    <w:qFormat/>
    <w:uiPriority w:val="0"/>
    <w:rPr>
      <w:rFonts w:ascii="宋体"/>
      <w:sz w:val="18"/>
      <w:szCs w:val="18"/>
    </w:rPr>
  </w:style>
  <w:style w:type="paragraph" w:styleId="12">
    <w:name w:val="annotation text"/>
    <w:basedOn w:val="1"/>
    <w:link w:val="53"/>
    <w:qFormat/>
    <w:uiPriority w:val="99"/>
    <w:pPr>
      <w:jc w:val="left"/>
    </w:pPr>
  </w:style>
  <w:style w:type="paragraph" w:styleId="13">
    <w:name w:val="Body Text"/>
    <w:basedOn w:val="1"/>
    <w:next w:val="1"/>
    <w:link w:val="54"/>
    <w:qFormat/>
    <w:uiPriority w:val="0"/>
    <w:pPr>
      <w:spacing w:after="120"/>
    </w:pPr>
    <w:rPr>
      <w:rFonts w:ascii="等线" w:hAnsi="等线" w:eastAsia="等线"/>
      <w:color w:val="auto"/>
      <w:sz w:val="21"/>
    </w:rPr>
  </w:style>
  <w:style w:type="paragraph" w:styleId="14">
    <w:name w:val="Body Text Indent"/>
    <w:basedOn w:val="1"/>
    <w:qFormat/>
    <w:uiPriority w:val="0"/>
    <w:pPr>
      <w:widowControl/>
      <w:ind w:left="720" w:leftChars="300"/>
    </w:pPr>
    <w:rPr>
      <w:kern w:val="0"/>
      <w:sz w:val="24"/>
    </w:rPr>
  </w:style>
  <w:style w:type="paragraph" w:styleId="15">
    <w:name w:val="toc 5"/>
    <w:basedOn w:val="1"/>
    <w:next w:val="1"/>
    <w:unhideWhenUsed/>
    <w:qFormat/>
    <w:uiPriority w:val="39"/>
    <w:pPr>
      <w:ind w:left="1120"/>
      <w:jc w:val="left"/>
    </w:pPr>
    <w:rPr>
      <w:rFonts w:asciiTheme="minorHAnsi" w:hAnsiTheme="minorHAnsi" w:cstheme="minorHAnsi"/>
      <w:sz w:val="18"/>
      <w:szCs w:val="18"/>
    </w:rPr>
  </w:style>
  <w:style w:type="paragraph" w:styleId="16">
    <w:name w:val="toc 3"/>
    <w:basedOn w:val="1"/>
    <w:next w:val="1"/>
    <w:unhideWhenUsed/>
    <w:qFormat/>
    <w:uiPriority w:val="39"/>
    <w:pPr>
      <w:ind w:left="560"/>
      <w:jc w:val="left"/>
    </w:pPr>
    <w:rPr>
      <w:rFonts w:asciiTheme="minorHAnsi" w:hAnsiTheme="minorHAnsi" w:cstheme="minorHAnsi"/>
      <w:i/>
      <w:iCs/>
      <w:sz w:val="20"/>
      <w:szCs w:val="20"/>
    </w:rPr>
  </w:style>
  <w:style w:type="paragraph" w:styleId="17">
    <w:name w:val="toc 8"/>
    <w:basedOn w:val="1"/>
    <w:next w:val="1"/>
    <w:unhideWhenUsed/>
    <w:qFormat/>
    <w:uiPriority w:val="39"/>
    <w:pPr>
      <w:ind w:left="1960"/>
      <w:jc w:val="left"/>
    </w:pPr>
    <w:rPr>
      <w:rFonts w:asciiTheme="minorHAnsi" w:hAnsiTheme="minorHAnsi" w:cstheme="minorHAnsi"/>
      <w:sz w:val="18"/>
      <w:szCs w:val="18"/>
    </w:rPr>
  </w:style>
  <w:style w:type="paragraph" w:styleId="18">
    <w:name w:val="Date"/>
    <w:basedOn w:val="1"/>
    <w:next w:val="1"/>
    <w:link w:val="64"/>
    <w:qFormat/>
    <w:uiPriority w:val="0"/>
    <w:pPr>
      <w:ind w:left="100" w:leftChars="2500"/>
    </w:pPr>
  </w:style>
  <w:style w:type="paragraph" w:styleId="19">
    <w:name w:val="Body Text Indent 2"/>
    <w:basedOn w:val="1"/>
    <w:qFormat/>
    <w:uiPriority w:val="0"/>
    <w:pPr>
      <w:spacing w:line="600" w:lineRule="atLeast"/>
      <w:ind w:firstLine="560"/>
    </w:pPr>
    <w:rPr>
      <w:snapToGrid w:val="0"/>
      <w:kern w:val="0"/>
    </w:rPr>
  </w:style>
  <w:style w:type="paragraph" w:styleId="20">
    <w:name w:val="Balloon Text"/>
    <w:basedOn w:val="1"/>
    <w:link w:val="63"/>
    <w:qFormat/>
    <w:uiPriority w:val="0"/>
    <w:pPr>
      <w:spacing w:line="240" w:lineRule="auto"/>
    </w:pPr>
    <w:rPr>
      <w:sz w:val="18"/>
      <w:szCs w:val="18"/>
    </w:rPr>
  </w:style>
  <w:style w:type="paragraph" w:styleId="21">
    <w:name w:val="footer"/>
    <w:basedOn w:val="1"/>
    <w:link w:val="55"/>
    <w:qFormat/>
    <w:uiPriority w:val="99"/>
    <w:pPr>
      <w:tabs>
        <w:tab w:val="center" w:pos="4153"/>
        <w:tab w:val="right" w:pos="8306"/>
      </w:tabs>
      <w:jc w:val="left"/>
    </w:pPr>
    <w:rPr>
      <w:rFonts w:ascii="等线" w:hAnsi="等线"/>
      <w:color w:val="auto"/>
      <w:sz w:val="18"/>
      <w:szCs w:val="18"/>
    </w:rPr>
  </w:style>
  <w:style w:type="paragraph" w:styleId="22">
    <w:name w:val="header"/>
    <w:basedOn w:val="1"/>
    <w:qFormat/>
    <w:uiPriority w:val="0"/>
    <w:pPr>
      <w:pBdr>
        <w:bottom w:val="single" w:color="auto" w:sz="6" w:space="1"/>
      </w:pBdr>
      <w:tabs>
        <w:tab w:val="center" w:pos="4153"/>
        <w:tab w:val="right" w:pos="8306"/>
      </w:tabs>
      <w:jc w:val="center"/>
    </w:pPr>
    <w:rPr>
      <w:rFonts w:ascii="等线" w:hAnsi="等线"/>
      <w:color w:val="auto"/>
      <w:sz w:val="18"/>
      <w:szCs w:val="18"/>
    </w:rPr>
  </w:style>
  <w:style w:type="paragraph" w:styleId="23">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24">
    <w:name w:val="toc 4"/>
    <w:basedOn w:val="1"/>
    <w:next w:val="1"/>
    <w:unhideWhenUsed/>
    <w:qFormat/>
    <w:uiPriority w:val="39"/>
    <w:pPr>
      <w:ind w:left="840"/>
      <w:jc w:val="left"/>
    </w:pPr>
    <w:rPr>
      <w:rFonts w:asciiTheme="minorHAnsi" w:hAnsiTheme="minorHAnsi" w:cstheme="minorHAnsi"/>
      <w:sz w:val="18"/>
      <w:szCs w:val="18"/>
    </w:rPr>
  </w:style>
  <w:style w:type="paragraph" w:styleId="25">
    <w:name w:val="index heading"/>
    <w:basedOn w:val="1"/>
    <w:next w:val="26"/>
    <w:qFormat/>
    <w:uiPriority w:val="0"/>
  </w:style>
  <w:style w:type="paragraph" w:styleId="26">
    <w:name w:val="index 1"/>
    <w:basedOn w:val="1"/>
    <w:next w:val="1"/>
    <w:qFormat/>
    <w:uiPriority w:val="0"/>
    <w:pPr>
      <w:spacing w:line="260" w:lineRule="exact"/>
    </w:pPr>
    <w:rPr>
      <w:snapToGrid w:val="0"/>
      <w:kern w:val="0"/>
    </w:rPr>
  </w:style>
  <w:style w:type="paragraph" w:styleId="27">
    <w:name w:val="toc 6"/>
    <w:basedOn w:val="1"/>
    <w:next w:val="1"/>
    <w:unhideWhenUsed/>
    <w:qFormat/>
    <w:uiPriority w:val="39"/>
    <w:pPr>
      <w:ind w:left="1400"/>
      <w:jc w:val="left"/>
    </w:pPr>
    <w:rPr>
      <w:rFonts w:asciiTheme="minorHAnsi" w:hAnsiTheme="minorHAnsi" w:cstheme="minorHAnsi"/>
      <w:sz w:val="18"/>
      <w:szCs w:val="18"/>
    </w:rPr>
  </w:style>
  <w:style w:type="paragraph" w:styleId="28">
    <w:name w:val="Body Text Indent 3"/>
    <w:basedOn w:val="1"/>
    <w:qFormat/>
    <w:uiPriority w:val="0"/>
    <w:pPr>
      <w:ind w:firstLine="520"/>
    </w:pPr>
    <w:rPr>
      <w:spacing w:val="10"/>
      <w:sz w:val="24"/>
      <w:szCs w:val="30"/>
    </w:rPr>
  </w:style>
  <w:style w:type="paragraph" w:styleId="29">
    <w:name w:val="toc 2"/>
    <w:basedOn w:val="1"/>
    <w:next w:val="1"/>
    <w:qFormat/>
    <w:uiPriority w:val="39"/>
    <w:pPr>
      <w:ind w:left="280"/>
      <w:jc w:val="left"/>
    </w:pPr>
    <w:rPr>
      <w:rFonts w:asciiTheme="minorHAnsi" w:hAnsiTheme="minorHAnsi" w:cstheme="minorHAnsi"/>
      <w:smallCaps/>
      <w:sz w:val="20"/>
      <w:szCs w:val="20"/>
    </w:rPr>
  </w:style>
  <w:style w:type="paragraph" w:styleId="30">
    <w:name w:val="toc 9"/>
    <w:basedOn w:val="1"/>
    <w:next w:val="1"/>
    <w:unhideWhenUsed/>
    <w:qFormat/>
    <w:uiPriority w:val="39"/>
    <w:pPr>
      <w:ind w:left="2240"/>
      <w:jc w:val="left"/>
    </w:pPr>
    <w:rPr>
      <w:rFonts w:asciiTheme="minorHAnsi" w:hAnsiTheme="minorHAnsi" w:cstheme="minorHAnsi"/>
      <w:sz w:val="18"/>
      <w:szCs w:val="18"/>
    </w:rPr>
  </w:style>
  <w:style w:type="paragraph" w:styleId="31">
    <w:name w:val="Body Text 2"/>
    <w:basedOn w:val="1"/>
    <w:qFormat/>
    <w:uiPriority w:val="0"/>
    <w:rPr>
      <w:szCs w:val="20"/>
    </w:rPr>
  </w:style>
  <w:style w:type="paragraph" w:styleId="32">
    <w:name w:val="Normal (Web)"/>
    <w:basedOn w:val="1"/>
    <w:qFormat/>
    <w:uiPriority w:val="99"/>
    <w:pPr>
      <w:widowControl/>
      <w:jc w:val="left"/>
    </w:pPr>
    <w:rPr>
      <w:rFonts w:ascii="仿宋_GB2312" w:hAnsi="宋体" w:eastAsia="仿宋_GB2312"/>
      <w:kern w:val="0"/>
      <w:szCs w:val="28"/>
    </w:rPr>
  </w:style>
  <w:style w:type="paragraph" w:styleId="33">
    <w:name w:val="annotation subject"/>
    <w:basedOn w:val="12"/>
    <w:next w:val="12"/>
    <w:link w:val="65"/>
    <w:qFormat/>
    <w:uiPriority w:val="0"/>
    <w:rPr>
      <w:b/>
      <w:bCs/>
    </w:rPr>
  </w:style>
  <w:style w:type="paragraph" w:styleId="34">
    <w:name w:val="Body Text First Indent"/>
    <w:basedOn w:val="13"/>
    <w:link w:val="67"/>
    <w:qFormat/>
    <w:uiPriority w:val="0"/>
    <w:pPr>
      <w:ind w:firstLine="420" w:firstLineChars="100"/>
    </w:pPr>
    <w:rPr>
      <w:rFonts w:ascii="Times New Roman" w:hAnsi="Times New Roman" w:eastAsia="宋体"/>
      <w:color w:val="000000"/>
      <w:sz w:val="28"/>
    </w:rPr>
  </w:style>
  <w:style w:type="paragraph" w:styleId="35">
    <w:name w:val="Body Text First Indent 2"/>
    <w:basedOn w:val="1"/>
    <w:next w:val="1"/>
    <w:qFormat/>
    <w:uiPriority w:val="99"/>
    <w:pPr>
      <w:ind w:firstLine="420"/>
    </w:p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uiPriority w:val="0"/>
    <w:rPr>
      <w:b/>
      <w:bCs/>
    </w:rPr>
  </w:style>
  <w:style w:type="character" w:styleId="40">
    <w:name w:val="page number"/>
    <w:basedOn w:val="38"/>
    <w:qFormat/>
    <w:uiPriority w:val="0"/>
  </w:style>
  <w:style w:type="character" w:styleId="41">
    <w:name w:val="FollowedHyperlink"/>
    <w:basedOn w:val="38"/>
    <w:semiHidden/>
    <w:unhideWhenUsed/>
    <w:qFormat/>
    <w:uiPriority w:val="0"/>
    <w:rPr>
      <w:color w:val="222222"/>
      <w:sz w:val="21"/>
      <w:szCs w:val="21"/>
      <w:u w:val="none"/>
    </w:rPr>
  </w:style>
  <w:style w:type="character" w:styleId="42">
    <w:name w:val="Emphasis"/>
    <w:basedOn w:val="38"/>
    <w:qFormat/>
    <w:uiPriority w:val="0"/>
  </w:style>
  <w:style w:type="character" w:styleId="43">
    <w:name w:val="HTML Definition"/>
    <w:basedOn w:val="38"/>
    <w:semiHidden/>
    <w:unhideWhenUsed/>
    <w:qFormat/>
    <w:uiPriority w:val="0"/>
    <w:rPr>
      <w:i/>
      <w:iCs/>
    </w:rPr>
  </w:style>
  <w:style w:type="character" w:styleId="44">
    <w:name w:val="Hyperlink"/>
    <w:basedOn w:val="38"/>
    <w:qFormat/>
    <w:uiPriority w:val="99"/>
    <w:rPr>
      <w:color w:val="000000"/>
      <w:u w:val="none"/>
    </w:rPr>
  </w:style>
  <w:style w:type="character" w:styleId="45">
    <w:name w:val="HTML Code"/>
    <w:basedOn w:val="38"/>
    <w:semiHidden/>
    <w:unhideWhenUsed/>
    <w:qFormat/>
    <w:uiPriority w:val="0"/>
    <w:rPr>
      <w:rFonts w:hint="default" w:ascii="Consolas" w:hAnsi="Consolas" w:eastAsia="Consolas" w:cs="Consolas"/>
      <w:color w:val="C7254E"/>
      <w:sz w:val="21"/>
      <w:szCs w:val="21"/>
      <w:shd w:val="clear" w:color="auto" w:fill="F9F2F4"/>
    </w:rPr>
  </w:style>
  <w:style w:type="character" w:styleId="46">
    <w:name w:val="annotation reference"/>
    <w:basedOn w:val="38"/>
    <w:qFormat/>
    <w:uiPriority w:val="0"/>
    <w:rPr>
      <w:sz w:val="21"/>
      <w:szCs w:val="21"/>
    </w:rPr>
  </w:style>
  <w:style w:type="character" w:styleId="47">
    <w:name w:val="HTML Cite"/>
    <w:basedOn w:val="38"/>
    <w:semiHidden/>
    <w:unhideWhenUsed/>
    <w:qFormat/>
    <w:uiPriority w:val="0"/>
  </w:style>
  <w:style w:type="character" w:styleId="48">
    <w:name w:val="HTML Keyboard"/>
    <w:basedOn w:val="38"/>
    <w:semiHidden/>
    <w:unhideWhenUsed/>
    <w:qFormat/>
    <w:uiPriority w:val="0"/>
    <w:rPr>
      <w:rFonts w:ascii="Consolas" w:hAnsi="Consolas" w:eastAsia="Consolas" w:cs="Consolas"/>
      <w:color w:val="FFFFFF"/>
      <w:sz w:val="21"/>
      <w:szCs w:val="21"/>
      <w:shd w:val="clear" w:color="auto" w:fill="333333"/>
    </w:rPr>
  </w:style>
  <w:style w:type="character" w:styleId="49">
    <w:name w:val="HTML Sample"/>
    <w:basedOn w:val="38"/>
    <w:semiHidden/>
    <w:unhideWhenUsed/>
    <w:qFormat/>
    <w:uiPriority w:val="0"/>
    <w:rPr>
      <w:rFonts w:hint="default" w:ascii="Consolas" w:hAnsi="Consolas" w:eastAsia="Consolas" w:cs="Consolas"/>
      <w:sz w:val="21"/>
      <w:szCs w:val="21"/>
    </w:rPr>
  </w:style>
  <w:style w:type="character" w:customStyle="1" w:styleId="50">
    <w:name w:val="标题 3 Char"/>
    <w:link w:val="5"/>
    <w:qFormat/>
    <w:uiPriority w:val="0"/>
    <w:rPr>
      <w:rFonts w:ascii="宋体" w:hAnsi="宋体"/>
      <w:b/>
      <w:bCs/>
      <w:color w:val="000000" w:themeColor="text1"/>
      <w:szCs w:val="28"/>
    </w:rPr>
  </w:style>
  <w:style w:type="paragraph" w:customStyle="1" w:styleId="51">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52">
    <w:name w:val="Default1"/>
    <w:unhideWhenUsed/>
    <w:qFormat/>
    <w:uiPriority w:val="99"/>
    <w:pPr>
      <w:widowControl w:val="0"/>
      <w:autoSpaceDE w:val="0"/>
      <w:autoSpaceDN w:val="0"/>
      <w:adjustRightInd w:val="0"/>
    </w:pPr>
    <w:rPr>
      <w:rFonts w:hint="eastAsia" w:ascii="Calibri" w:hAnsi="Calibri" w:eastAsia="宋体" w:cs="Times New Roman"/>
      <w:color w:val="000000"/>
      <w:sz w:val="24"/>
      <w:szCs w:val="22"/>
      <w:lang w:val="en-US" w:eastAsia="zh-CN" w:bidi="ar-SA"/>
    </w:rPr>
  </w:style>
  <w:style w:type="character" w:customStyle="1" w:styleId="53">
    <w:name w:val="批注文字 Char"/>
    <w:basedOn w:val="38"/>
    <w:link w:val="12"/>
    <w:qFormat/>
    <w:uiPriority w:val="99"/>
    <w:rPr>
      <w:rFonts w:ascii="Times New Roman" w:hAnsi="Times New Roman" w:eastAsia="宋体"/>
      <w:color w:val="000000"/>
      <w:kern w:val="2"/>
      <w:sz w:val="28"/>
      <w:szCs w:val="24"/>
    </w:rPr>
  </w:style>
  <w:style w:type="character" w:customStyle="1" w:styleId="54">
    <w:name w:val="正文文本 Char"/>
    <w:basedOn w:val="38"/>
    <w:link w:val="13"/>
    <w:qFormat/>
    <w:uiPriority w:val="0"/>
    <w:rPr>
      <w:kern w:val="2"/>
      <w:sz w:val="21"/>
      <w:szCs w:val="24"/>
    </w:rPr>
  </w:style>
  <w:style w:type="character" w:customStyle="1" w:styleId="55">
    <w:name w:val="页脚 Char"/>
    <w:basedOn w:val="38"/>
    <w:link w:val="21"/>
    <w:qFormat/>
    <w:uiPriority w:val="99"/>
    <w:rPr>
      <w:rFonts w:eastAsia="宋体"/>
      <w:kern w:val="2"/>
      <w:sz w:val="18"/>
      <w:szCs w:val="18"/>
    </w:rPr>
  </w:style>
  <w:style w:type="paragraph" w:customStyle="1" w:styleId="56">
    <w:name w:val="WPSOffice手动目录 1"/>
    <w:qFormat/>
    <w:uiPriority w:val="0"/>
    <w:rPr>
      <w:rFonts w:ascii="Times New Roman" w:hAnsi="Times New Roman" w:eastAsia="宋体" w:cs="Times New Roman"/>
      <w:lang w:val="en-US" w:eastAsia="zh-CN" w:bidi="ar-SA"/>
    </w:rPr>
  </w:style>
  <w:style w:type="paragraph" w:customStyle="1" w:styleId="57">
    <w:name w:val="!正文"/>
    <w:link w:val="71"/>
    <w:qFormat/>
    <w:uiPriority w:val="0"/>
    <w:pPr>
      <w:widowControl w:val="0"/>
      <w:adjustRightInd w:val="0"/>
      <w:snapToGrid w:val="0"/>
      <w:spacing w:line="360" w:lineRule="auto"/>
      <w:ind w:firstLine="200" w:firstLineChars="200"/>
      <w:jc w:val="both"/>
    </w:pPr>
    <w:rPr>
      <w:rFonts w:ascii="Times New Roman" w:hAnsi="Times New Roman" w:eastAsia="等线" w:cs="Times New Roman"/>
      <w:kern w:val="2"/>
      <w:sz w:val="28"/>
      <w:lang w:val="en-US" w:eastAsia="zh-CN" w:bidi="ar-SA"/>
    </w:rPr>
  </w:style>
  <w:style w:type="paragraph" w:customStyle="1" w:styleId="58">
    <w:name w:val="_Style 2"/>
    <w:basedOn w:val="1"/>
    <w:qFormat/>
    <w:uiPriority w:val="34"/>
    <w:pPr>
      <w:ind w:firstLine="420"/>
    </w:pPr>
  </w:style>
  <w:style w:type="paragraph" w:customStyle="1" w:styleId="59">
    <w:name w:val="美高SB4/1.5"/>
    <w:basedOn w:val="1"/>
    <w:qFormat/>
    <w:uiPriority w:val="0"/>
    <w:pPr>
      <w:topLinePunct/>
    </w:pPr>
    <w:rPr>
      <w:rFonts w:ascii="宋体" w:hAnsi="宋体"/>
      <w:color w:val="auto"/>
      <w:szCs w:val="28"/>
    </w:rPr>
  </w:style>
  <w:style w:type="paragraph" w:customStyle="1" w:styleId="60">
    <w:name w:val="+正文"/>
    <w:basedOn w:val="1"/>
    <w:qFormat/>
    <w:uiPriority w:val="0"/>
    <w:rPr>
      <w:sz w:val="24"/>
      <w:szCs w:val="28"/>
    </w:rPr>
  </w:style>
  <w:style w:type="paragraph" w:customStyle="1" w:styleId="61">
    <w:name w:val="表图 宋4/1.5"/>
    <w:next w:val="1"/>
    <w:qFormat/>
    <w:uiPriority w:val="0"/>
    <w:pPr>
      <w:topLinePunct/>
      <w:adjustRightInd w:val="0"/>
      <w:snapToGrid w:val="0"/>
      <w:spacing w:line="360" w:lineRule="auto"/>
      <w:jc w:val="center"/>
      <w:textAlignment w:val="center"/>
    </w:pPr>
    <w:rPr>
      <w:rFonts w:ascii="宋体" w:hAnsi="宋体" w:eastAsia="宋体" w:cs="Times New Roman"/>
      <w:snapToGrid w:val="0"/>
      <w:color w:val="000000"/>
      <w:sz w:val="28"/>
      <w:szCs w:val="21"/>
      <w:lang w:val="en-US" w:eastAsia="zh-CN" w:bidi="ar-SA"/>
    </w:rPr>
  </w:style>
  <w:style w:type="paragraph" w:customStyle="1" w:styleId="62">
    <w:name w:val="表内容宋5"/>
    <w:qFormat/>
    <w:uiPriority w:val="0"/>
    <w:pPr>
      <w:spacing w:line="240" w:lineRule="atLeast"/>
    </w:pPr>
    <w:rPr>
      <w:rFonts w:ascii="Times New Roman" w:hAnsi="Times New Roman" w:eastAsia="宋体" w:cs="Times New Roman"/>
      <w:sz w:val="21"/>
      <w:szCs w:val="21"/>
      <w:lang w:val="en-US" w:eastAsia="zh-CN" w:bidi="ar-SA"/>
    </w:rPr>
  </w:style>
  <w:style w:type="character" w:customStyle="1" w:styleId="63">
    <w:name w:val="批注框文本 Char"/>
    <w:basedOn w:val="38"/>
    <w:link w:val="20"/>
    <w:qFormat/>
    <w:uiPriority w:val="0"/>
    <w:rPr>
      <w:rFonts w:ascii="Times New Roman" w:hAnsi="Times New Roman" w:eastAsia="宋体"/>
      <w:color w:val="000000"/>
      <w:kern w:val="2"/>
      <w:sz w:val="18"/>
      <w:szCs w:val="18"/>
    </w:rPr>
  </w:style>
  <w:style w:type="character" w:customStyle="1" w:styleId="64">
    <w:name w:val="日期 Char"/>
    <w:basedOn w:val="38"/>
    <w:link w:val="18"/>
    <w:qFormat/>
    <w:uiPriority w:val="0"/>
    <w:rPr>
      <w:rFonts w:ascii="Times New Roman" w:hAnsi="Times New Roman" w:eastAsia="宋体"/>
      <w:color w:val="000000"/>
      <w:kern w:val="2"/>
      <w:sz w:val="28"/>
      <w:szCs w:val="24"/>
    </w:rPr>
  </w:style>
  <w:style w:type="character" w:customStyle="1" w:styleId="65">
    <w:name w:val="批注主题 Char"/>
    <w:basedOn w:val="53"/>
    <w:link w:val="33"/>
    <w:qFormat/>
    <w:uiPriority w:val="0"/>
    <w:rPr>
      <w:rFonts w:ascii="Times New Roman" w:hAnsi="Times New Roman" w:eastAsia="宋体"/>
      <w:b/>
      <w:bCs/>
      <w:color w:val="000000"/>
      <w:kern w:val="2"/>
      <w:sz w:val="28"/>
      <w:szCs w:val="24"/>
    </w:rPr>
  </w:style>
  <w:style w:type="paragraph" w:styleId="66">
    <w:name w:val="List Paragraph"/>
    <w:basedOn w:val="1"/>
    <w:unhideWhenUsed/>
    <w:qFormat/>
    <w:uiPriority w:val="99"/>
    <w:pPr>
      <w:ind w:firstLine="420"/>
    </w:pPr>
  </w:style>
  <w:style w:type="character" w:customStyle="1" w:styleId="67">
    <w:name w:val="正文首行缩进 Char"/>
    <w:basedOn w:val="54"/>
    <w:link w:val="34"/>
    <w:qFormat/>
    <w:uiPriority w:val="0"/>
    <w:rPr>
      <w:rFonts w:ascii="Times New Roman" w:hAnsi="Times New Roman" w:eastAsia="宋体"/>
      <w:color w:val="000000"/>
      <w:kern w:val="2"/>
      <w:sz w:val="28"/>
      <w:szCs w:val="24"/>
    </w:rPr>
  </w:style>
  <w:style w:type="paragraph" w:customStyle="1" w:styleId="68">
    <w:name w:val="表格"/>
    <w:basedOn w:val="1"/>
    <w:qFormat/>
    <w:uiPriority w:val="0"/>
    <w:pPr>
      <w:adjustRightInd/>
      <w:snapToGrid/>
      <w:spacing w:before="50" w:after="50" w:line="500" w:lineRule="exact"/>
      <w:ind w:firstLine="640"/>
      <w:jc w:val="center"/>
    </w:pPr>
    <w:rPr>
      <w:rFonts w:ascii="宋体" w:hAnsi="宋体" w:cs="宋体"/>
      <w:color w:val="auto"/>
      <w:sz w:val="21"/>
    </w:rPr>
  </w:style>
  <w:style w:type="character" w:customStyle="1" w:styleId="69">
    <w:name w:val="NormalCharacter"/>
    <w:qFormat/>
    <w:uiPriority w:val="0"/>
  </w:style>
  <w:style w:type="paragraph" w:customStyle="1" w:styleId="70">
    <w:name w:val="首行缩进"/>
    <w:basedOn w:val="1"/>
    <w:qFormat/>
    <w:uiPriority w:val="0"/>
    <w:pPr>
      <w:ind w:firstLine="482"/>
    </w:pPr>
    <w:rPr>
      <w:rFonts w:ascii="宋体" w:cs="宋体"/>
    </w:rPr>
  </w:style>
  <w:style w:type="character" w:customStyle="1" w:styleId="71">
    <w:name w:val="!正文 Char"/>
    <w:link w:val="57"/>
    <w:qFormat/>
    <w:uiPriority w:val="0"/>
    <w:rPr>
      <w:rFonts w:ascii="Times New Roman" w:hAnsi="Times New Roman" w:eastAsia="等线" w:cs="Times New Roman"/>
      <w:kern w:val="2"/>
      <w:sz w:val="28"/>
      <w:lang w:val="en-US" w:eastAsia="zh-CN" w:bidi="ar-SA"/>
    </w:rPr>
  </w:style>
  <w:style w:type="paragraph" w:customStyle="1" w:styleId="72">
    <w:name w:val="填表5中"/>
    <w:basedOn w:val="1"/>
    <w:next w:val="1"/>
    <w:qFormat/>
    <w:uiPriority w:val="0"/>
    <w:pPr>
      <w:spacing w:line="240" w:lineRule="exact"/>
      <w:jc w:val="center"/>
    </w:pPr>
    <w:rPr>
      <w:rFonts w:ascii="宋体"/>
      <w:szCs w:val="21"/>
    </w:rPr>
  </w:style>
  <w:style w:type="paragraph" w:customStyle="1" w:styleId="73">
    <w:name w:val="表头"/>
    <w:basedOn w:val="1"/>
    <w:next w:val="1"/>
    <w:qFormat/>
    <w:uiPriority w:val="0"/>
    <w:pPr>
      <w:ind w:firstLine="0" w:firstLineChars="0"/>
      <w:jc w:val="center"/>
    </w:pPr>
    <w:rPr>
      <w:rFonts w:ascii="宋体" w:hAnsi="宋体"/>
      <w:b/>
      <w:szCs w:val="28"/>
    </w:rPr>
  </w:style>
  <w:style w:type="paragraph" w:customStyle="1" w:styleId="74">
    <w:name w:val="填表5"/>
    <w:basedOn w:val="1"/>
    <w:next w:val="1"/>
    <w:qFormat/>
    <w:uiPriority w:val="0"/>
    <w:pPr>
      <w:spacing w:line="300" w:lineRule="exact"/>
      <w:jc w:val="left"/>
    </w:pPr>
    <w:rPr>
      <w:rFonts w:ascii="宋体"/>
      <w:sz w:val="24"/>
      <w:szCs w:val="21"/>
    </w:rPr>
  </w:style>
  <w:style w:type="character" w:customStyle="1" w:styleId="75">
    <w:name w:val="zw1"/>
    <w:basedOn w:val="38"/>
    <w:qFormat/>
    <w:uiPriority w:val="0"/>
    <w:rPr>
      <w:rFonts w:hint="eastAsia" w:ascii="宋体" w:hAnsi="宋体" w:eastAsia="宋体"/>
      <w:sz w:val="22"/>
      <w:szCs w:val="22"/>
    </w:rPr>
  </w:style>
  <w:style w:type="paragraph" w:customStyle="1" w:styleId="76">
    <w:name w:val="新正文样式"/>
    <w:basedOn w:val="1"/>
    <w:qFormat/>
    <w:uiPriority w:val="0"/>
    <w:pPr>
      <w:tabs>
        <w:tab w:val="left" w:pos="567"/>
      </w:tabs>
      <w:ind w:firstLine="567"/>
    </w:pPr>
    <w:rPr>
      <w:spacing w:val="20"/>
      <w:sz w:val="24"/>
    </w:rPr>
  </w:style>
  <w:style w:type="paragraph" w:customStyle="1" w:styleId="77">
    <w:name w:val="表格文字样式"/>
    <w:basedOn w:val="76"/>
    <w:qFormat/>
    <w:uiPriority w:val="0"/>
    <w:pPr>
      <w:spacing w:line="240" w:lineRule="auto"/>
      <w:ind w:firstLine="0"/>
      <w:jc w:val="center"/>
    </w:pPr>
  </w:style>
  <w:style w:type="paragraph" w:customStyle="1" w:styleId="78">
    <w:name w:val="表格1"/>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character" w:customStyle="1" w:styleId="79">
    <w:name w:val="swiper-active-switch"/>
    <w:basedOn w:val="38"/>
    <w:qFormat/>
    <w:uiPriority w:val="0"/>
    <w:rPr>
      <w:shd w:val="clear" w:color="auto" w:fill="172733"/>
    </w:rPr>
  </w:style>
  <w:style w:type="paragraph" w:customStyle="1" w:styleId="80">
    <w:name w:val="样式 宋体 首行缩进:  1.11 厘米"/>
    <w:basedOn w:val="1"/>
    <w:qFormat/>
    <w:uiPriority w:val="0"/>
    <w:pPr>
      <w:spacing w:line="600" w:lineRule="exact"/>
      <w:ind w:firstLine="629"/>
    </w:pPr>
    <w:rPr>
      <w:rFonts w:ascii="宋体" w:hAnsi="宋体"/>
      <w:szCs w:val="20"/>
    </w:rPr>
  </w:style>
  <w:style w:type="paragraph" w:customStyle="1" w:styleId="81">
    <w:name w:val="BodyTextIndent2"/>
    <w:basedOn w:val="1"/>
    <w:qFormat/>
    <w:uiPriority w:val="0"/>
    <w:pPr>
      <w:widowControl/>
      <w:spacing w:line="600" w:lineRule="atLeast"/>
      <w:ind w:firstLine="560"/>
      <w:textAlignment w:val="baseline"/>
    </w:pPr>
    <w:rPr>
      <w:kern w:val="0"/>
    </w:rPr>
  </w:style>
  <w:style w:type="paragraph" w:customStyle="1" w:styleId="82">
    <w:name w:val="List Paragraph1"/>
    <w:basedOn w:val="1"/>
    <w:qFormat/>
    <w:uiPriority w:val="0"/>
    <w:pPr>
      <w:ind w:firstLine="420"/>
    </w:pPr>
    <w:rPr>
      <w:rFonts w:ascii="Calibri" w:hAnsi="Calibri"/>
      <w:szCs w:val="22"/>
    </w:rPr>
  </w:style>
  <w:style w:type="character" w:customStyle="1" w:styleId="83">
    <w:name w:val="不明显强调2"/>
    <w:qFormat/>
    <w:uiPriority w:val="19"/>
    <w:rPr>
      <w:rFonts w:ascii="宋体" w:hAnsi="宋体" w:eastAsia="宋体"/>
      <w:kern w:val="2"/>
      <w:sz w:val="24"/>
      <w:szCs w:val="21"/>
    </w:rPr>
  </w:style>
  <w:style w:type="character" w:customStyle="1" w:styleId="84">
    <w:name w:val="bt21"/>
    <w:basedOn w:val="38"/>
    <w:qFormat/>
    <w:uiPriority w:val="0"/>
    <w:rPr>
      <w:rFonts w:hint="eastAsia" w:ascii="黑体" w:eastAsia="黑体"/>
      <w:sz w:val="24"/>
      <w:szCs w:val="24"/>
    </w:rPr>
  </w:style>
  <w:style w:type="paragraph" w:customStyle="1" w:styleId="85">
    <w:name w:val="样式 宋体 黑色"/>
    <w:basedOn w:val="1"/>
    <w:qFormat/>
    <w:uiPriority w:val="0"/>
    <w:rPr>
      <w:rFonts w:ascii="宋体" w:hAnsi="宋体" w:cs="宋体"/>
      <w:szCs w:val="20"/>
    </w:rPr>
  </w:style>
  <w:style w:type="table" w:customStyle="1" w:styleId="86">
    <w:name w:val="Table Normal"/>
    <w:basedOn w:val="36"/>
    <w:semiHidden/>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87">
    <w:name w:val="表格内容"/>
    <w:basedOn w:val="1"/>
    <w:qFormat/>
    <w:uiPriority w:val="0"/>
    <w:pPr>
      <w:overflowPunct w:val="0"/>
      <w:spacing w:before="40" w:after="60" w:line="200" w:lineRule="atLeast"/>
      <w:textAlignment w:val="baseline"/>
    </w:pPr>
    <w:rPr>
      <w:rFonts w:ascii="Arial" w:hAnsi="Arial" w:eastAsia="仿宋_GB2312"/>
      <w:kern w:val="0"/>
      <w:sz w:val="24"/>
      <w:szCs w:val="20"/>
    </w:rPr>
  </w:style>
  <w:style w:type="paragraph" w:customStyle="1" w:styleId="88">
    <w:name w:val="Char Char Char Char"/>
    <w:basedOn w:val="1"/>
    <w:semiHidden/>
    <w:qFormat/>
    <w:uiPriority w:val="0"/>
    <w:rPr>
      <w:szCs w:val="21"/>
    </w:rPr>
  </w:style>
  <w:style w:type="paragraph" w:customStyle="1" w:styleId="89">
    <w:name w:val="样式1"/>
    <w:basedOn w:val="1"/>
    <w:qFormat/>
    <w:uiPriority w:val="0"/>
    <w:pPr>
      <w:ind w:firstLine="0" w:firstLineChars="0"/>
      <w:jc w:val="center"/>
    </w:pPr>
    <w:rPr>
      <w:b/>
      <w:szCs w:val="20"/>
    </w:rPr>
  </w:style>
  <w:style w:type="paragraph" w:customStyle="1" w:styleId="90">
    <w:name w:val="样式2"/>
    <w:basedOn w:val="1"/>
    <w:qFormat/>
    <w:uiPriority w:val="0"/>
    <w:pPr>
      <w:autoSpaceDE w:val="0"/>
      <w:autoSpaceDN w:val="0"/>
      <w:spacing w:line="500" w:lineRule="exact"/>
      <w:ind w:firstLine="560"/>
      <w:jc w:val="left"/>
    </w:pPr>
    <w:rPr>
      <w:color w:val="FF0000"/>
      <w:szCs w:val="28"/>
      <w:lang w:val="zh-CN"/>
    </w:rPr>
  </w:style>
  <w:style w:type="character" w:customStyle="1" w:styleId="91">
    <w:name w:val="wx-space"/>
    <w:basedOn w:val="38"/>
    <w:qFormat/>
    <w:uiPriority w:val="0"/>
  </w:style>
  <w:style w:type="character" w:customStyle="1" w:styleId="92">
    <w:name w:val="wx-space1"/>
    <w:basedOn w:val="38"/>
    <w:qFormat/>
    <w:uiPriority w:val="0"/>
    <w:rPr>
      <w:vanish/>
    </w:rPr>
  </w:style>
  <w:style w:type="paragraph" w:customStyle="1" w:styleId="93">
    <w:name w:val="列出段落1"/>
    <w:basedOn w:val="1"/>
    <w:unhideWhenUsed/>
    <w:qFormat/>
    <w:uiPriority w:val="34"/>
    <w:pPr>
      <w:ind w:firstLine="420"/>
    </w:pPr>
  </w:style>
  <w:style w:type="character" w:customStyle="1" w:styleId="94">
    <w:name w:val="文档结构图 Char"/>
    <w:basedOn w:val="38"/>
    <w:link w:val="11"/>
    <w:semiHidden/>
    <w:qFormat/>
    <w:uiPriority w:val="0"/>
    <w:rPr>
      <w:rFonts w:ascii="宋体"/>
      <w:color w:val="000000"/>
      <w:kern w:val="2"/>
      <w:sz w:val="18"/>
      <w:szCs w:val="18"/>
    </w:rPr>
  </w:style>
  <w:style w:type="character" w:customStyle="1" w:styleId="95">
    <w:name w:val="标题 2 Char"/>
    <w:basedOn w:val="38"/>
    <w:link w:val="4"/>
    <w:qFormat/>
    <w:uiPriority w:val="0"/>
    <w:rPr>
      <w:rFonts w:ascii="宋体" w:hAnsi="宋体"/>
      <w:b/>
      <w:bCs/>
      <w:kern w:val="2"/>
      <w:sz w:val="28"/>
      <w:szCs w:val="28"/>
    </w:rPr>
  </w:style>
  <w:style w:type="character" w:customStyle="1" w:styleId="96">
    <w:name w:val="bt11"/>
    <w:qFormat/>
    <w:uiPriority w:val="0"/>
    <w:rPr>
      <w:rFonts w:hint="eastAsia" w:ascii="黑体" w:eastAsia="黑体"/>
      <w:color w:val="000000"/>
      <w:sz w:val="28"/>
      <w:szCs w:val="28"/>
    </w:rPr>
  </w:style>
  <w:style w:type="character" w:customStyle="1" w:styleId="97">
    <w:name w:val="ca-52"/>
    <w:basedOn w:val="38"/>
    <w:qFormat/>
    <w:uiPriority w:val="0"/>
  </w:style>
  <w:style w:type="paragraph" w:customStyle="1" w:styleId="98">
    <w:name w:val="pa-3"/>
    <w:basedOn w:val="1"/>
    <w:qFormat/>
    <w:uiPriority w:val="0"/>
    <w:pPr>
      <w:widowControl/>
      <w:spacing w:beforeAutospacing="1" w:afterAutospacing="1"/>
      <w:jc w:val="left"/>
    </w:pPr>
    <w:rPr>
      <w:rFonts w:ascii="宋体" w:hAnsi="宋体" w:cs="宋体"/>
      <w:kern w:val="0"/>
      <w:sz w:val="24"/>
    </w:rPr>
  </w:style>
  <w:style w:type="character" w:customStyle="1" w:styleId="99">
    <w:name w:val="ca-62"/>
    <w:basedOn w:val="38"/>
    <w:qFormat/>
    <w:uiPriority w:val="0"/>
  </w:style>
  <w:style w:type="paragraph" w:customStyle="1" w:styleId="100">
    <w:name w:val="zw"/>
    <w:basedOn w:val="1"/>
    <w:qFormat/>
    <w:uiPriority w:val="0"/>
    <w:pPr>
      <w:widowControl/>
      <w:spacing w:beforeAutospacing="1" w:afterAutospacing="1" w:line="440" w:lineRule="atLeast"/>
      <w:jc w:val="left"/>
    </w:pPr>
    <w:rPr>
      <w:rFonts w:ascii="宋体" w:hAnsi="宋体" w:cs="宋体"/>
      <w:kern w:val="0"/>
      <w:sz w:val="22"/>
      <w:szCs w:val="22"/>
    </w:rPr>
  </w:style>
  <w:style w:type="paragraph" w:customStyle="1" w:styleId="101">
    <w:name w:val="pa-26"/>
    <w:basedOn w:val="1"/>
    <w:qFormat/>
    <w:uiPriority w:val="0"/>
    <w:pPr>
      <w:widowControl/>
      <w:spacing w:beforeAutospacing="1" w:afterAutospacing="1"/>
      <w:jc w:val="left"/>
    </w:pPr>
    <w:rPr>
      <w:rFonts w:ascii="宋体" w:hAnsi="宋体" w:cs="宋体"/>
      <w:kern w:val="0"/>
      <w:sz w:val="24"/>
    </w:rPr>
  </w:style>
  <w:style w:type="character" w:customStyle="1" w:styleId="102">
    <w:name w:val="ca-42"/>
    <w:basedOn w:val="38"/>
    <w:qFormat/>
    <w:uiPriority w:val="0"/>
  </w:style>
  <w:style w:type="character" w:customStyle="1" w:styleId="103">
    <w:name w:val="ca-72"/>
    <w:basedOn w:val="38"/>
    <w:qFormat/>
    <w:uiPriority w:val="0"/>
  </w:style>
  <w:style w:type="paragraph" w:customStyle="1" w:styleId="104">
    <w:name w:val="样式3"/>
    <w:basedOn w:val="1"/>
    <w:qFormat/>
    <w:uiPriority w:val="0"/>
    <w:pPr>
      <w:jc w:val="center"/>
    </w:pPr>
    <w:rPr>
      <w:rFonts w:hint="eastAsia"/>
    </w:rPr>
  </w:style>
  <w:style w:type="character" w:customStyle="1" w:styleId="105">
    <w:name w:val="ul_li_a_1"/>
    <w:basedOn w:val="38"/>
    <w:qFormat/>
    <w:uiPriority w:val="0"/>
    <w:rPr>
      <w:b/>
      <w:bCs/>
      <w:color w:val="FFFFFF"/>
    </w:rPr>
  </w:style>
  <w:style w:type="character" w:customStyle="1" w:styleId="106">
    <w:name w:val="a_p_2"/>
    <w:basedOn w:val="38"/>
    <w:qFormat/>
    <w:uiPriority w:val="0"/>
  </w:style>
  <w:style w:type="character" w:customStyle="1" w:styleId="107">
    <w:name w:val="a_p_21"/>
    <w:basedOn w:val="38"/>
    <w:qFormat/>
    <w:uiPriority w:val="0"/>
    <w:rPr>
      <w:sz w:val="27"/>
      <w:szCs w:val="27"/>
    </w:rPr>
  </w:style>
  <w:style w:type="character" w:customStyle="1" w:styleId="108">
    <w:name w:val="a_p_1"/>
    <w:basedOn w:val="38"/>
    <w:qFormat/>
    <w:uiPriority w:val="0"/>
    <w:rPr>
      <w:sz w:val="27"/>
      <w:szCs w:val="27"/>
    </w:rPr>
  </w:style>
  <w:style w:type="character" w:customStyle="1" w:styleId="109">
    <w:name w:val="exap"/>
    <w:basedOn w:val="38"/>
    <w:qFormat/>
    <w:uiPriority w:val="0"/>
    <w:rPr>
      <w:sz w:val="27"/>
      <w:szCs w:val="27"/>
    </w:rPr>
  </w:style>
  <w:style w:type="character" w:customStyle="1" w:styleId="110">
    <w:name w:val="a_p_3"/>
    <w:basedOn w:val="38"/>
    <w:qFormat/>
    <w:uiPriority w:val="0"/>
    <w:rPr>
      <w:sz w:val="27"/>
      <w:szCs w:val="27"/>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7" Type="http://schemas.microsoft.com/office/2011/relationships/people" Target="people.xml"/><Relationship Id="rId46" Type="http://schemas.openxmlformats.org/officeDocument/2006/relationships/fontTable" Target="fontTable.xml"/><Relationship Id="rId45" Type="http://schemas.openxmlformats.org/officeDocument/2006/relationships/customXml" Target="../customXml/item2.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3.jpeg"/><Relationship Id="rId41" Type="http://schemas.openxmlformats.org/officeDocument/2006/relationships/image" Target="media/image22.jpeg"/><Relationship Id="rId40" Type="http://schemas.openxmlformats.org/officeDocument/2006/relationships/image" Target="media/image21.jpeg"/><Relationship Id="rId4" Type="http://schemas.microsoft.com/office/2011/relationships/commentsExtended" Target="commentsExtended.xml"/><Relationship Id="rId39" Type="http://schemas.openxmlformats.org/officeDocument/2006/relationships/image" Target="media/image20.jpeg"/><Relationship Id="rId38" Type="http://schemas.openxmlformats.org/officeDocument/2006/relationships/image" Target="media/image19.jpeg"/><Relationship Id="rId37" Type="http://schemas.openxmlformats.org/officeDocument/2006/relationships/image" Target="media/image18.jpeg"/><Relationship Id="rId36" Type="http://schemas.openxmlformats.org/officeDocument/2006/relationships/image" Target="media/image17.jpeg"/><Relationship Id="rId35" Type="http://schemas.openxmlformats.org/officeDocument/2006/relationships/image" Target="media/image16.jpeg"/><Relationship Id="rId34" Type="http://schemas.openxmlformats.org/officeDocument/2006/relationships/image" Target="media/image15.jpeg"/><Relationship Id="rId33" Type="http://schemas.openxmlformats.org/officeDocument/2006/relationships/image" Target="media/image14.jpe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comments" Target="comments.xml"/><Relationship Id="rId29" Type="http://schemas.openxmlformats.org/officeDocument/2006/relationships/image" Target="media/image10.png"/><Relationship Id="rId28" Type="http://schemas.openxmlformats.org/officeDocument/2006/relationships/image" Target="media/image9.wmf"/><Relationship Id="rId27" Type="http://schemas.openxmlformats.org/officeDocument/2006/relationships/oleObject" Target="embeddings/oleObject1.bin"/><Relationship Id="rId26" Type="http://schemas.openxmlformats.org/officeDocument/2006/relationships/image" Target="media/image8.jpeg"/><Relationship Id="rId25" Type="http://schemas.openxmlformats.org/officeDocument/2006/relationships/image" Target="media/image7.jpeg"/><Relationship Id="rId24" Type="http://schemas.openxmlformats.org/officeDocument/2006/relationships/image" Target="media/image6.jpeg"/><Relationship Id="rId23" Type="http://schemas.openxmlformats.org/officeDocument/2006/relationships/image" Target="media/image5.jpeg"/><Relationship Id="rId22" Type="http://schemas.openxmlformats.org/officeDocument/2006/relationships/image" Target="media/image4.jpeg"/><Relationship Id="rId21" Type="http://schemas.openxmlformats.org/officeDocument/2006/relationships/image" Target="media/image3.jpe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71"/>
    <customShpInfo spid="_x0000_s2064"/>
    <customShpInfo spid="_x0000_s2073"/>
    <customShpInfo spid="_x0000_s2049"/>
    <customShpInfo spid="_x0000_s108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6E7B9A-D3DF-4BA8-A9C9-24043B1C4DF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260</Pages>
  <Words>93080</Words>
  <Characters>101270</Characters>
  <Lines>201</Lines>
  <Paragraphs>242</Paragraphs>
  <TotalTime>111</TotalTime>
  <ScaleCrop>false</ScaleCrop>
  <LinksUpToDate>false</LinksUpToDate>
  <CharactersWithSpaces>102362</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2021-02-01T02:57:00Z</dcterms:created>
  <dc:creator>詩音</dc:creator>
  <cp:lastModifiedBy>Administrator</cp:lastModifiedBy>
  <dcterms:modified xsi:type="dcterms:W3CDTF">2023-12-27T03:05:57Z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6E4D7E440A094E17ADC4EAE9BAFE60D4_13</vt:lpwstr>
  </property>
</Properties>
</file>